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11135" w14:textId="07D4F465" w:rsidR="00E51E29" w:rsidRPr="00F75C89" w:rsidRDefault="0003617A" w:rsidP="00E51E2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F75C89">
        <w:rPr>
          <w:rFonts w:cstheme="minorHAnsi"/>
          <w:b/>
          <w:sz w:val="24"/>
          <w:szCs w:val="24"/>
        </w:rPr>
        <w:t>Technical Volume</w:t>
      </w:r>
      <w:r w:rsidR="00BD738E" w:rsidRPr="00F75C89">
        <w:rPr>
          <w:rFonts w:cstheme="minorHAnsi"/>
          <w:b/>
          <w:sz w:val="24"/>
          <w:szCs w:val="24"/>
        </w:rPr>
        <w:t xml:space="preserve"> Cover Page</w:t>
      </w:r>
    </w:p>
    <w:p w14:paraId="3D211136" w14:textId="121FBEE8" w:rsidR="00BD738E" w:rsidRPr="00F75C89" w:rsidRDefault="0003617A" w:rsidP="00E51E29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F75C89">
        <w:rPr>
          <w:rFonts w:cstheme="minorHAnsi"/>
          <w:sz w:val="24"/>
          <w:szCs w:val="24"/>
        </w:rPr>
        <w:t>Notice of Funding Opportunity</w:t>
      </w:r>
      <w:r w:rsidR="00BA6FBA" w:rsidRPr="00F75C89">
        <w:rPr>
          <w:rFonts w:cstheme="minorHAnsi"/>
          <w:sz w:val="24"/>
          <w:szCs w:val="24"/>
        </w:rPr>
        <w:t xml:space="preserve"> </w:t>
      </w:r>
      <w:r w:rsidR="00BD738E" w:rsidRPr="00F75C89">
        <w:rPr>
          <w:rFonts w:cstheme="minorHAnsi"/>
          <w:sz w:val="24"/>
          <w:szCs w:val="24"/>
        </w:rPr>
        <w:t>DE-FOA-</w:t>
      </w:r>
      <w:r w:rsidR="00FC56FE" w:rsidRPr="00FC56FE">
        <w:rPr>
          <w:rFonts w:cstheme="minorHAnsi"/>
          <w:sz w:val="24"/>
          <w:szCs w:val="24"/>
          <w:highlight w:val="yellow"/>
        </w:rPr>
        <w:t>XXXXXX</w:t>
      </w:r>
    </w:p>
    <w:p w14:paraId="3D211137" w14:textId="77777777" w:rsidR="00E51E29" w:rsidRPr="00F75C89" w:rsidRDefault="00E51E29" w:rsidP="00E51E29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</w:p>
    <w:p w14:paraId="4FCCA91D" w14:textId="65699017" w:rsidR="000043F4" w:rsidRPr="00F75C89" w:rsidRDefault="00BA6FBA" w:rsidP="00E51E29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F75C89">
        <w:rPr>
          <w:rFonts w:cstheme="minorHAnsi"/>
          <w:color w:val="000000" w:themeColor="text1"/>
          <w:sz w:val="24"/>
          <w:szCs w:val="24"/>
        </w:rPr>
        <w:t>Project title:</w:t>
      </w:r>
    </w:p>
    <w:p w14:paraId="3D21113C" w14:textId="77777777" w:rsidR="00BA6FBA" w:rsidRPr="00F75C89" w:rsidRDefault="00BA6FBA" w:rsidP="00E51E29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F75C89">
        <w:rPr>
          <w:rFonts w:cstheme="minorHAnsi"/>
          <w:color w:val="000000" w:themeColor="text1"/>
          <w:sz w:val="24"/>
          <w:szCs w:val="24"/>
        </w:rPr>
        <w:t>Applicant Name:</w:t>
      </w:r>
    </w:p>
    <w:p w14:paraId="3D211140" w14:textId="1DC9A26B" w:rsidR="00BA6FBA" w:rsidRPr="00F75C89" w:rsidRDefault="00BA6FBA" w:rsidP="00E51E29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F75C89">
        <w:rPr>
          <w:rFonts w:cstheme="minorHAnsi"/>
          <w:color w:val="000000" w:themeColor="text1"/>
          <w:sz w:val="24"/>
          <w:szCs w:val="24"/>
        </w:rPr>
        <w:t>Application Address:</w:t>
      </w:r>
    </w:p>
    <w:p w14:paraId="3D211142" w14:textId="5B68A81A" w:rsidR="00BA6FBA" w:rsidRPr="00F75C89" w:rsidRDefault="00BA6FBA" w:rsidP="00E51E29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F75C89">
        <w:rPr>
          <w:rFonts w:cstheme="minorHAnsi"/>
          <w:color w:val="000000" w:themeColor="text1"/>
          <w:sz w:val="24"/>
          <w:szCs w:val="24"/>
        </w:rPr>
        <w:t>Principal Investigator (Name, Address if different than Applicant’s, Phone Number, E-mail):</w:t>
      </w:r>
    </w:p>
    <w:p w14:paraId="7431008E" w14:textId="5905E75A" w:rsidR="0003617A" w:rsidRPr="00F75C89" w:rsidRDefault="00BA6FBA" w:rsidP="00E51E29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F75C89">
        <w:rPr>
          <w:rFonts w:cstheme="minorHAnsi"/>
          <w:color w:val="000000" w:themeColor="text1"/>
          <w:sz w:val="24"/>
          <w:szCs w:val="24"/>
        </w:rPr>
        <w:t xml:space="preserve">Business Point of Contact </w:t>
      </w:r>
      <w:r w:rsidR="00E51E29" w:rsidRPr="00F75C89">
        <w:rPr>
          <w:rFonts w:cstheme="minorHAnsi"/>
          <w:color w:val="000000" w:themeColor="text1"/>
          <w:sz w:val="24"/>
          <w:szCs w:val="24"/>
        </w:rPr>
        <w:t>(Name, Address if different than Applicant’s, Phone Number, E-mail):</w:t>
      </w:r>
    </w:p>
    <w:p w14:paraId="7908E739" w14:textId="528955D7" w:rsidR="0003617A" w:rsidRDefault="0003617A" w:rsidP="00E51E29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F75C89">
        <w:rPr>
          <w:rFonts w:cstheme="minorHAnsi"/>
          <w:color w:val="000000" w:themeColor="text1"/>
          <w:sz w:val="24"/>
          <w:szCs w:val="24"/>
        </w:rPr>
        <w:t>Names of all team member organizations (if applicable):</w:t>
      </w:r>
    </w:p>
    <w:p w14:paraId="3CB11706" w14:textId="2D74E35F" w:rsidR="00A552CC" w:rsidRPr="00F75C89" w:rsidRDefault="00A552CC" w:rsidP="00E51E29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Project Location(s):</w:t>
      </w:r>
    </w:p>
    <w:p w14:paraId="3AF4975B" w14:textId="124974D5" w:rsidR="00A552CC" w:rsidRPr="00F75C89" w:rsidRDefault="0003617A" w:rsidP="0003617A">
      <w:pPr>
        <w:spacing w:after="0" w:line="240" w:lineRule="auto"/>
        <w:rPr>
          <w:rFonts w:cstheme="minorHAnsi"/>
          <w:sz w:val="24"/>
          <w:szCs w:val="24"/>
        </w:rPr>
      </w:pPr>
      <w:r w:rsidRPr="00F75C89">
        <w:rPr>
          <w:rFonts w:cstheme="minorHAnsi"/>
          <w:sz w:val="24"/>
          <w:szCs w:val="24"/>
        </w:rPr>
        <w:t>Federal Share:</w:t>
      </w:r>
    </w:p>
    <w:p w14:paraId="343DE313" w14:textId="01C5A792" w:rsidR="0003617A" w:rsidRPr="00F75C89" w:rsidRDefault="0003617A" w:rsidP="0003617A">
      <w:pPr>
        <w:spacing w:after="0" w:line="240" w:lineRule="auto"/>
        <w:rPr>
          <w:rFonts w:cstheme="minorHAnsi"/>
          <w:sz w:val="24"/>
          <w:szCs w:val="24"/>
        </w:rPr>
      </w:pPr>
      <w:r w:rsidRPr="00F75C89">
        <w:rPr>
          <w:rFonts w:cstheme="minorHAnsi"/>
          <w:sz w:val="24"/>
          <w:szCs w:val="24"/>
        </w:rPr>
        <w:t>Cost Share:</w:t>
      </w:r>
    </w:p>
    <w:p w14:paraId="453D2C5D" w14:textId="77777777" w:rsidR="0003617A" w:rsidRPr="00F75C89" w:rsidRDefault="0003617A" w:rsidP="0003617A">
      <w:pPr>
        <w:spacing w:after="0" w:line="240" w:lineRule="auto"/>
        <w:rPr>
          <w:rFonts w:cstheme="minorHAnsi"/>
          <w:sz w:val="24"/>
          <w:szCs w:val="24"/>
        </w:rPr>
      </w:pPr>
      <w:r w:rsidRPr="00F75C89">
        <w:rPr>
          <w:rFonts w:cstheme="minorHAnsi"/>
          <w:sz w:val="24"/>
          <w:szCs w:val="24"/>
        </w:rPr>
        <w:t>Total Estimated Project Cost:</w:t>
      </w:r>
    </w:p>
    <w:p w14:paraId="047F2179" w14:textId="503EE144" w:rsidR="0003617A" w:rsidRPr="00F75C89" w:rsidRDefault="0003617A" w:rsidP="0003617A">
      <w:pPr>
        <w:spacing w:after="0" w:line="240" w:lineRule="auto"/>
        <w:rPr>
          <w:rFonts w:cstheme="minorHAnsi"/>
          <w:sz w:val="24"/>
          <w:szCs w:val="24"/>
        </w:rPr>
      </w:pPr>
      <w:r w:rsidRPr="00F75C89">
        <w:rPr>
          <w:rFonts w:cstheme="minorHAnsi"/>
          <w:sz w:val="24"/>
          <w:szCs w:val="24"/>
        </w:rPr>
        <w:t>Period of Performance:</w:t>
      </w:r>
    </w:p>
    <w:p w14:paraId="68065103" w14:textId="18E44A4F" w:rsidR="0003617A" w:rsidRPr="00F75C89" w:rsidRDefault="0003617A" w:rsidP="0003617A">
      <w:pPr>
        <w:spacing w:after="0" w:line="240" w:lineRule="auto"/>
        <w:rPr>
          <w:rFonts w:cstheme="minorHAnsi"/>
          <w:sz w:val="24"/>
          <w:szCs w:val="24"/>
        </w:rPr>
      </w:pPr>
      <w:r w:rsidRPr="00F75C89">
        <w:rPr>
          <w:rFonts w:cstheme="minorHAnsi"/>
          <w:sz w:val="24"/>
          <w:szCs w:val="24"/>
        </w:rPr>
        <w:t>Federal Share and Cost Share by Team Member Organization:</w:t>
      </w:r>
    </w:p>
    <w:p w14:paraId="74FDDDFD" w14:textId="77777777" w:rsidR="0003617A" w:rsidRPr="00F75C89" w:rsidRDefault="0003617A" w:rsidP="00E51E29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</w:p>
    <w:p w14:paraId="3D211146" w14:textId="56DBCB2B" w:rsidR="00B91889" w:rsidRPr="00F75C89" w:rsidRDefault="00E51E29" w:rsidP="00E51E29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F75C89">
        <w:rPr>
          <w:rFonts w:cstheme="minorHAnsi"/>
          <w:color w:val="000000" w:themeColor="text1"/>
          <w:sz w:val="24"/>
          <w:szCs w:val="24"/>
        </w:rPr>
        <w:t>Include</w:t>
      </w:r>
      <w:r w:rsidR="00BA6FBA" w:rsidRPr="00F75C89">
        <w:rPr>
          <w:rFonts w:cstheme="minorHAnsi"/>
          <w:color w:val="000000" w:themeColor="text1"/>
          <w:sz w:val="24"/>
          <w:szCs w:val="24"/>
        </w:rPr>
        <w:t xml:space="preserve"> any statements regarding confidentiality</w:t>
      </w:r>
      <w:r w:rsidRPr="00F75C89">
        <w:rPr>
          <w:rFonts w:cstheme="minorHAnsi"/>
          <w:color w:val="000000" w:themeColor="text1"/>
          <w:sz w:val="24"/>
          <w:szCs w:val="24"/>
        </w:rPr>
        <w:t>.</w:t>
      </w:r>
    </w:p>
    <w:p w14:paraId="3D21114A" w14:textId="77777777" w:rsidR="00BA6FBA" w:rsidRPr="00F75C89" w:rsidRDefault="00BA6FBA" w:rsidP="00E51E29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3D21114B" w14:textId="77777777" w:rsidR="00E51E29" w:rsidRPr="00F75C89" w:rsidRDefault="00E51E29" w:rsidP="00E51E29">
      <w:pPr>
        <w:shd w:val="clear" w:color="auto" w:fill="F4F4F4"/>
        <w:spacing w:after="0" w:line="240" w:lineRule="auto"/>
        <w:textAlignment w:val="center"/>
        <w:rPr>
          <w:rFonts w:cstheme="minorHAnsi"/>
          <w:b/>
          <w:sz w:val="24"/>
          <w:szCs w:val="24"/>
        </w:rPr>
      </w:pPr>
      <w:r w:rsidRPr="00F75C89">
        <w:rPr>
          <w:rFonts w:cstheme="minorHAnsi"/>
          <w:b/>
          <w:sz w:val="24"/>
          <w:szCs w:val="24"/>
        </w:rPr>
        <w:t>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&gt;</w:t>
      </w:r>
    </w:p>
    <w:p w14:paraId="3D21114C" w14:textId="77777777" w:rsidR="00BD738E" w:rsidRPr="00F75C89" w:rsidRDefault="00E51E29" w:rsidP="00E51E29">
      <w:pPr>
        <w:shd w:val="clear" w:color="auto" w:fill="F4F4F4"/>
        <w:spacing w:after="0" w:line="240" w:lineRule="auto"/>
        <w:textAlignment w:val="center"/>
        <w:rPr>
          <w:rFonts w:cstheme="minorHAnsi"/>
          <w:b/>
          <w:sz w:val="24"/>
          <w:szCs w:val="24"/>
        </w:rPr>
      </w:pPr>
      <w:r w:rsidRPr="00F75C89">
        <w:rPr>
          <w:rFonts w:cstheme="minorHAnsi"/>
          <w:b/>
          <w:sz w:val="24"/>
          <w:szCs w:val="24"/>
        </w:rPr>
        <w:t xml:space="preserve">APPLICANTS ARE STRONGLY ENCOURAGED TO ENSURE THE SUBMISSION MEETS ALL OF THE FORM AND CONTENT REQUIREMENTS SPECIFIED IN THE FOA. </w:t>
      </w:r>
    </w:p>
    <w:p w14:paraId="3D21114D" w14:textId="77777777" w:rsidR="00BD738E" w:rsidRPr="00F75C89" w:rsidRDefault="00BD738E" w:rsidP="00BD738E">
      <w:pPr>
        <w:shd w:val="clear" w:color="auto" w:fill="F4F4F4"/>
        <w:spacing w:after="0" w:line="450" w:lineRule="atLeast"/>
        <w:textAlignment w:val="center"/>
        <w:rPr>
          <w:rFonts w:cstheme="minorHAnsi"/>
          <w:sz w:val="24"/>
          <w:szCs w:val="24"/>
        </w:rPr>
      </w:pPr>
      <w:r w:rsidRPr="00F75C89">
        <w:rPr>
          <w:rFonts w:eastAsia="Times New Roman" w:cstheme="minorHAnsi"/>
          <w:color w:val="000000"/>
          <w:sz w:val="24"/>
          <w:szCs w:val="24"/>
          <w:vertAlign w:val="subscript"/>
        </w:rPr>
        <w:t> </w:t>
      </w:r>
      <w:r w:rsidRPr="00F75C89">
        <w:rPr>
          <w:rFonts w:cstheme="minorHAnsi"/>
          <w:sz w:val="24"/>
          <w:szCs w:val="24"/>
        </w:rPr>
        <w:t>Checkbox      Item</w:t>
      </w: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0"/>
        <w:gridCol w:w="8014"/>
      </w:tblGrid>
      <w:tr w:rsidR="009A61FE" w:rsidRPr="00F75C89" w14:paraId="3D211150" w14:textId="77777777" w:rsidTr="00BD738E">
        <w:trPr>
          <w:trHeight w:val="485"/>
        </w:trPr>
        <w:tc>
          <w:tcPr>
            <w:tcW w:w="1160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1114E" w14:textId="77777777" w:rsidR="009A61FE" w:rsidRPr="00F75C89" w:rsidRDefault="009A61FE" w:rsidP="009A61FE">
            <w:pPr>
              <w:spacing w:after="0" w:line="252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F75C89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8014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1114F" w14:textId="71AB55CB" w:rsidR="009A61FE" w:rsidRPr="00F75C89" w:rsidRDefault="009A61FE" w:rsidP="009A61FE">
            <w:pPr>
              <w:spacing w:after="0" w:line="252" w:lineRule="auto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r w:rsidRPr="00F75C89">
              <w:rPr>
                <w:rFonts w:eastAsia="Times New Roman" w:cstheme="minorHAnsi"/>
                <w:b/>
                <w:sz w:val="24"/>
                <w:szCs w:val="24"/>
              </w:rPr>
              <w:t xml:space="preserve">The </w:t>
            </w:r>
            <w:r w:rsidR="0003617A" w:rsidRPr="00F75C89">
              <w:rPr>
                <w:rFonts w:eastAsia="Times New Roman" w:cstheme="minorHAnsi"/>
                <w:b/>
                <w:sz w:val="24"/>
                <w:szCs w:val="24"/>
              </w:rPr>
              <w:t>Technical Volume</w:t>
            </w:r>
            <w:r w:rsidRPr="00F75C89">
              <w:rPr>
                <w:rFonts w:eastAsia="Times New Roman" w:cstheme="minorHAnsi"/>
                <w:b/>
                <w:sz w:val="24"/>
                <w:szCs w:val="24"/>
              </w:rPr>
              <w:t xml:space="preserve"> does NOT exceed the maximum page limitations set forth in the </w:t>
            </w:r>
            <w:r w:rsidR="0003617A" w:rsidRPr="00F75C89">
              <w:rPr>
                <w:rFonts w:eastAsia="Times New Roman" w:cstheme="minorHAnsi"/>
                <w:b/>
                <w:sz w:val="24"/>
                <w:szCs w:val="24"/>
              </w:rPr>
              <w:t>NOFO</w:t>
            </w:r>
            <w:r w:rsidRPr="00F75C89">
              <w:rPr>
                <w:rFonts w:eastAsia="Times New Roman" w:cstheme="minorHAnsi"/>
                <w:b/>
                <w:sz w:val="24"/>
                <w:szCs w:val="24"/>
              </w:rPr>
              <w:t xml:space="preserve"> (in total) including the cover page, table of contents, references, charts, graphs, maps, photographs, other pictorial presentations, and other reference material the applicant may include with the submission.</w:t>
            </w:r>
          </w:p>
        </w:tc>
      </w:tr>
      <w:tr w:rsidR="00BD738E" w:rsidRPr="00F75C89" w14:paraId="3D211153" w14:textId="77777777" w:rsidTr="00BD738E">
        <w:trPr>
          <w:trHeight w:val="485"/>
        </w:trPr>
        <w:tc>
          <w:tcPr>
            <w:tcW w:w="1160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211151" w14:textId="77777777" w:rsidR="00BD738E" w:rsidRPr="00F75C89" w:rsidRDefault="00BD738E" w:rsidP="00BD738E">
            <w:pPr>
              <w:spacing w:after="0" w:line="252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F75C89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8014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211152" w14:textId="570BF274" w:rsidR="00BD738E" w:rsidRPr="00F75C89" w:rsidRDefault="00BD738E" w:rsidP="00BD738E">
            <w:pPr>
              <w:spacing w:after="0" w:line="252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F75C89">
              <w:rPr>
                <w:rFonts w:eastAsia="Times New Roman" w:cstheme="minorHAnsi"/>
                <w:sz w:val="24"/>
                <w:szCs w:val="24"/>
              </w:rPr>
              <w:t xml:space="preserve">The </w:t>
            </w:r>
            <w:r w:rsidR="0003617A" w:rsidRPr="00F75C89">
              <w:rPr>
                <w:rFonts w:eastAsia="Times New Roman" w:cstheme="minorHAnsi"/>
                <w:sz w:val="24"/>
                <w:szCs w:val="24"/>
              </w:rPr>
              <w:t>Technical Volume</w:t>
            </w:r>
            <w:r w:rsidR="00B91889" w:rsidRPr="00F75C89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F75C89">
              <w:rPr>
                <w:rFonts w:eastAsia="Times New Roman" w:cstheme="minorHAnsi"/>
                <w:sz w:val="24"/>
                <w:szCs w:val="24"/>
              </w:rPr>
              <w:t>is saved as an Adobe Portable Format file (.PDF)</w:t>
            </w:r>
          </w:p>
        </w:tc>
      </w:tr>
      <w:tr w:rsidR="00BD738E" w:rsidRPr="00F75C89" w14:paraId="3D211156" w14:textId="77777777" w:rsidTr="00BD738E">
        <w:trPr>
          <w:trHeight w:val="498"/>
        </w:trPr>
        <w:tc>
          <w:tcPr>
            <w:tcW w:w="1160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211154" w14:textId="77777777" w:rsidR="00BD738E" w:rsidRPr="00F75C89" w:rsidRDefault="00BD738E" w:rsidP="00BD738E">
            <w:pPr>
              <w:spacing w:after="0" w:line="252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F75C89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8014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211155" w14:textId="008A5D68" w:rsidR="00BD738E" w:rsidRPr="00F75C89" w:rsidRDefault="00BA6FBA" w:rsidP="00BD738E">
            <w:pPr>
              <w:spacing w:after="0" w:line="252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F75C89">
              <w:rPr>
                <w:rFonts w:eastAsia="Times New Roman" w:cstheme="minorHAnsi"/>
                <w:sz w:val="24"/>
                <w:szCs w:val="24"/>
              </w:rPr>
              <w:t xml:space="preserve">The </w:t>
            </w:r>
            <w:r w:rsidR="0003617A" w:rsidRPr="00F75C89">
              <w:rPr>
                <w:rFonts w:eastAsia="Times New Roman" w:cstheme="minorHAnsi"/>
                <w:sz w:val="24"/>
                <w:szCs w:val="24"/>
              </w:rPr>
              <w:t>Technical Volume</w:t>
            </w:r>
            <w:r w:rsidRPr="00F75C89">
              <w:rPr>
                <w:rFonts w:eastAsia="Times New Roman" w:cstheme="minorHAnsi"/>
                <w:sz w:val="24"/>
                <w:szCs w:val="24"/>
              </w:rPr>
              <w:t xml:space="preserve"> is written in English.</w:t>
            </w:r>
          </w:p>
        </w:tc>
      </w:tr>
      <w:tr w:rsidR="00BD738E" w:rsidRPr="00F75C89" w14:paraId="3D211159" w14:textId="77777777" w:rsidTr="00BD738E">
        <w:trPr>
          <w:trHeight w:val="498"/>
        </w:trPr>
        <w:tc>
          <w:tcPr>
            <w:tcW w:w="1160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11157" w14:textId="77777777" w:rsidR="00BD738E" w:rsidRPr="00F75C89" w:rsidRDefault="00BA6FBA" w:rsidP="00BD738E">
            <w:pPr>
              <w:spacing w:after="0" w:line="252" w:lineRule="auto"/>
              <w:jc w:val="center"/>
              <w:rPr>
                <w:rFonts w:eastAsia="MS Gothic" w:cstheme="minorHAnsi"/>
                <w:sz w:val="24"/>
                <w:szCs w:val="24"/>
              </w:rPr>
            </w:pPr>
            <w:r w:rsidRPr="00F75C89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8014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11158" w14:textId="6B6921DE" w:rsidR="00BD738E" w:rsidRPr="00F75C89" w:rsidRDefault="00BA6FBA" w:rsidP="00BD738E">
            <w:pPr>
              <w:spacing w:after="0" w:line="252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F75C89">
              <w:rPr>
                <w:rFonts w:eastAsiaTheme="minorEastAsia" w:cstheme="minorHAnsi"/>
                <w:sz w:val="24"/>
                <w:szCs w:val="24"/>
              </w:rPr>
              <w:t xml:space="preserve">All pages must be formatted to fit on 8.5 x 11 inch paper with margins not less than one inch on every side. Use </w:t>
            </w:r>
            <w:r w:rsidR="0003617A" w:rsidRPr="00F75C89">
              <w:rPr>
                <w:rFonts w:eastAsiaTheme="minorEastAsia" w:cstheme="minorHAnsi"/>
                <w:sz w:val="24"/>
                <w:szCs w:val="24"/>
              </w:rPr>
              <w:t>Calibri</w:t>
            </w:r>
            <w:r w:rsidRPr="00F75C89">
              <w:rPr>
                <w:rFonts w:eastAsiaTheme="minorEastAsia" w:cstheme="minorHAnsi"/>
                <w:sz w:val="24"/>
                <w:szCs w:val="24"/>
              </w:rPr>
              <w:t xml:space="preserve"> typeface, a black font color, and a font size of </w:t>
            </w:r>
            <w:r w:rsidR="0003617A" w:rsidRPr="00F75C89">
              <w:rPr>
                <w:rFonts w:eastAsiaTheme="minorEastAsia" w:cstheme="minorHAnsi"/>
                <w:sz w:val="24"/>
                <w:szCs w:val="24"/>
              </w:rPr>
              <w:t>12</w:t>
            </w:r>
            <w:r w:rsidRPr="00F75C89">
              <w:rPr>
                <w:rFonts w:eastAsiaTheme="minorEastAsia" w:cstheme="minorHAnsi"/>
                <w:sz w:val="24"/>
                <w:szCs w:val="24"/>
              </w:rPr>
              <w:t xml:space="preserve"> point or larger (except in figures or tables, which may be 10 point font). A symbol font may be used to insert Greek letters or special characters, but the font size requirement still applies.</w:t>
            </w:r>
          </w:p>
        </w:tc>
      </w:tr>
      <w:tr w:rsidR="00BD738E" w:rsidRPr="00F75C89" w14:paraId="3D21115C" w14:textId="77777777" w:rsidTr="00AE293A">
        <w:trPr>
          <w:trHeight w:val="485"/>
        </w:trPr>
        <w:tc>
          <w:tcPr>
            <w:tcW w:w="1160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21115A" w14:textId="77777777" w:rsidR="00BD738E" w:rsidRPr="00F75C89" w:rsidRDefault="00BD738E" w:rsidP="00AE293A">
            <w:pPr>
              <w:spacing w:after="0" w:line="252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F75C89">
              <w:rPr>
                <w:rFonts w:eastAsia="Times New Roman" w:cstheme="minorHAnsi"/>
                <w:color w:val="000000"/>
                <w:sz w:val="24"/>
                <w:szCs w:val="24"/>
                <w:vertAlign w:val="subscript"/>
              </w:rPr>
              <w:t> </w:t>
            </w:r>
            <w:r w:rsidRPr="00F75C89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8014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21115B" w14:textId="77777777" w:rsidR="00BD738E" w:rsidRPr="00F75C89" w:rsidRDefault="00BA6FBA" w:rsidP="00AE293A">
            <w:pPr>
              <w:spacing w:after="0" w:line="252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F75C89">
              <w:rPr>
                <w:rFonts w:eastAsia="Times New Roman" w:cstheme="minorHAnsi"/>
                <w:sz w:val="24"/>
                <w:szCs w:val="24"/>
              </w:rPr>
              <w:t>References have been included as footnotes or endnotes within the specified page limitations</w:t>
            </w:r>
          </w:p>
        </w:tc>
      </w:tr>
      <w:tr w:rsidR="00B135D7" w:rsidRPr="00F75C89" w14:paraId="3D21115F" w14:textId="77777777" w:rsidTr="00AE293A">
        <w:trPr>
          <w:trHeight w:val="485"/>
        </w:trPr>
        <w:tc>
          <w:tcPr>
            <w:tcW w:w="1160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1115D" w14:textId="77777777" w:rsidR="00B135D7" w:rsidRPr="00F75C89" w:rsidRDefault="00B135D7" w:rsidP="00AE293A">
            <w:pPr>
              <w:spacing w:after="0" w:line="252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vertAlign w:val="subscript"/>
              </w:rPr>
            </w:pPr>
            <w:r w:rsidRPr="00F75C89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8014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1115E" w14:textId="664A3DDE" w:rsidR="00B135D7" w:rsidRPr="00F75C89" w:rsidRDefault="00B135D7" w:rsidP="00AE293A">
            <w:pPr>
              <w:spacing w:after="0" w:line="252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F75C89">
              <w:rPr>
                <w:rFonts w:eastAsia="Times New Roman" w:cstheme="minorHAnsi"/>
                <w:sz w:val="24"/>
                <w:szCs w:val="24"/>
              </w:rPr>
              <w:t xml:space="preserve">The </w:t>
            </w:r>
            <w:r w:rsidR="0003617A" w:rsidRPr="00F75C89">
              <w:rPr>
                <w:rFonts w:eastAsia="Times New Roman" w:cstheme="minorHAnsi"/>
                <w:sz w:val="24"/>
                <w:szCs w:val="24"/>
              </w:rPr>
              <w:t>Technical Volume</w:t>
            </w:r>
            <w:r w:rsidRPr="00F75C89">
              <w:rPr>
                <w:rFonts w:eastAsia="Times New Roman" w:cstheme="minorHAnsi"/>
                <w:sz w:val="24"/>
                <w:szCs w:val="24"/>
              </w:rPr>
              <w:t xml:space="preserve"> does not include any Internet addresses (URLs) that provide information necessary to review the application.</w:t>
            </w:r>
            <w:r w:rsidRPr="00F75C89">
              <w:rPr>
                <w:rFonts w:eastAsiaTheme="minorEastAsia" w:cstheme="minorHAnsi"/>
                <w:sz w:val="24"/>
                <w:szCs w:val="24"/>
              </w:rPr>
              <w:t xml:space="preserve">  </w:t>
            </w:r>
          </w:p>
        </w:tc>
      </w:tr>
      <w:tr w:rsidR="00B91889" w:rsidRPr="00F75C89" w14:paraId="3D211162" w14:textId="77777777" w:rsidTr="00AE293A">
        <w:trPr>
          <w:trHeight w:val="485"/>
        </w:trPr>
        <w:tc>
          <w:tcPr>
            <w:tcW w:w="1160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11160" w14:textId="77777777" w:rsidR="00B91889" w:rsidRPr="00F75C89" w:rsidRDefault="00B91889" w:rsidP="00AE293A">
            <w:pPr>
              <w:spacing w:after="0" w:line="252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vertAlign w:val="subscript"/>
              </w:rPr>
            </w:pPr>
            <w:r w:rsidRPr="00F75C89">
              <w:rPr>
                <w:rFonts w:eastAsia="Times New Roman" w:cstheme="minorHAnsi"/>
                <w:color w:val="000000"/>
                <w:sz w:val="24"/>
                <w:szCs w:val="24"/>
                <w:vertAlign w:val="subscript"/>
              </w:rPr>
              <w:t> </w:t>
            </w:r>
            <w:r w:rsidRPr="00F75C89"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8014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11161" w14:textId="761C0CD2" w:rsidR="00B91889" w:rsidRPr="00F75C89" w:rsidRDefault="00B91889" w:rsidP="00AE293A">
            <w:pPr>
              <w:spacing w:after="0" w:line="252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F75C89">
              <w:rPr>
                <w:rFonts w:eastAsia="Times New Roman" w:cstheme="minorHAnsi"/>
                <w:sz w:val="24"/>
                <w:szCs w:val="24"/>
              </w:rPr>
              <w:t xml:space="preserve">The cost information on the </w:t>
            </w:r>
            <w:r w:rsidR="0003617A" w:rsidRPr="00F75C89">
              <w:rPr>
                <w:rFonts w:eastAsia="Times New Roman" w:cstheme="minorHAnsi"/>
                <w:sz w:val="24"/>
                <w:szCs w:val="24"/>
              </w:rPr>
              <w:t>Technical Volume</w:t>
            </w:r>
            <w:r w:rsidRPr="00F75C89">
              <w:rPr>
                <w:rFonts w:eastAsia="Times New Roman" w:cstheme="minorHAnsi"/>
                <w:sz w:val="24"/>
                <w:szCs w:val="24"/>
              </w:rPr>
              <w:t xml:space="preserve"> cover page is consistent with the subject budget/budget justification(s).</w:t>
            </w:r>
          </w:p>
        </w:tc>
      </w:tr>
    </w:tbl>
    <w:p w14:paraId="3D211163" w14:textId="77777777" w:rsidR="00BD738E" w:rsidRPr="00F75C89" w:rsidRDefault="00BD738E">
      <w:pPr>
        <w:rPr>
          <w:rFonts w:cstheme="minorHAnsi"/>
          <w:sz w:val="24"/>
          <w:szCs w:val="24"/>
        </w:rPr>
      </w:pPr>
    </w:p>
    <w:sectPr w:rsidR="00BD738E" w:rsidRPr="00F75C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38E"/>
    <w:rsid w:val="000043F4"/>
    <w:rsid w:val="0003617A"/>
    <w:rsid w:val="002803F3"/>
    <w:rsid w:val="002C5FB9"/>
    <w:rsid w:val="002E103D"/>
    <w:rsid w:val="003539DE"/>
    <w:rsid w:val="00376C58"/>
    <w:rsid w:val="003A5BFC"/>
    <w:rsid w:val="005F387F"/>
    <w:rsid w:val="00681C2E"/>
    <w:rsid w:val="007014CA"/>
    <w:rsid w:val="007E6262"/>
    <w:rsid w:val="008701C4"/>
    <w:rsid w:val="009A61FE"/>
    <w:rsid w:val="00A552CC"/>
    <w:rsid w:val="00AB462E"/>
    <w:rsid w:val="00B135D7"/>
    <w:rsid w:val="00B91889"/>
    <w:rsid w:val="00BA6FBA"/>
    <w:rsid w:val="00BD738E"/>
    <w:rsid w:val="00D03F21"/>
    <w:rsid w:val="00D15F67"/>
    <w:rsid w:val="00D62B71"/>
    <w:rsid w:val="00D654BA"/>
    <w:rsid w:val="00E51E29"/>
    <w:rsid w:val="00F310D4"/>
    <w:rsid w:val="00F75C89"/>
    <w:rsid w:val="00FC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11135"/>
  <w15:chartTrackingRefBased/>
  <w15:docId w15:val="{4EB2B25A-1705-4443-8A18-7992592AD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rsid w:val="00BA6F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A6FBA"/>
    <w:pPr>
      <w:spacing w:after="0" w:line="240" w:lineRule="auto"/>
    </w:pPr>
    <w:rPr>
      <w:rFonts w:eastAsia="Times New Roman" w:cs="Times New Roman"/>
      <w:sz w:val="24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A6FBA"/>
    <w:rPr>
      <w:rFonts w:eastAsia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6F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6FBA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103D"/>
    <w:pPr>
      <w:spacing w:after="160"/>
    </w:pPr>
    <w:rPr>
      <w:rFonts w:eastAsiaTheme="minorHAnsi" w:cstheme="minorBidi"/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103D"/>
    <w:rPr>
      <w:rFonts w:eastAsia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9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9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12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89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57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776659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210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05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226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9747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9845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55619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3995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71528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4556015">
                                                                  <w:marLeft w:val="0"/>
                                                                  <w:marRight w:val="0"/>
                                                                  <w:marTop w:val="73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8249801">
                                                                      <w:marLeft w:val="450"/>
                                                                      <w:marRight w:val="45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2532221">
                                                                          <w:marLeft w:val="0"/>
                                                                          <w:marRight w:val="45"/>
                                                                          <w:marTop w:val="45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91681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27083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10436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single" w:sz="6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single" w:sz="6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53856561">
                                                                                          <w:marLeft w:val="150"/>
                                                                                          <w:marRight w:val="15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10362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88976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5303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216603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508274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979241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Financial Assistance" ma:contentTypeID="0x0101008482886E4F1B0643BBAB1562541F49610400FEEEEAF88640CB4FA187E1BF5280E255" ma:contentTypeVersion="7" ma:contentTypeDescription="Financial Assistance content type" ma:contentTypeScope="" ma:versionID="b7b3cdbe0046b72d4bbd241c32167c2d">
  <xsd:schema xmlns:xsd="http://www.w3.org/2001/XMLSchema" xmlns:xs="http://www.w3.org/2001/XMLSchema" xmlns:p="http://schemas.microsoft.com/office/2006/metadata/properties" xmlns:ns2="59d505cb-9190-4f53-979d-b7453bd2e064" targetNamespace="http://schemas.microsoft.com/office/2006/metadata/properties" ma:root="true" ma:fieldsID="441d9f68602a4cc0a9005b1842c6f46c" ns2:_="">
    <xsd:import namespace="59d505cb-9190-4f53-979d-b7453bd2e064"/>
    <xsd:element name="properties">
      <xsd:complexType>
        <xsd:sequence>
          <xsd:element name="documentManagement">
            <xsd:complexType>
              <xsd:all>
                <xsd:element ref="ns2:Topic"/>
                <xsd:element ref="ns2:GuideType"/>
                <xsd:element ref="ns2:FinancialAssistanceTOCChap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d505cb-9190-4f53-979d-b7453bd2e064" elementFormDefault="qualified">
    <xsd:import namespace="http://schemas.microsoft.com/office/2006/documentManagement/types"/>
    <xsd:import namespace="http://schemas.microsoft.com/office/infopath/2007/PartnerControls"/>
    <xsd:element name="Topic" ma:index="8" ma:displayName="Topic" ma:description="Available topics for AAD documents and templates" ma:format="Dropdown" ma:internalName="Topic" ma:readOnly="false">
      <xsd:simpleType>
        <xsd:restriction base="dms:Choice">
          <xsd:enumeration value="Cost Price Analysis"/>
          <xsd:enumeration value="Cross Cutting"/>
          <xsd:enumeration value="Acquisition"/>
          <xsd:enumeration value="Financial Assistance"/>
        </xsd:restriction>
      </xsd:simpleType>
    </xsd:element>
    <xsd:element name="GuideType" ma:index="9" ma:displayName="Guide Type" ma:description="Choice of possible guide types" ma:format="Dropdown" ma:internalName="GuideType" ma:readOnly="false">
      <xsd:simpleType>
        <xsd:restriction base="dms:Choice">
          <xsd:enumeration value="Not Applicable"/>
          <xsd:enumeration value="Reference"/>
          <xsd:enumeration value="Example"/>
          <xsd:enumeration value="Template"/>
        </xsd:restriction>
      </xsd:simpleType>
    </xsd:element>
    <xsd:element name="FinancialAssistanceTOCChapter" ma:index="10" nillable="true" ma:displayName="TOC Chapter Headings" ma:description="Table of Contents pertaining to Financial Assistance" ma:format="Dropdown" ma:internalName="FinancialAssistanceTOCChapter" ma:readOnly="false">
      <xsd:simpleType>
        <xsd:restriction base="dms:Choice">
          <xsd:enumeration value="Chp 1 - Pre-Announcement"/>
          <xsd:enumeration value="Chp 2 - Announcement"/>
          <xsd:enumeration value="Chp 3 - Negotiation/Award"/>
          <xsd:enumeration value="Chp 4 - Post Awar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uideType xmlns="59d505cb-9190-4f53-979d-b7453bd2e064">Template</GuideType>
    <Topic xmlns="59d505cb-9190-4f53-979d-b7453bd2e064">Financial Assistance</Topic>
    <FinancialAssistanceTOCChapter xmlns="59d505cb-9190-4f53-979d-b7453bd2e064" xsi:nil="true"/>
  </documentManagement>
</p:properties>
</file>

<file path=customXml/itemProps1.xml><?xml version="1.0" encoding="utf-8"?>
<ds:datastoreItem xmlns:ds="http://schemas.openxmlformats.org/officeDocument/2006/customXml" ds:itemID="{4E79E31F-0F2B-4434-85CC-74025243C7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7B28BB-D271-4690-9037-DCDF3685C2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d505cb-9190-4f53-979d-b7453bd2e0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CCEAA3-0FBC-44D0-A18E-9FCF616CC87E}">
  <ds:schemaRefs>
    <ds:schemaRef ds:uri="http://schemas.microsoft.com/office/2006/metadata/properties"/>
    <ds:schemaRef ds:uri="http://schemas.microsoft.com/office/infopath/2007/PartnerControls"/>
    <ds:schemaRef ds:uri="59d505cb-9190-4f53-979d-b7453bd2e06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FOA Project Narrative Cover Page</dc:title>
  <dc:subject/>
  <dc:creator>Bosley, Angela D.</dc:creator>
  <cp:keywords/>
  <dc:description/>
  <cp:lastModifiedBy>Golubski, Adam E.</cp:lastModifiedBy>
  <cp:revision>9</cp:revision>
  <dcterms:created xsi:type="dcterms:W3CDTF">2023-12-11T17:52:00Z</dcterms:created>
  <dcterms:modified xsi:type="dcterms:W3CDTF">2025-01-14T11:13:00Z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0x0101008482886E4F1B0643BBAB1562541F49610400FEEEEAF88640CB4FA187E1BF5280E255</vt:lpwstr>
  </property>
</Properties>
</file>