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29317" w14:textId="77777777" w:rsidR="00F2386A" w:rsidRPr="00CC7B3D" w:rsidRDefault="00F2386A" w:rsidP="009A12E6">
      <w:pPr>
        <w:rPr>
          <w:rStyle w:val="Style1"/>
        </w:rPr>
      </w:pPr>
    </w:p>
    <w:p w14:paraId="11E12C3F" w14:textId="64D60F95" w:rsidR="00D07031" w:rsidRPr="00417FB4" w:rsidRDefault="001D2C74" w:rsidP="00D07031">
      <w:pPr>
        <w:jc w:val="center"/>
        <w:rPr>
          <w:b/>
          <w:sz w:val="36"/>
          <w:szCs w:val="36"/>
        </w:rPr>
      </w:pPr>
      <w:bookmarkStart w:id="0" w:name="_Toc517798894"/>
      <w:bookmarkStart w:id="1" w:name="_Toc519602226"/>
      <w:bookmarkStart w:id="2" w:name="_Toc519602307"/>
      <w:r w:rsidRPr="00F51A4A">
        <w:rPr>
          <w:b/>
          <w:bCs/>
          <w:sz w:val="36"/>
          <w:szCs w:val="36"/>
        </w:rPr>
        <w:t>U.S. Department of Energy (DOE)</w:t>
      </w:r>
    </w:p>
    <w:p w14:paraId="0E330FED" w14:textId="0C45B9C4" w:rsidR="00CC7B3D" w:rsidRDefault="004E672B" w:rsidP="00A0557C">
      <w:pPr>
        <w:jc w:val="center"/>
        <w:rPr>
          <w:b/>
          <w:sz w:val="36"/>
          <w:szCs w:val="36"/>
        </w:rPr>
      </w:pPr>
      <w:r w:rsidRPr="6BB432CC">
        <w:rPr>
          <w:b/>
          <w:sz w:val="36"/>
          <w:szCs w:val="36"/>
        </w:rPr>
        <w:t>Office of Energy Efficiency and Renewable Energy (EERE)</w:t>
      </w:r>
    </w:p>
    <w:p w14:paraId="69F44A99" w14:textId="77777777" w:rsidR="00A0557C" w:rsidRPr="00A0557C" w:rsidRDefault="00A0557C" w:rsidP="00A0557C">
      <w:pPr>
        <w:jc w:val="center"/>
        <w:rPr>
          <w:b/>
          <w:sz w:val="36"/>
          <w:szCs w:val="36"/>
        </w:rPr>
      </w:pPr>
    </w:p>
    <w:p w14:paraId="14C39034" w14:textId="0D40F65D" w:rsidR="00B87353" w:rsidRPr="007C26C7" w:rsidRDefault="00B87353" w:rsidP="00B87353">
      <w:pPr>
        <w:jc w:val="center"/>
        <w:rPr>
          <w:b/>
          <w:sz w:val="36"/>
          <w:szCs w:val="36"/>
        </w:rPr>
      </w:pPr>
      <w:r w:rsidRPr="007C26C7">
        <w:rPr>
          <w:b/>
          <w:sz w:val="36"/>
          <w:szCs w:val="36"/>
        </w:rPr>
        <w:t>FY24 Scale-Up of Integrated Biorefineries</w:t>
      </w:r>
    </w:p>
    <w:p w14:paraId="17AC4FB0" w14:textId="52ABB572" w:rsidR="00A0557C" w:rsidRPr="00D54C61" w:rsidRDefault="00A0557C" w:rsidP="00E832C0">
      <w:pPr>
        <w:jc w:val="center"/>
        <w:rPr>
          <w:b/>
          <w:sz w:val="36"/>
          <w:szCs w:val="36"/>
        </w:rPr>
      </w:pPr>
    </w:p>
    <w:p w14:paraId="18E614EE" w14:textId="77777777" w:rsidR="007849F3" w:rsidRPr="001D2C74" w:rsidRDefault="007849F3" w:rsidP="00E832C0">
      <w:pPr>
        <w:jc w:val="center"/>
        <w:rPr>
          <w:b/>
          <w:sz w:val="36"/>
          <w:szCs w:val="36"/>
        </w:rPr>
      </w:pPr>
    </w:p>
    <w:p w14:paraId="18550949" w14:textId="1736A5E0" w:rsidR="00D07031" w:rsidRPr="001D2C74" w:rsidRDefault="004E672B" w:rsidP="00E832C0">
      <w:pPr>
        <w:jc w:val="center"/>
        <w:rPr>
          <w:b/>
          <w:sz w:val="28"/>
          <w:szCs w:val="28"/>
        </w:rPr>
      </w:pPr>
      <w:r w:rsidRPr="001D2C74">
        <w:rPr>
          <w:b/>
          <w:sz w:val="28"/>
          <w:szCs w:val="28"/>
        </w:rPr>
        <w:t xml:space="preserve">Funding Opportunity Announcement (FOA) Number: </w:t>
      </w:r>
      <w:r w:rsidR="00B87353" w:rsidRPr="007C26C7">
        <w:rPr>
          <w:b/>
          <w:sz w:val="28"/>
          <w:szCs w:val="28"/>
        </w:rPr>
        <w:t>DE-FOA-0003371</w:t>
      </w:r>
      <w:r w:rsidR="00B87353" w:rsidRPr="00872B40" w:rsidDel="00B87353">
        <w:rPr>
          <w:b/>
          <w:color w:val="0000FF"/>
          <w:sz w:val="28"/>
          <w:szCs w:val="28"/>
        </w:rPr>
        <w:t xml:space="preserve"> </w:t>
      </w:r>
    </w:p>
    <w:p w14:paraId="1151EB52" w14:textId="056B0245" w:rsidR="00D07031" w:rsidRPr="001D2C74" w:rsidRDefault="004E672B" w:rsidP="00D07031">
      <w:pPr>
        <w:jc w:val="center"/>
        <w:rPr>
          <w:rStyle w:val="Style3"/>
        </w:rPr>
      </w:pPr>
      <w:r w:rsidRPr="001D2C74">
        <w:rPr>
          <w:b/>
          <w:sz w:val="28"/>
          <w:szCs w:val="28"/>
        </w:rPr>
        <w:t xml:space="preserve">FOA Type: </w:t>
      </w:r>
      <w:r w:rsidRPr="008B0D95">
        <w:rPr>
          <w:rStyle w:val="Style4"/>
        </w:rPr>
        <w:t>Initial</w:t>
      </w:r>
    </w:p>
    <w:p w14:paraId="0EBD6C4E" w14:textId="4A746147" w:rsidR="00D07031" w:rsidRPr="008858B4" w:rsidRDefault="001D2C74" w:rsidP="00D07031">
      <w:pPr>
        <w:jc w:val="center"/>
      </w:pPr>
      <w:r w:rsidRPr="00F51A4A">
        <w:rPr>
          <w:b/>
          <w:bCs/>
          <w:sz w:val="28"/>
          <w:szCs w:val="28"/>
        </w:rPr>
        <w:t>Assistance Listing Number</w:t>
      </w:r>
      <w:r w:rsidR="004E672B" w:rsidRPr="001D2C74">
        <w:rPr>
          <w:b/>
          <w:sz w:val="28"/>
          <w:szCs w:val="28"/>
        </w:rPr>
        <w:t xml:space="preserve">: </w:t>
      </w:r>
      <w:r w:rsidR="00B87353" w:rsidRPr="008A2DDB">
        <w:rPr>
          <w:b/>
          <w:sz w:val="28"/>
          <w:szCs w:val="28"/>
        </w:rPr>
        <w:t>81.087</w:t>
      </w:r>
      <w:r w:rsidR="00B87353" w:rsidRPr="00872B40" w:rsidDel="00B87353">
        <w:rPr>
          <w:b/>
          <w:color w:val="0000FF"/>
          <w:sz w:val="28"/>
          <w:szCs w:val="28"/>
        </w:rPr>
        <w:t xml:space="preserve"> </w:t>
      </w:r>
    </w:p>
    <w:p w14:paraId="13F092B4" w14:textId="0DCE18EA" w:rsidR="00D07031" w:rsidRPr="008858B4" w:rsidRDefault="00D07031" w:rsidP="00D07031"/>
    <w:tbl>
      <w:tblPr>
        <w:tblStyle w:val="TableGrid"/>
        <w:tblW w:w="0" w:type="auto"/>
        <w:jc w:val="center"/>
        <w:tblLook w:val="04A0" w:firstRow="1" w:lastRow="0" w:firstColumn="1" w:lastColumn="0" w:noHBand="0" w:noVBand="1"/>
      </w:tblPr>
      <w:tblGrid>
        <w:gridCol w:w="5998"/>
        <w:gridCol w:w="2904"/>
      </w:tblGrid>
      <w:tr w:rsidR="00BF65D1" w14:paraId="6E00072D" w14:textId="77777777" w:rsidTr="00390B40">
        <w:trPr>
          <w:jc w:val="center"/>
        </w:trPr>
        <w:tc>
          <w:tcPr>
            <w:tcW w:w="0" w:type="auto"/>
          </w:tcPr>
          <w:p w14:paraId="0F38B6DF" w14:textId="31B7E1E4" w:rsidR="00D07031" w:rsidRPr="008858B4" w:rsidRDefault="004E672B" w:rsidP="00390B40">
            <w:pPr>
              <w:rPr>
                <w:b/>
                <w:sz w:val="21"/>
                <w:szCs w:val="21"/>
              </w:rPr>
            </w:pPr>
            <w:r w:rsidRPr="00891C66">
              <w:rPr>
                <w:b/>
                <w:sz w:val="21"/>
                <w:szCs w:val="21"/>
              </w:rPr>
              <w:t>FO</w:t>
            </w:r>
            <w:r w:rsidR="00D54C61">
              <w:rPr>
                <w:b/>
                <w:sz w:val="21"/>
                <w:szCs w:val="21"/>
              </w:rPr>
              <w:t>A Issue Date:</w:t>
            </w:r>
            <w:r w:rsidR="006A0269">
              <w:rPr>
                <w:b/>
                <w:sz w:val="21"/>
                <w:szCs w:val="21"/>
              </w:rPr>
              <w:t xml:space="preserve"> </w:t>
            </w:r>
          </w:p>
        </w:tc>
        <w:tc>
          <w:tcPr>
            <w:tcW w:w="0" w:type="auto"/>
          </w:tcPr>
          <w:p w14:paraId="0DCC3453" w14:textId="2F6AD099" w:rsidR="00D07031" w:rsidRPr="005C7876" w:rsidRDefault="00AB2244" w:rsidP="00FE56A3">
            <w:pPr>
              <w:rPr>
                <w:sz w:val="21"/>
                <w:szCs w:val="21"/>
              </w:rPr>
            </w:pPr>
            <w:r>
              <w:rPr>
                <w:sz w:val="21"/>
                <w:szCs w:val="21"/>
              </w:rPr>
              <w:t xml:space="preserve">September </w:t>
            </w:r>
            <w:r w:rsidR="00975BE7">
              <w:rPr>
                <w:sz w:val="21"/>
                <w:szCs w:val="21"/>
              </w:rPr>
              <w:t>11</w:t>
            </w:r>
            <w:r>
              <w:rPr>
                <w:sz w:val="21"/>
                <w:szCs w:val="21"/>
              </w:rPr>
              <w:t>, 2024</w:t>
            </w:r>
          </w:p>
        </w:tc>
      </w:tr>
      <w:tr w:rsidR="001D2C74" w14:paraId="2CBBE9D3" w14:textId="77777777" w:rsidTr="00390B40">
        <w:trPr>
          <w:jc w:val="center"/>
        </w:trPr>
        <w:tc>
          <w:tcPr>
            <w:tcW w:w="0" w:type="auto"/>
          </w:tcPr>
          <w:p w14:paraId="26474414" w14:textId="579DC19B" w:rsidR="001D2C74" w:rsidRPr="008858B4" w:rsidRDefault="001D2C74" w:rsidP="001D2C74">
            <w:pPr>
              <w:rPr>
                <w:b/>
                <w:sz w:val="21"/>
                <w:szCs w:val="21"/>
              </w:rPr>
            </w:pPr>
            <w:r w:rsidRPr="00714C9F">
              <w:rPr>
                <w:b/>
                <w:sz w:val="21"/>
                <w:szCs w:val="21"/>
              </w:rPr>
              <w:t>Informational Webinar:</w:t>
            </w:r>
          </w:p>
        </w:tc>
        <w:tc>
          <w:tcPr>
            <w:tcW w:w="0" w:type="auto"/>
          </w:tcPr>
          <w:p w14:paraId="170B6F5C" w14:textId="45243B86" w:rsidR="001D2C74" w:rsidRPr="005C7876" w:rsidRDefault="00827582" w:rsidP="001D2C74">
            <w:pPr>
              <w:rPr>
                <w:sz w:val="21"/>
                <w:szCs w:val="21"/>
              </w:rPr>
            </w:pPr>
            <w:r>
              <w:rPr>
                <w:sz w:val="21"/>
                <w:szCs w:val="21"/>
              </w:rPr>
              <w:t>October</w:t>
            </w:r>
            <w:r w:rsidR="00AB2244">
              <w:rPr>
                <w:sz w:val="21"/>
                <w:szCs w:val="21"/>
              </w:rPr>
              <w:t xml:space="preserve"> </w:t>
            </w:r>
            <w:r>
              <w:rPr>
                <w:sz w:val="21"/>
                <w:szCs w:val="21"/>
              </w:rPr>
              <w:t>2</w:t>
            </w:r>
            <w:r w:rsidR="00AB2244">
              <w:rPr>
                <w:sz w:val="21"/>
                <w:szCs w:val="21"/>
              </w:rPr>
              <w:t>, 2024</w:t>
            </w:r>
          </w:p>
        </w:tc>
      </w:tr>
      <w:tr w:rsidR="001D2C74" w14:paraId="07FA6141" w14:textId="77777777" w:rsidTr="00390B40">
        <w:trPr>
          <w:jc w:val="center"/>
        </w:trPr>
        <w:tc>
          <w:tcPr>
            <w:tcW w:w="0" w:type="auto"/>
          </w:tcPr>
          <w:p w14:paraId="40060F7B" w14:textId="57F91523" w:rsidR="001D2C74" w:rsidRPr="00120F39" w:rsidRDefault="001D2C74" w:rsidP="001D2C74">
            <w:pPr>
              <w:rPr>
                <w:b/>
                <w:sz w:val="21"/>
                <w:szCs w:val="21"/>
              </w:rPr>
            </w:pPr>
            <w:r w:rsidRPr="00697CFD">
              <w:rPr>
                <w:b/>
                <w:sz w:val="21"/>
                <w:szCs w:val="21"/>
              </w:rPr>
              <w:t>Submission Deadline for Concept Papers</w:t>
            </w:r>
            <w:r>
              <w:rPr>
                <w:b/>
                <w:sz w:val="21"/>
                <w:szCs w:val="21"/>
              </w:rPr>
              <w:t>:</w:t>
            </w:r>
          </w:p>
        </w:tc>
        <w:tc>
          <w:tcPr>
            <w:tcW w:w="0" w:type="auto"/>
          </w:tcPr>
          <w:p w14:paraId="438CB4A1" w14:textId="1B0B16C7" w:rsidR="001D2C74" w:rsidRPr="005C7876" w:rsidRDefault="00262070" w:rsidP="001D2C74">
            <w:pPr>
              <w:rPr>
                <w:sz w:val="21"/>
                <w:szCs w:val="21"/>
              </w:rPr>
            </w:pPr>
            <w:r>
              <w:rPr>
                <w:sz w:val="21"/>
                <w:szCs w:val="21"/>
              </w:rPr>
              <w:t>November 7</w:t>
            </w:r>
            <w:r w:rsidR="00AB2244">
              <w:rPr>
                <w:sz w:val="21"/>
                <w:szCs w:val="21"/>
              </w:rPr>
              <w:t>, 2024</w:t>
            </w:r>
            <w:r w:rsidR="00392702">
              <w:rPr>
                <w:sz w:val="21"/>
                <w:szCs w:val="21"/>
              </w:rPr>
              <w:t xml:space="preserve"> </w:t>
            </w:r>
            <w:r w:rsidR="001D2C74" w:rsidRPr="00FE56A3">
              <w:rPr>
                <w:sz w:val="21"/>
                <w:szCs w:val="21"/>
              </w:rPr>
              <w:t>5:00</w:t>
            </w:r>
            <w:r w:rsidR="00E158CA">
              <w:rPr>
                <w:sz w:val="21"/>
                <w:szCs w:val="21"/>
              </w:rPr>
              <w:t xml:space="preserve"> </w:t>
            </w:r>
            <w:r w:rsidR="001D2C74" w:rsidRPr="00FE56A3">
              <w:rPr>
                <w:sz w:val="21"/>
                <w:szCs w:val="21"/>
              </w:rPr>
              <w:t>p</w:t>
            </w:r>
            <w:r w:rsidR="00E158CA">
              <w:rPr>
                <w:sz w:val="21"/>
                <w:szCs w:val="21"/>
              </w:rPr>
              <w:t>.</w:t>
            </w:r>
            <w:r w:rsidR="001D2C74" w:rsidRPr="00FE56A3">
              <w:rPr>
                <w:sz w:val="21"/>
                <w:szCs w:val="21"/>
              </w:rPr>
              <w:t>m</w:t>
            </w:r>
            <w:r w:rsidR="00E158CA">
              <w:rPr>
                <w:sz w:val="21"/>
                <w:szCs w:val="21"/>
              </w:rPr>
              <w:t>.</w:t>
            </w:r>
            <w:r w:rsidR="001D2C74" w:rsidRPr="00FE56A3">
              <w:rPr>
                <w:sz w:val="21"/>
                <w:szCs w:val="21"/>
              </w:rPr>
              <w:t xml:space="preserve"> ET</w:t>
            </w:r>
          </w:p>
        </w:tc>
      </w:tr>
      <w:tr w:rsidR="001D2C74" w14:paraId="479EEB26" w14:textId="77777777" w:rsidTr="00390B40">
        <w:trPr>
          <w:jc w:val="center"/>
        </w:trPr>
        <w:tc>
          <w:tcPr>
            <w:tcW w:w="0" w:type="auto"/>
          </w:tcPr>
          <w:p w14:paraId="2B71A925" w14:textId="13B17D54" w:rsidR="001D2C74" w:rsidRPr="00120F39" w:rsidRDefault="001D2C74" w:rsidP="001D2C74">
            <w:pPr>
              <w:rPr>
                <w:b/>
                <w:sz w:val="21"/>
                <w:szCs w:val="21"/>
              </w:rPr>
            </w:pPr>
            <w:r w:rsidRPr="00152174">
              <w:rPr>
                <w:b/>
                <w:sz w:val="21"/>
                <w:szCs w:val="21"/>
              </w:rPr>
              <w:t>Submission Deadline for Full Applications</w:t>
            </w:r>
            <w:r>
              <w:rPr>
                <w:b/>
                <w:sz w:val="21"/>
                <w:szCs w:val="21"/>
              </w:rPr>
              <w:t>:</w:t>
            </w:r>
            <w:r w:rsidR="002F14B3">
              <w:rPr>
                <w:b/>
                <w:sz w:val="21"/>
                <w:szCs w:val="21"/>
              </w:rPr>
              <w:t xml:space="preserve"> </w:t>
            </w:r>
          </w:p>
        </w:tc>
        <w:tc>
          <w:tcPr>
            <w:tcW w:w="0" w:type="auto"/>
          </w:tcPr>
          <w:p w14:paraId="4272C290" w14:textId="51F90D9E" w:rsidR="001D2C74" w:rsidRPr="005C7876" w:rsidRDefault="00906951" w:rsidP="001D2C74">
            <w:pPr>
              <w:rPr>
                <w:sz w:val="21"/>
                <w:szCs w:val="21"/>
              </w:rPr>
            </w:pPr>
            <w:r>
              <w:rPr>
                <w:sz w:val="21"/>
                <w:szCs w:val="21"/>
              </w:rPr>
              <w:t>January 16</w:t>
            </w:r>
            <w:r w:rsidR="00392702">
              <w:rPr>
                <w:sz w:val="21"/>
                <w:szCs w:val="21"/>
              </w:rPr>
              <w:t>, 202</w:t>
            </w:r>
            <w:r>
              <w:rPr>
                <w:sz w:val="21"/>
                <w:szCs w:val="21"/>
              </w:rPr>
              <w:t>5</w:t>
            </w:r>
            <w:r w:rsidR="00392702">
              <w:rPr>
                <w:sz w:val="21"/>
                <w:szCs w:val="21"/>
              </w:rPr>
              <w:t xml:space="preserve"> </w:t>
            </w:r>
            <w:r w:rsidR="001D2C74" w:rsidRPr="00FE56A3">
              <w:rPr>
                <w:sz w:val="21"/>
                <w:szCs w:val="21"/>
              </w:rPr>
              <w:t>5:00</w:t>
            </w:r>
            <w:r w:rsidR="00E158CA">
              <w:rPr>
                <w:sz w:val="21"/>
                <w:szCs w:val="21"/>
              </w:rPr>
              <w:t xml:space="preserve"> </w:t>
            </w:r>
            <w:r w:rsidR="001D2C74" w:rsidRPr="00FE56A3">
              <w:rPr>
                <w:sz w:val="21"/>
                <w:szCs w:val="21"/>
              </w:rPr>
              <w:t>p</w:t>
            </w:r>
            <w:r w:rsidR="00E158CA">
              <w:rPr>
                <w:sz w:val="21"/>
                <w:szCs w:val="21"/>
              </w:rPr>
              <w:t>.</w:t>
            </w:r>
            <w:r w:rsidR="001D2C74" w:rsidRPr="00FE56A3">
              <w:rPr>
                <w:sz w:val="21"/>
                <w:szCs w:val="21"/>
              </w:rPr>
              <w:t>m</w:t>
            </w:r>
            <w:r w:rsidR="00E158CA">
              <w:rPr>
                <w:sz w:val="21"/>
                <w:szCs w:val="21"/>
              </w:rPr>
              <w:t>.</w:t>
            </w:r>
            <w:r w:rsidR="001D2C74" w:rsidRPr="00FE56A3">
              <w:rPr>
                <w:sz w:val="21"/>
                <w:szCs w:val="21"/>
              </w:rPr>
              <w:t xml:space="preserve"> ET</w:t>
            </w:r>
          </w:p>
        </w:tc>
      </w:tr>
      <w:tr w:rsidR="001D2C74" w14:paraId="11B7C47A" w14:textId="77777777" w:rsidTr="00390B40">
        <w:trPr>
          <w:jc w:val="center"/>
        </w:trPr>
        <w:tc>
          <w:tcPr>
            <w:tcW w:w="0" w:type="auto"/>
          </w:tcPr>
          <w:p w14:paraId="36AFECAB" w14:textId="63DFD3FF" w:rsidR="001D2C74" w:rsidRPr="008858B4" w:rsidRDefault="001D2C74" w:rsidP="001D2C74">
            <w:pPr>
              <w:rPr>
                <w:b/>
                <w:sz w:val="21"/>
                <w:szCs w:val="21"/>
              </w:rPr>
            </w:pPr>
            <w:r w:rsidRPr="000E797E">
              <w:rPr>
                <w:b/>
                <w:sz w:val="21"/>
                <w:szCs w:val="21"/>
              </w:rPr>
              <w:t>Expected Submission Deadline for Replies to Reviewer Comments:</w:t>
            </w:r>
            <w:r w:rsidR="00D85102">
              <w:rPr>
                <w:b/>
                <w:sz w:val="21"/>
                <w:szCs w:val="21"/>
              </w:rPr>
              <w:t xml:space="preserve"> </w:t>
            </w:r>
          </w:p>
        </w:tc>
        <w:tc>
          <w:tcPr>
            <w:tcW w:w="0" w:type="auto"/>
          </w:tcPr>
          <w:p w14:paraId="16172A20" w14:textId="6AFE1805" w:rsidR="001D2C74" w:rsidRPr="005C7876" w:rsidRDefault="006A6EFD" w:rsidP="001D2C74">
            <w:pPr>
              <w:rPr>
                <w:sz w:val="21"/>
                <w:szCs w:val="21"/>
              </w:rPr>
            </w:pPr>
            <w:r>
              <w:rPr>
                <w:sz w:val="21"/>
                <w:szCs w:val="21"/>
              </w:rPr>
              <w:t>March</w:t>
            </w:r>
            <w:r w:rsidR="00392702">
              <w:rPr>
                <w:sz w:val="21"/>
                <w:szCs w:val="21"/>
              </w:rPr>
              <w:t xml:space="preserve"> 1</w:t>
            </w:r>
            <w:r>
              <w:rPr>
                <w:sz w:val="21"/>
                <w:szCs w:val="21"/>
              </w:rPr>
              <w:t>3</w:t>
            </w:r>
            <w:r w:rsidR="00392702">
              <w:rPr>
                <w:sz w:val="21"/>
                <w:szCs w:val="21"/>
              </w:rPr>
              <w:t xml:space="preserve">, 2025 </w:t>
            </w:r>
            <w:r w:rsidR="001D2C74" w:rsidRPr="00FE56A3">
              <w:rPr>
                <w:sz w:val="21"/>
                <w:szCs w:val="21"/>
              </w:rPr>
              <w:t>5:00</w:t>
            </w:r>
            <w:r w:rsidR="00E158CA">
              <w:rPr>
                <w:sz w:val="21"/>
                <w:szCs w:val="21"/>
              </w:rPr>
              <w:t xml:space="preserve"> </w:t>
            </w:r>
            <w:r w:rsidR="001D2C74" w:rsidRPr="00FE56A3">
              <w:rPr>
                <w:sz w:val="21"/>
                <w:szCs w:val="21"/>
              </w:rPr>
              <w:t>p</w:t>
            </w:r>
            <w:r w:rsidR="00E158CA">
              <w:rPr>
                <w:sz w:val="21"/>
                <w:szCs w:val="21"/>
              </w:rPr>
              <w:t>.</w:t>
            </w:r>
            <w:r w:rsidR="001D2C74" w:rsidRPr="00FE56A3">
              <w:rPr>
                <w:sz w:val="21"/>
                <w:szCs w:val="21"/>
              </w:rPr>
              <w:t>m</w:t>
            </w:r>
            <w:r w:rsidR="00E158CA">
              <w:rPr>
                <w:sz w:val="21"/>
                <w:szCs w:val="21"/>
              </w:rPr>
              <w:t>.</w:t>
            </w:r>
            <w:r w:rsidR="001D2C74" w:rsidRPr="00FE56A3">
              <w:rPr>
                <w:sz w:val="21"/>
                <w:szCs w:val="21"/>
              </w:rPr>
              <w:t xml:space="preserve"> ET</w:t>
            </w:r>
          </w:p>
        </w:tc>
      </w:tr>
      <w:tr w:rsidR="001D2C74" w14:paraId="32786A3C" w14:textId="77777777" w:rsidTr="00390B40">
        <w:trPr>
          <w:jc w:val="center"/>
        </w:trPr>
        <w:tc>
          <w:tcPr>
            <w:tcW w:w="0" w:type="auto"/>
          </w:tcPr>
          <w:p w14:paraId="51F92E4C" w14:textId="47F9EC99" w:rsidR="001D2C74" w:rsidRPr="008858B4" w:rsidRDefault="001D2C74" w:rsidP="001D2C74">
            <w:pPr>
              <w:rPr>
                <w:b/>
                <w:sz w:val="21"/>
                <w:szCs w:val="21"/>
              </w:rPr>
            </w:pPr>
            <w:r w:rsidRPr="0027192C">
              <w:rPr>
                <w:b/>
                <w:sz w:val="21"/>
                <w:szCs w:val="21"/>
              </w:rPr>
              <w:t>Expected Date for EERE Selection Notifications</w:t>
            </w:r>
            <w:r>
              <w:rPr>
                <w:b/>
                <w:sz w:val="21"/>
                <w:szCs w:val="21"/>
              </w:rPr>
              <w:t>:</w:t>
            </w:r>
            <w:r w:rsidR="0071707E">
              <w:rPr>
                <w:b/>
                <w:sz w:val="21"/>
                <w:szCs w:val="21"/>
              </w:rPr>
              <w:t xml:space="preserve"> </w:t>
            </w:r>
          </w:p>
        </w:tc>
        <w:tc>
          <w:tcPr>
            <w:tcW w:w="0" w:type="auto"/>
          </w:tcPr>
          <w:p w14:paraId="5F71F95E" w14:textId="38690E4A" w:rsidR="001D2C74" w:rsidRPr="005C7876" w:rsidRDefault="00E903AB" w:rsidP="001D2C74">
            <w:pPr>
              <w:rPr>
                <w:sz w:val="21"/>
                <w:szCs w:val="21"/>
              </w:rPr>
            </w:pPr>
            <w:r>
              <w:rPr>
                <w:sz w:val="21"/>
                <w:szCs w:val="21"/>
              </w:rPr>
              <w:t>Apri</w:t>
            </w:r>
            <w:r w:rsidR="00541A08">
              <w:rPr>
                <w:sz w:val="21"/>
                <w:szCs w:val="21"/>
              </w:rPr>
              <w:t>l 30</w:t>
            </w:r>
            <w:r w:rsidR="00392702">
              <w:rPr>
                <w:sz w:val="21"/>
                <w:szCs w:val="21"/>
              </w:rPr>
              <w:t>, 2025</w:t>
            </w:r>
          </w:p>
        </w:tc>
      </w:tr>
      <w:tr w:rsidR="001D2C74" w14:paraId="60D1CABC" w14:textId="77777777" w:rsidTr="00390B40">
        <w:trPr>
          <w:jc w:val="center"/>
        </w:trPr>
        <w:tc>
          <w:tcPr>
            <w:tcW w:w="0" w:type="auto"/>
          </w:tcPr>
          <w:p w14:paraId="50904687" w14:textId="416D0C40" w:rsidR="001D2C74" w:rsidRPr="00120F39" w:rsidRDefault="001D2C74" w:rsidP="001D2C74">
            <w:pPr>
              <w:rPr>
                <w:b/>
                <w:sz w:val="21"/>
                <w:szCs w:val="21"/>
              </w:rPr>
            </w:pPr>
            <w:r w:rsidRPr="00672734">
              <w:rPr>
                <w:b/>
                <w:sz w:val="21"/>
                <w:szCs w:val="21"/>
              </w:rPr>
              <w:t>Expected Timeframe for Award Negotiations</w:t>
            </w:r>
            <w:r>
              <w:rPr>
                <w:b/>
                <w:sz w:val="21"/>
                <w:szCs w:val="21"/>
              </w:rPr>
              <w:t>:</w:t>
            </w:r>
          </w:p>
        </w:tc>
        <w:tc>
          <w:tcPr>
            <w:tcW w:w="0" w:type="auto"/>
          </w:tcPr>
          <w:p w14:paraId="49EE94DD" w14:textId="74E75530" w:rsidR="001D2C74" w:rsidRPr="005C7876" w:rsidRDefault="00C139B4" w:rsidP="001D2C74">
            <w:pPr>
              <w:rPr>
                <w:sz w:val="21"/>
                <w:szCs w:val="21"/>
              </w:rPr>
            </w:pPr>
            <w:r>
              <w:rPr>
                <w:sz w:val="21"/>
                <w:szCs w:val="21"/>
              </w:rPr>
              <w:t>Ma</w:t>
            </w:r>
            <w:r w:rsidR="00E13D7E">
              <w:rPr>
                <w:sz w:val="21"/>
                <w:szCs w:val="21"/>
              </w:rPr>
              <w:t>y</w:t>
            </w:r>
            <w:r>
              <w:rPr>
                <w:sz w:val="21"/>
                <w:szCs w:val="21"/>
              </w:rPr>
              <w:t xml:space="preserve"> 2025 – </w:t>
            </w:r>
            <w:r w:rsidR="00E13D7E">
              <w:rPr>
                <w:sz w:val="21"/>
                <w:szCs w:val="21"/>
              </w:rPr>
              <w:t>August</w:t>
            </w:r>
            <w:r>
              <w:rPr>
                <w:sz w:val="21"/>
                <w:szCs w:val="21"/>
              </w:rPr>
              <w:t xml:space="preserve"> 2025 </w:t>
            </w:r>
          </w:p>
        </w:tc>
      </w:tr>
    </w:tbl>
    <w:p w14:paraId="6B5B7013" w14:textId="21CEE653" w:rsidR="00D07031" w:rsidRPr="008858B4" w:rsidRDefault="00D07031" w:rsidP="007C7F97">
      <w:pPr>
        <w:ind w:left="360"/>
      </w:pPr>
    </w:p>
    <w:p w14:paraId="6E87E2A4" w14:textId="3234C000" w:rsidR="003C14CB" w:rsidRPr="008858B4" w:rsidRDefault="004E672B" w:rsidP="00AC77FA">
      <w:pPr>
        <w:pStyle w:val="ListParagraph"/>
        <w:numPr>
          <w:ilvl w:val="0"/>
          <w:numId w:val="57"/>
        </w:numPr>
        <w:ind w:left="720"/>
      </w:pPr>
      <w:r w:rsidRPr="00D35C0F">
        <w:t xml:space="preserve">Applicants must submit </w:t>
      </w:r>
      <w:r w:rsidR="003975B0">
        <w:t>a</w:t>
      </w:r>
      <w:r w:rsidR="00A36D4C">
        <w:t xml:space="preserve"> Concept Paper</w:t>
      </w:r>
      <w:r w:rsidRPr="00D35C0F">
        <w:t xml:space="preserve"> by 5:00</w:t>
      </w:r>
      <w:r w:rsidR="00D54C61">
        <w:t xml:space="preserve"> </w:t>
      </w:r>
      <w:r w:rsidRPr="00D35C0F">
        <w:t>p</w:t>
      </w:r>
      <w:r w:rsidR="00D54C61">
        <w:t>.</w:t>
      </w:r>
      <w:r w:rsidRPr="00D35C0F">
        <w:t>m</w:t>
      </w:r>
      <w:r w:rsidR="00D54C61">
        <w:t>.</w:t>
      </w:r>
      <w:r w:rsidRPr="00D35C0F">
        <w:t xml:space="preserve"> ET</w:t>
      </w:r>
      <w:r w:rsidR="000F0038">
        <w:t xml:space="preserve"> on</w:t>
      </w:r>
      <w:r w:rsidRPr="00D35C0F">
        <w:t xml:space="preserve"> the due date listed above to be eligible to submit a Full Application.</w:t>
      </w:r>
    </w:p>
    <w:p w14:paraId="26BFFFC4" w14:textId="71865044" w:rsidR="00D07031" w:rsidRPr="008858B4" w:rsidRDefault="00D07031" w:rsidP="00D07031"/>
    <w:p w14:paraId="6DFD2660" w14:textId="1205948B" w:rsidR="003A2EEC" w:rsidRPr="008858B4" w:rsidRDefault="00187415" w:rsidP="00AC77FA">
      <w:pPr>
        <w:pStyle w:val="ListParagraph"/>
        <w:numPr>
          <w:ilvl w:val="0"/>
          <w:numId w:val="99"/>
        </w:numPr>
      </w:pPr>
      <w:r>
        <w:t>To apply to this FOA, applicants must register with and submit application materials through</w:t>
      </w:r>
      <w:r w:rsidR="003A2EEC">
        <w:t xml:space="preserve"> </w:t>
      </w:r>
      <w:r>
        <w:t xml:space="preserve">EERE </w:t>
      </w:r>
      <w:r w:rsidR="00BB516E">
        <w:t>eXCHANGE</w:t>
      </w:r>
      <w:r>
        <w:t xml:space="preserve"> at </w:t>
      </w:r>
      <w:hyperlink r:id="rId12" w:history="1">
        <w:r w:rsidR="00D615E8">
          <w:rPr>
            <w:rStyle w:val="Hyperlink"/>
          </w:rPr>
          <w:t>https://eere-eXCHANGE.energy.gov</w:t>
        </w:r>
      </w:hyperlink>
      <w:r>
        <w:t>, EERE’s online application portal.</w:t>
      </w:r>
    </w:p>
    <w:p w14:paraId="29539563" w14:textId="77777777" w:rsidR="00D07031" w:rsidRPr="008858B4" w:rsidRDefault="00D07031" w:rsidP="00E97D64">
      <w:pPr>
        <w:pStyle w:val="ListParagraph"/>
      </w:pPr>
    </w:p>
    <w:p w14:paraId="0696C57E" w14:textId="439137C5" w:rsidR="00D07031" w:rsidRDefault="004E672B" w:rsidP="00D07031">
      <w:pPr>
        <w:pStyle w:val="ListParagraph"/>
        <w:numPr>
          <w:ilvl w:val="0"/>
          <w:numId w:val="1"/>
        </w:numPr>
      </w:pPr>
      <w:r>
        <w:t xml:space="preserve">Applicants must designate primary and backup points-of-contact in </w:t>
      </w:r>
      <w:r w:rsidR="003A2EEC">
        <w:t xml:space="preserve">EERE </w:t>
      </w:r>
      <w:r w:rsidR="00BB516E">
        <w:t>eXCHANGE</w:t>
      </w:r>
      <w:r>
        <w:t xml:space="preserve"> with whom EERE will communicate to conduct award negotiations. If an application is selected for award negotiations, it is not a commitment to issue an award. It is imperative that the applicant/selectee be responsive during award negotiations and meet negotiation deadlines. Failure to do so may result in cancelation of further award nego</w:t>
      </w:r>
      <w:r w:rsidR="00565A45">
        <w:t xml:space="preserve">tiations and rescission of the </w:t>
      </w:r>
      <w:r w:rsidR="003F26AB">
        <w:t>s</w:t>
      </w:r>
      <w:r>
        <w:t>election.</w:t>
      </w:r>
    </w:p>
    <w:p w14:paraId="75F56D5E" w14:textId="77777777" w:rsidR="001D2C74" w:rsidRDefault="001D2C74" w:rsidP="001D2C74"/>
    <w:p w14:paraId="567FC4BA" w14:textId="2342C7C8" w:rsidR="001D2C74" w:rsidRPr="00C442F9" w:rsidRDefault="001D2C74" w:rsidP="001D2C74">
      <w:pPr>
        <w:pStyle w:val="ListParagraph"/>
        <w:numPr>
          <w:ilvl w:val="0"/>
          <w:numId w:val="57"/>
        </w:numPr>
        <w:ind w:left="720"/>
        <w:rPr>
          <w:rStyle w:val="Strong"/>
          <w:rFonts w:cstheme="minorBidi"/>
          <w:b w:val="0"/>
          <w:bCs w:val="0"/>
        </w:rPr>
      </w:pPr>
      <w:r w:rsidRPr="00D54C61">
        <w:rPr>
          <w:rStyle w:val="Strong"/>
          <w:rFonts w:cstheme="minorBidi"/>
          <w:color w:val="292929"/>
          <w:shd w:val="clear" w:color="auto" w:fill="FFFFFF"/>
        </w:rPr>
        <w:t xml:space="preserve">Unique Entity Identifier (UEI) and System for Award Management (SAM) - </w:t>
      </w:r>
      <w:r w:rsidRPr="00C442F9">
        <w:rPr>
          <w:rStyle w:val="Strong"/>
          <w:rFonts w:cstheme="minorBidi"/>
          <w:b w:val="0"/>
          <w:bCs w:val="0"/>
          <w:color w:val="292929"/>
          <w:shd w:val="clear" w:color="auto" w:fill="FFFFFF"/>
        </w:rPr>
        <w:t xml:space="preserve">Each applicant (unless the applicant is excepted from those requirements under 2 CFR 25.110) is required to: (1) register in the SAM at </w:t>
      </w:r>
      <w:hyperlink r:id="rId13" w:history="1">
        <w:r w:rsidRPr="00C442F9">
          <w:rPr>
            <w:rStyle w:val="Hyperlink"/>
            <w:rFonts w:cstheme="minorBidi"/>
            <w:b/>
            <w:bCs/>
            <w:shd w:val="clear" w:color="auto" w:fill="FFFFFF"/>
          </w:rPr>
          <w:t>https://www.sam.gov</w:t>
        </w:r>
      </w:hyperlink>
      <w:r w:rsidRPr="00C442F9">
        <w:rPr>
          <w:rStyle w:val="Strong"/>
          <w:rFonts w:cstheme="minorBidi"/>
          <w:b w:val="0"/>
          <w:bCs w:val="0"/>
          <w:color w:val="292929"/>
          <w:shd w:val="clear" w:color="auto" w:fill="FFFFFF"/>
        </w:rPr>
        <w:t xml:space="preserve"> before submitting an application; (2) provide a valid UEI number in the application; and (3) maintain an active SAM registration with current information when the applicant has an active federal award or an application or plan under consideration by a federal awarding agency. DOE may not make a federal award to an applicant until the applicant has </w:t>
      </w:r>
      <w:r w:rsidRPr="00C442F9">
        <w:rPr>
          <w:rStyle w:val="Strong"/>
          <w:rFonts w:cstheme="minorBidi"/>
          <w:b w:val="0"/>
          <w:bCs w:val="0"/>
          <w:color w:val="292929"/>
          <w:shd w:val="clear" w:color="auto" w:fill="FFFFFF"/>
        </w:rPr>
        <w:lastRenderedPageBreak/>
        <w:t>complied with all applicable UEI and SAM requirements and, if an applicant has not fully complied with the requirements by the time DOE is ready to make a federal award, DOE will determine that the applicant is not qualified to receive a federal award and use that determination as a basis for making a federal award to another applicant.</w:t>
      </w:r>
    </w:p>
    <w:p w14:paraId="7EAB0169" w14:textId="77777777" w:rsidR="001D2C74" w:rsidRPr="00C442F9" w:rsidRDefault="001D2C74" w:rsidP="001D2C74">
      <w:pPr>
        <w:pStyle w:val="ListParagraph"/>
        <w:rPr>
          <w:rStyle w:val="Strong"/>
          <w:rFonts w:cstheme="minorHAnsi"/>
          <w:b w:val="0"/>
          <w:bCs w:val="0"/>
          <w:color w:val="292929"/>
          <w:szCs w:val="24"/>
          <w:shd w:val="clear" w:color="auto" w:fill="FFFFFF"/>
        </w:rPr>
      </w:pPr>
    </w:p>
    <w:p w14:paraId="0162244A" w14:textId="51552A92" w:rsidR="001D2C74" w:rsidRPr="00815B16" w:rsidRDefault="001D2C74" w:rsidP="001D2C74">
      <w:pPr>
        <w:pStyle w:val="ListParagraph"/>
        <w:rPr>
          <w:rStyle w:val="Strong"/>
          <w:rFonts w:cstheme="minorBidi"/>
          <w:b w:val="0"/>
          <w:bCs w:val="0"/>
        </w:rPr>
      </w:pPr>
      <w:r w:rsidRPr="00D54C61">
        <w:rPr>
          <w:rStyle w:val="Strong"/>
          <w:rFonts w:cstheme="minorBidi"/>
          <w:color w:val="292929"/>
          <w:shd w:val="clear" w:color="auto" w:fill="FFFFFF"/>
        </w:rPr>
        <w:t xml:space="preserve">NOTE: Due to the high number of UEI requests and SAM registrations, entity legal business name and address validations are taking longer than expected to process. Entities should start the UEI and SAM registration process as soon as possible. If entities have technical difficulties with the UEI validation or SAM registration process they should use the </w:t>
      </w:r>
      <w:hyperlink r:id="rId14" w:history="1">
        <w:r w:rsidRPr="00D54C61">
          <w:rPr>
            <w:rStyle w:val="Hyperlink"/>
            <w:rFonts w:cstheme="minorBidi"/>
            <w:shd w:val="clear" w:color="auto" w:fill="FFFFFF"/>
          </w:rPr>
          <w:t>HELP</w:t>
        </w:r>
      </w:hyperlink>
      <w:r w:rsidRPr="00D54C61">
        <w:rPr>
          <w:rStyle w:val="Strong"/>
          <w:rFonts w:cstheme="minorBidi"/>
          <w:color w:val="292929"/>
          <w:shd w:val="clear" w:color="auto" w:fill="FFFFFF"/>
        </w:rPr>
        <w:t xml:space="preserve"> feature on </w:t>
      </w:r>
      <w:hyperlink r:id="rId15" w:history="1">
        <w:r w:rsidRPr="00D54C61">
          <w:rPr>
            <w:rStyle w:val="Hyperlink"/>
            <w:rFonts w:cstheme="minorBidi"/>
            <w:shd w:val="clear" w:color="auto" w:fill="FFFFFF"/>
          </w:rPr>
          <w:t>SAM.gov</w:t>
        </w:r>
      </w:hyperlink>
      <w:r w:rsidRPr="00D54C61">
        <w:rPr>
          <w:rStyle w:val="Strong"/>
          <w:rFonts w:cstheme="minorBidi"/>
          <w:color w:val="292929"/>
          <w:shd w:val="clear" w:color="auto" w:fill="FFFFFF"/>
        </w:rPr>
        <w:t>. SAM.gov will address service tickets in the order in which they are received and asks that entities not create multiple service tickets for the same request or technical issue. Additional entity validation resources can be found here: </w:t>
      </w:r>
      <w:hyperlink r:id="rId16" w:history="1">
        <w:r w:rsidRPr="00D54C61">
          <w:rPr>
            <w:rStyle w:val="Hyperlink"/>
          </w:rPr>
          <w:t>GSAFSD Tier 0 Knowledge Base - Validating your Entity</w:t>
        </w:r>
      </w:hyperlink>
      <w:r w:rsidRPr="00D54C61">
        <w:rPr>
          <w:rStyle w:val="Strong"/>
          <w:rFonts w:cstheme="minorBidi"/>
          <w:color w:val="292929"/>
          <w:shd w:val="clear" w:color="auto" w:fill="FFFFFF"/>
        </w:rPr>
        <w:t>.</w:t>
      </w:r>
    </w:p>
    <w:p w14:paraId="11CE5881" w14:textId="77777777" w:rsidR="001D2C74" w:rsidRDefault="001D2C74" w:rsidP="001D2C74"/>
    <w:p w14:paraId="1E3A9CAE" w14:textId="77777777" w:rsidR="001D2C74" w:rsidRDefault="001D2C74" w:rsidP="001D2C74"/>
    <w:p w14:paraId="61233409" w14:textId="33C19671" w:rsidR="00D07031" w:rsidRDefault="00D07031" w:rsidP="00D07031"/>
    <w:p w14:paraId="1DB1EDEF" w14:textId="77777777" w:rsidR="00D07031" w:rsidRPr="00047F19" w:rsidRDefault="00D07031" w:rsidP="00D07031">
      <w:pPr>
        <w:rPr>
          <w:b/>
          <w:sz w:val="36"/>
          <w:szCs w:val="36"/>
        </w:rPr>
        <w:sectPr w:rsidR="00D07031" w:rsidRPr="00047F19" w:rsidSect="002B6C14">
          <w:headerReference w:type="default" r:id="rId17"/>
          <w:footerReference w:type="default" r:id="rId18"/>
          <w:headerReference w:type="first" r:id="rId19"/>
          <w:footerReference w:type="first" r:id="rId20"/>
          <w:type w:val="continuous"/>
          <w:pgSz w:w="12240" w:h="15840" w:code="1"/>
          <w:pgMar w:top="1440" w:right="1440" w:bottom="1584" w:left="1440" w:header="720" w:footer="720" w:gutter="0"/>
          <w:cols w:space="720"/>
          <w:titlePg/>
          <w:docGrid w:linePitch="360"/>
        </w:sectPr>
      </w:pPr>
    </w:p>
    <w:p w14:paraId="308912CC" w14:textId="77777777" w:rsidR="00D07031" w:rsidRPr="00120F39" w:rsidRDefault="004E672B" w:rsidP="00D07031">
      <w:pPr>
        <w:jc w:val="center"/>
        <w:outlineLvl w:val="0"/>
        <w:rPr>
          <w:b/>
          <w:sz w:val="36"/>
          <w:szCs w:val="36"/>
        </w:rPr>
      </w:pPr>
      <w:bookmarkStart w:id="3" w:name="_Toc519602301"/>
      <w:bookmarkStart w:id="4" w:name="_Toc176864397"/>
      <w:r w:rsidRPr="00120F39">
        <w:rPr>
          <w:b/>
          <w:sz w:val="36"/>
          <w:szCs w:val="36"/>
        </w:rPr>
        <w:lastRenderedPageBreak/>
        <w:t>Table of Contents</w:t>
      </w:r>
      <w:bookmarkEnd w:id="3"/>
      <w:bookmarkEnd w:id="4"/>
    </w:p>
    <w:p w14:paraId="15A2FC3F" w14:textId="77777777" w:rsidR="00D07031" w:rsidRDefault="00D07031" w:rsidP="00D07031">
      <w:pPr>
        <w:pStyle w:val="FOATemplateBody"/>
      </w:pPr>
    </w:p>
    <w:p w14:paraId="3D2DB7BE" w14:textId="0CDD6483" w:rsidR="0015790A" w:rsidRDefault="004E672B">
      <w:pPr>
        <w:pStyle w:val="TOC1"/>
        <w:rPr>
          <w:rFonts w:eastAsiaTheme="minorEastAsia"/>
          <w:b w:val="0"/>
          <w:bCs w:val="0"/>
          <w:noProof/>
          <w:kern w:val="2"/>
          <w:sz w:val="24"/>
          <w:szCs w:val="24"/>
          <w14:ligatures w14:val="standardContextual"/>
        </w:rPr>
      </w:pPr>
      <w:r>
        <w:rPr>
          <w:noProof/>
        </w:rPr>
        <w:fldChar w:fldCharType="begin"/>
      </w:r>
      <w:r>
        <w:rPr>
          <w:noProof/>
        </w:rPr>
        <w:instrText xml:space="preserve"> TOC \o "1-3" \h \z \u </w:instrText>
      </w:r>
      <w:r>
        <w:rPr>
          <w:noProof/>
        </w:rPr>
        <w:fldChar w:fldCharType="separate"/>
      </w:r>
      <w:hyperlink w:anchor="_Toc176864397" w:history="1">
        <w:r w:rsidR="0015790A" w:rsidRPr="009D7477">
          <w:rPr>
            <w:rStyle w:val="Hyperlink"/>
            <w:noProof/>
          </w:rPr>
          <w:t>Table of Contents</w:t>
        </w:r>
        <w:r w:rsidR="0015790A">
          <w:rPr>
            <w:noProof/>
            <w:webHidden/>
          </w:rPr>
          <w:tab/>
        </w:r>
        <w:r w:rsidR="0015790A">
          <w:rPr>
            <w:noProof/>
            <w:webHidden/>
          </w:rPr>
          <w:fldChar w:fldCharType="begin"/>
        </w:r>
        <w:r w:rsidR="0015790A">
          <w:rPr>
            <w:noProof/>
            <w:webHidden/>
          </w:rPr>
          <w:instrText xml:space="preserve"> PAGEREF _Toc176864397 \h </w:instrText>
        </w:r>
        <w:r w:rsidR="0015790A">
          <w:rPr>
            <w:noProof/>
            <w:webHidden/>
          </w:rPr>
        </w:r>
        <w:r w:rsidR="0015790A">
          <w:rPr>
            <w:noProof/>
            <w:webHidden/>
          </w:rPr>
          <w:fldChar w:fldCharType="separate"/>
        </w:r>
        <w:r w:rsidR="001B6894">
          <w:rPr>
            <w:noProof/>
            <w:webHidden/>
          </w:rPr>
          <w:t>i</w:t>
        </w:r>
        <w:r w:rsidR="0015790A">
          <w:rPr>
            <w:noProof/>
            <w:webHidden/>
          </w:rPr>
          <w:fldChar w:fldCharType="end"/>
        </w:r>
      </w:hyperlink>
    </w:p>
    <w:p w14:paraId="1DEEBF07" w14:textId="55D1BA2B" w:rsidR="0015790A" w:rsidRDefault="0015790A">
      <w:pPr>
        <w:pStyle w:val="TOC1"/>
        <w:rPr>
          <w:rFonts w:eastAsiaTheme="minorEastAsia"/>
          <w:b w:val="0"/>
          <w:bCs w:val="0"/>
          <w:noProof/>
          <w:kern w:val="2"/>
          <w:sz w:val="24"/>
          <w:szCs w:val="24"/>
          <w14:ligatures w14:val="standardContextual"/>
        </w:rPr>
      </w:pPr>
      <w:hyperlink w:anchor="_Toc176864398" w:history="1">
        <w:r w:rsidRPr="009D7477">
          <w:rPr>
            <w:rStyle w:val="Hyperlink"/>
            <w:smallCaps/>
            <w:noProof/>
          </w:rPr>
          <w:t>I.</w:t>
        </w:r>
        <w:r>
          <w:rPr>
            <w:rFonts w:eastAsiaTheme="minorEastAsia"/>
            <w:b w:val="0"/>
            <w:bCs w:val="0"/>
            <w:noProof/>
            <w:kern w:val="2"/>
            <w:sz w:val="24"/>
            <w:szCs w:val="24"/>
            <w14:ligatures w14:val="standardContextual"/>
          </w:rPr>
          <w:tab/>
        </w:r>
        <w:r w:rsidRPr="009D7477">
          <w:rPr>
            <w:rStyle w:val="Hyperlink"/>
            <w:noProof/>
          </w:rPr>
          <w:t>Funding Opportunity Description</w:t>
        </w:r>
        <w:r>
          <w:rPr>
            <w:noProof/>
            <w:webHidden/>
          </w:rPr>
          <w:tab/>
        </w:r>
        <w:r>
          <w:rPr>
            <w:noProof/>
            <w:webHidden/>
          </w:rPr>
          <w:fldChar w:fldCharType="begin"/>
        </w:r>
        <w:r>
          <w:rPr>
            <w:noProof/>
            <w:webHidden/>
          </w:rPr>
          <w:instrText xml:space="preserve"> PAGEREF _Toc176864398 \h </w:instrText>
        </w:r>
        <w:r>
          <w:rPr>
            <w:noProof/>
            <w:webHidden/>
          </w:rPr>
        </w:r>
        <w:r>
          <w:rPr>
            <w:noProof/>
            <w:webHidden/>
          </w:rPr>
          <w:fldChar w:fldCharType="separate"/>
        </w:r>
        <w:r w:rsidR="001B6894">
          <w:rPr>
            <w:noProof/>
            <w:webHidden/>
          </w:rPr>
          <w:t>5</w:t>
        </w:r>
        <w:r>
          <w:rPr>
            <w:noProof/>
            <w:webHidden/>
          </w:rPr>
          <w:fldChar w:fldCharType="end"/>
        </w:r>
      </w:hyperlink>
    </w:p>
    <w:p w14:paraId="6B234290" w14:textId="4CE6820A" w:rsidR="0015790A" w:rsidRDefault="0015790A">
      <w:pPr>
        <w:pStyle w:val="TOC2"/>
        <w:rPr>
          <w:rFonts w:eastAsiaTheme="minorEastAsia"/>
          <w:noProof/>
          <w:kern w:val="2"/>
          <w:sz w:val="24"/>
          <w:szCs w:val="24"/>
          <w14:ligatures w14:val="standardContextual"/>
        </w:rPr>
      </w:pPr>
      <w:hyperlink w:anchor="_Toc176864399"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Background and Context</w:t>
        </w:r>
        <w:r>
          <w:rPr>
            <w:noProof/>
            <w:webHidden/>
          </w:rPr>
          <w:tab/>
        </w:r>
        <w:r>
          <w:rPr>
            <w:noProof/>
            <w:webHidden/>
          </w:rPr>
          <w:fldChar w:fldCharType="begin"/>
        </w:r>
        <w:r>
          <w:rPr>
            <w:noProof/>
            <w:webHidden/>
          </w:rPr>
          <w:instrText xml:space="preserve"> PAGEREF _Toc176864399 \h </w:instrText>
        </w:r>
        <w:r>
          <w:rPr>
            <w:noProof/>
            <w:webHidden/>
          </w:rPr>
        </w:r>
        <w:r>
          <w:rPr>
            <w:noProof/>
            <w:webHidden/>
          </w:rPr>
          <w:fldChar w:fldCharType="separate"/>
        </w:r>
        <w:r w:rsidR="001B6894">
          <w:rPr>
            <w:noProof/>
            <w:webHidden/>
          </w:rPr>
          <w:t>5</w:t>
        </w:r>
        <w:r>
          <w:rPr>
            <w:noProof/>
            <w:webHidden/>
          </w:rPr>
          <w:fldChar w:fldCharType="end"/>
        </w:r>
      </w:hyperlink>
    </w:p>
    <w:p w14:paraId="42BD720B" w14:textId="1C1CEAAB" w:rsidR="0015790A" w:rsidRDefault="0015790A">
      <w:pPr>
        <w:pStyle w:val="TOC3"/>
        <w:rPr>
          <w:rFonts w:asciiTheme="minorHAnsi" w:eastAsiaTheme="minorEastAsia" w:hAnsiTheme="minorHAnsi"/>
          <w:iCs w:val="0"/>
          <w:kern w:val="2"/>
          <w:sz w:val="24"/>
          <w:szCs w:val="24"/>
          <w14:ligatures w14:val="standardContextual"/>
        </w:rPr>
      </w:pPr>
      <w:hyperlink w:anchor="_Toc176864400"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Background and Purpose</w:t>
        </w:r>
        <w:r>
          <w:rPr>
            <w:webHidden/>
          </w:rPr>
          <w:tab/>
        </w:r>
        <w:r>
          <w:rPr>
            <w:webHidden/>
          </w:rPr>
          <w:fldChar w:fldCharType="begin"/>
        </w:r>
        <w:r>
          <w:rPr>
            <w:webHidden/>
          </w:rPr>
          <w:instrText xml:space="preserve"> PAGEREF _Toc176864400 \h </w:instrText>
        </w:r>
        <w:r>
          <w:rPr>
            <w:webHidden/>
          </w:rPr>
        </w:r>
        <w:r>
          <w:rPr>
            <w:webHidden/>
          </w:rPr>
          <w:fldChar w:fldCharType="separate"/>
        </w:r>
        <w:r w:rsidR="001B6894">
          <w:rPr>
            <w:webHidden/>
          </w:rPr>
          <w:t>5</w:t>
        </w:r>
        <w:r>
          <w:rPr>
            <w:webHidden/>
          </w:rPr>
          <w:fldChar w:fldCharType="end"/>
        </w:r>
      </w:hyperlink>
    </w:p>
    <w:p w14:paraId="78CCE0D7" w14:textId="2B9DCBD2" w:rsidR="0015790A" w:rsidRDefault="0015790A">
      <w:pPr>
        <w:pStyle w:val="TOC3"/>
        <w:rPr>
          <w:rFonts w:asciiTheme="minorHAnsi" w:eastAsiaTheme="minorEastAsia" w:hAnsiTheme="minorHAnsi"/>
          <w:iCs w:val="0"/>
          <w:kern w:val="2"/>
          <w:sz w:val="24"/>
          <w:szCs w:val="24"/>
          <w14:ligatures w14:val="standardContextual"/>
        </w:rPr>
      </w:pPr>
      <w:hyperlink w:anchor="_Toc176864401"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Technology Space and Strategic Goals</w:t>
        </w:r>
        <w:r>
          <w:rPr>
            <w:webHidden/>
          </w:rPr>
          <w:tab/>
        </w:r>
        <w:r>
          <w:rPr>
            <w:webHidden/>
          </w:rPr>
          <w:fldChar w:fldCharType="begin"/>
        </w:r>
        <w:r>
          <w:rPr>
            <w:webHidden/>
          </w:rPr>
          <w:instrText xml:space="preserve"> PAGEREF _Toc176864401 \h </w:instrText>
        </w:r>
        <w:r>
          <w:rPr>
            <w:webHidden/>
          </w:rPr>
        </w:r>
        <w:r>
          <w:rPr>
            <w:webHidden/>
          </w:rPr>
          <w:fldChar w:fldCharType="separate"/>
        </w:r>
        <w:r w:rsidR="001B6894">
          <w:rPr>
            <w:webHidden/>
          </w:rPr>
          <w:t>6</w:t>
        </w:r>
        <w:r>
          <w:rPr>
            <w:webHidden/>
          </w:rPr>
          <w:fldChar w:fldCharType="end"/>
        </w:r>
      </w:hyperlink>
    </w:p>
    <w:p w14:paraId="66DA97EE" w14:textId="4131EFA0" w:rsidR="0015790A" w:rsidRDefault="0015790A">
      <w:pPr>
        <w:pStyle w:val="TOC3"/>
        <w:rPr>
          <w:rFonts w:asciiTheme="minorHAnsi" w:eastAsiaTheme="minorEastAsia" w:hAnsiTheme="minorHAnsi"/>
          <w:iCs w:val="0"/>
          <w:kern w:val="2"/>
          <w:sz w:val="24"/>
          <w:szCs w:val="24"/>
          <w14:ligatures w14:val="standardContextual"/>
        </w:rPr>
      </w:pPr>
      <w:hyperlink w:anchor="_Toc176864402"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Teaming Partner List</w:t>
        </w:r>
        <w:r>
          <w:rPr>
            <w:webHidden/>
          </w:rPr>
          <w:tab/>
        </w:r>
        <w:r>
          <w:rPr>
            <w:webHidden/>
          </w:rPr>
          <w:fldChar w:fldCharType="begin"/>
        </w:r>
        <w:r>
          <w:rPr>
            <w:webHidden/>
          </w:rPr>
          <w:instrText xml:space="preserve"> PAGEREF _Toc176864402 \h </w:instrText>
        </w:r>
        <w:r>
          <w:rPr>
            <w:webHidden/>
          </w:rPr>
        </w:r>
        <w:r>
          <w:rPr>
            <w:webHidden/>
          </w:rPr>
          <w:fldChar w:fldCharType="separate"/>
        </w:r>
        <w:r w:rsidR="001B6894">
          <w:rPr>
            <w:webHidden/>
          </w:rPr>
          <w:t>9</w:t>
        </w:r>
        <w:r>
          <w:rPr>
            <w:webHidden/>
          </w:rPr>
          <w:fldChar w:fldCharType="end"/>
        </w:r>
      </w:hyperlink>
    </w:p>
    <w:p w14:paraId="6B03812A" w14:textId="4E49DADE" w:rsidR="0015790A" w:rsidRDefault="0015790A">
      <w:pPr>
        <w:pStyle w:val="TOC2"/>
        <w:rPr>
          <w:rFonts w:eastAsiaTheme="minorEastAsia"/>
          <w:noProof/>
          <w:kern w:val="2"/>
          <w:sz w:val="24"/>
          <w:szCs w:val="24"/>
          <w14:ligatures w14:val="standardContextual"/>
        </w:rPr>
      </w:pPr>
      <w:hyperlink w:anchor="_Toc176864403"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Topic Areas</w:t>
        </w:r>
        <w:r>
          <w:rPr>
            <w:noProof/>
            <w:webHidden/>
          </w:rPr>
          <w:tab/>
        </w:r>
        <w:r>
          <w:rPr>
            <w:noProof/>
            <w:webHidden/>
          </w:rPr>
          <w:fldChar w:fldCharType="begin"/>
        </w:r>
        <w:r>
          <w:rPr>
            <w:noProof/>
            <w:webHidden/>
          </w:rPr>
          <w:instrText xml:space="preserve"> PAGEREF _Toc176864403 \h </w:instrText>
        </w:r>
        <w:r>
          <w:rPr>
            <w:noProof/>
            <w:webHidden/>
          </w:rPr>
        </w:r>
        <w:r>
          <w:rPr>
            <w:noProof/>
            <w:webHidden/>
          </w:rPr>
          <w:fldChar w:fldCharType="separate"/>
        </w:r>
        <w:r w:rsidR="001B6894">
          <w:rPr>
            <w:noProof/>
            <w:webHidden/>
          </w:rPr>
          <w:t>9</w:t>
        </w:r>
        <w:r>
          <w:rPr>
            <w:noProof/>
            <w:webHidden/>
          </w:rPr>
          <w:fldChar w:fldCharType="end"/>
        </w:r>
      </w:hyperlink>
    </w:p>
    <w:p w14:paraId="007F2432" w14:textId="76AD23CE" w:rsidR="0015790A" w:rsidRDefault="0015790A">
      <w:pPr>
        <w:pStyle w:val="TOC3"/>
        <w:rPr>
          <w:rFonts w:asciiTheme="minorHAnsi" w:eastAsiaTheme="minorEastAsia" w:hAnsiTheme="minorHAnsi"/>
          <w:iCs w:val="0"/>
          <w:kern w:val="2"/>
          <w:sz w:val="24"/>
          <w:szCs w:val="24"/>
          <w14:ligatures w14:val="standardContextual"/>
        </w:rPr>
      </w:pPr>
      <w:hyperlink w:anchor="_Toc176864404"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Scale-up of Bioenergy Technologies Overview</w:t>
        </w:r>
        <w:r>
          <w:rPr>
            <w:webHidden/>
          </w:rPr>
          <w:tab/>
        </w:r>
        <w:r>
          <w:rPr>
            <w:webHidden/>
          </w:rPr>
          <w:fldChar w:fldCharType="begin"/>
        </w:r>
        <w:r>
          <w:rPr>
            <w:webHidden/>
          </w:rPr>
          <w:instrText xml:space="preserve"> PAGEREF _Toc176864404 \h </w:instrText>
        </w:r>
        <w:r>
          <w:rPr>
            <w:webHidden/>
          </w:rPr>
        </w:r>
        <w:r>
          <w:rPr>
            <w:webHidden/>
          </w:rPr>
          <w:fldChar w:fldCharType="separate"/>
        </w:r>
        <w:r w:rsidR="001B6894">
          <w:rPr>
            <w:webHidden/>
          </w:rPr>
          <w:t>9</w:t>
        </w:r>
        <w:r>
          <w:rPr>
            <w:webHidden/>
          </w:rPr>
          <w:fldChar w:fldCharType="end"/>
        </w:r>
      </w:hyperlink>
    </w:p>
    <w:p w14:paraId="289C3010" w14:textId="186D4281" w:rsidR="0015790A" w:rsidRDefault="0015790A">
      <w:pPr>
        <w:pStyle w:val="TOC3"/>
        <w:rPr>
          <w:rFonts w:asciiTheme="minorHAnsi" w:eastAsiaTheme="minorEastAsia" w:hAnsiTheme="minorHAnsi"/>
          <w:iCs w:val="0"/>
          <w:kern w:val="2"/>
          <w:sz w:val="24"/>
          <w:szCs w:val="24"/>
          <w14:ligatures w14:val="standardContextual"/>
        </w:rPr>
      </w:pPr>
      <w:hyperlink w:anchor="_Toc176864405"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Topic Area 1: Pilot Scale-up of Integrated Biorefineries – Phase 1 Preliminary Design and Phased Construction</w:t>
        </w:r>
        <w:r>
          <w:rPr>
            <w:webHidden/>
          </w:rPr>
          <w:tab/>
        </w:r>
        <w:r>
          <w:rPr>
            <w:webHidden/>
          </w:rPr>
          <w:fldChar w:fldCharType="begin"/>
        </w:r>
        <w:r>
          <w:rPr>
            <w:webHidden/>
          </w:rPr>
          <w:instrText xml:space="preserve"> PAGEREF _Toc176864405 \h </w:instrText>
        </w:r>
        <w:r>
          <w:rPr>
            <w:webHidden/>
          </w:rPr>
        </w:r>
        <w:r>
          <w:rPr>
            <w:webHidden/>
          </w:rPr>
          <w:fldChar w:fldCharType="separate"/>
        </w:r>
        <w:r w:rsidR="001B6894">
          <w:rPr>
            <w:webHidden/>
          </w:rPr>
          <w:t>11</w:t>
        </w:r>
        <w:r>
          <w:rPr>
            <w:webHidden/>
          </w:rPr>
          <w:fldChar w:fldCharType="end"/>
        </w:r>
      </w:hyperlink>
    </w:p>
    <w:p w14:paraId="0AEC9B80" w14:textId="4D6C89E5" w:rsidR="0015790A" w:rsidRDefault="0015790A">
      <w:pPr>
        <w:pStyle w:val="TOC3"/>
        <w:rPr>
          <w:rFonts w:asciiTheme="minorHAnsi" w:eastAsiaTheme="minorEastAsia" w:hAnsiTheme="minorHAnsi"/>
          <w:iCs w:val="0"/>
          <w:kern w:val="2"/>
          <w:sz w:val="24"/>
          <w:szCs w:val="24"/>
          <w14:ligatures w14:val="standardContextual"/>
        </w:rPr>
      </w:pPr>
      <w:hyperlink w:anchor="_Toc176864406"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Topic Area 2: Demonstration Scale-up of Integrated Biorefineries – Phase 1 Preliminary Design and Phased Construction</w:t>
        </w:r>
        <w:r>
          <w:rPr>
            <w:webHidden/>
          </w:rPr>
          <w:tab/>
        </w:r>
        <w:r>
          <w:rPr>
            <w:webHidden/>
          </w:rPr>
          <w:fldChar w:fldCharType="begin"/>
        </w:r>
        <w:r>
          <w:rPr>
            <w:webHidden/>
          </w:rPr>
          <w:instrText xml:space="preserve"> PAGEREF _Toc176864406 \h </w:instrText>
        </w:r>
        <w:r>
          <w:rPr>
            <w:webHidden/>
          </w:rPr>
        </w:r>
        <w:r>
          <w:rPr>
            <w:webHidden/>
          </w:rPr>
          <w:fldChar w:fldCharType="separate"/>
        </w:r>
        <w:r w:rsidR="001B6894">
          <w:rPr>
            <w:webHidden/>
          </w:rPr>
          <w:t>18</w:t>
        </w:r>
        <w:r>
          <w:rPr>
            <w:webHidden/>
          </w:rPr>
          <w:fldChar w:fldCharType="end"/>
        </w:r>
      </w:hyperlink>
    </w:p>
    <w:p w14:paraId="321639A2" w14:textId="2102D125" w:rsidR="0015790A" w:rsidRDefault="0015790A">
      <w:pPr>
        <w:pStyle w:val="TOC3"/>
        <w:rPr>
          <w:rFonts w:asciiTheme="minorHAnsi" w:eastAsiaTheme="minorEastAsia" w:hAnsiTheme="minorHAnsi"/>
          <w:iCs w:val="0"/>
          <w:kern w:val="2"/>
          <w:sz w:val="24"/>
          <w:szCs w:val="24"/>
          <w14:ligatures w14:val="standardContextual"/>
        </w:rPr>
      </w:pPr>
      <w:hyperlink w:anchor="_Toc176864407"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Topic Area 3: Scale-up of Organic Chemical Pathways – Phase 1 Preliminary Design and Phased Construction</w:t>
        </w:r>
        <w:r>
          <w:rPr>
            <w:webHidden/>
          </w:rPr>
          <w:tab/>
        </w:r>
        <w:r>
          <w:rPr>
            <w:webHidden/>
          </w:rPr>
          <w:fldChar w:fldCharType="begin"/>
        </w:r>
        <w:r>
          <w:rPr>
            <w:webHidden/>
          </w:rPr>
          <w:instrText xml:space="preserve"> PAGEREF _Toc176864407 \h </w:instrText>
        </w:r>
        <w:r>
          <w:rPr>
            <w:webHidden/>
          </w:rPr>
        </w:r>
        <w:r>
          <w:rPr>
            <w:webHidden/>
          </w:rPr>
          <w:fldChar w:fldCharType="separate"/>
        </w:r>
        <w:r w:rsidR="001B6894">
          <w:rPr>
            <w:webHidden/>
          </w:rPr>
          <w:t>25</w:t>
        </w:r>
        <w:r>
          <w:rPr>
            <w:webHidden/>
          </w:rPr>
          <w:fldChar w:fldCharType="end"/>
        </w:r>
      </w:hyperlink>
    </w:p>
    <w:p w14:paraId="19ADB98F" w14:textId="17B80351" w:rsidR="0015790A" w:rsidRDefault="0015790A">
      <w:pPr>
        <w:pStyle w:val="TOC2"/>
        <w:rPr>
          <w:rFonts w:eastAsiaTheme="minorEastAsia"/>
          <w:noProof/>
          <w:kern w:val="2"/>
          <w:sz w:val="24"/>
          <w:szCs w:val="24"/>
          <w14:ligatures w14:val="standardContextual"/>
        </w:rPr>
      </w:pPr>
      <w:hyperlink w:anchor="_Toc176864408"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Verifications</w:t>
        </w:r>
        <w:r>
          <w:rPr>
            <w:noProof/>
            <w:webHidden/>
          </w:rPr>
          <w:tab/>
        </w:r>
        <w:r>
          <w:rPr>
            <w:noProof/>
            <w:webHidden/>
          </w:rPr>
          <w:fldChar w:fldCharType="begin"/>
        </w:r>
        <w:r>
          <w:rPr>
            <w:noProof/>
            <w:webHidden/>
          </w:rPr>
          <w:instrText xml:space="preserve"> PAGEREF _Toc176864408 \h </w:instrText>
        </w:r>
        <w:r>
          <w:rPr>
            <w:noProof/>
            <w:webHidden/>
          </w:rPr>
        </w:r>
        <w:r>
          <w:rPr>
            <w:noProof/>
            <w:webHidden/>
          </w:rPr>
          <w:fldChar w:fldCharType="separate"/>
        </w:r>
        <w:r w:rsidR="001B6894">
          <w:rPr>
            <w:noProof/>
            <w:webHidden/>
          </w:rPr>
          <w:t>32</w:t>
        </w:r>
        <w:r>
          <w:rPr>
            <w:noProof/>
            <w:webHidden/>
          </w:rPr>
          <w:fldChar w:fldCharType="end"/>
        </w:r>
      </w:hyperlink>
    </w:p>
    <w:p w14:paraId="38B45989" w14:textId="5C6DA8C6" w:rsidR="0015790A" w:rsidRDefault="0015790A">
      <w:pPr>
        <w:pStyle w:val="TOC2"/>
        <w:rPr>
          <w:rFonts w:eastAsiaTheme="minorEastAsia"/>
          <w:noProof/>
          <w:kern w:val="2"/>
          <w:sz w:val="24"/>
          <w:szCs w:val="24"/>
          <w14:ligatures w14:val="standardContextual"/>
        </w:rPr>
      </w:pPr>
      <w:hyperlink w:anchor="_Toc176864409" w:history="1">
        <w:r w:rsidRPr="009D7477">
          <w:rPr>
            <w:rStyle w:val="Hyperlink"/>
            <w:noProof/>
          </w:rPr>
          <w:t>D.</w:t>
        </w:r>
        <w:r>
          <w:rPr>
            <w:rFonts w:eastAsiaTheme="minorEastAsia"/>
            <w:noProof/>
            <w:kern w:val="2"/>
            <w:sz w:val="24"/>
            <w:szCs w:val="24"/>
            <w14:ligatures w14:val="standardContextual"/>
          </w:rPr>
          <w:tab/>
        </w:r>
        <w:r w:rsidRPr="009D7477">
          <w:rPr>
            <w:rStyle w:val="Hyperlink"/>
            <w:noProof/>
          </w:rPr>
          <w:t>Applications Specifically Not of Interest</w:t>
        </w:r>
        <w:r>
          <w:rPr>
            <w:noProof/>
            <w:webHidden/>
          </w:rPr>
          <w:tab/>
        </w:r>
        <w:r>
          <w:rPr>
            <w:noProof/>
            <w:webHidden/>
          </w:rPr>
          <w:fldChar w:fldCharType="begin"/>
        </w:r>
        <w:r>
          <w:rPr>
            <w:noProof/>
            <w:webHidden/>
          </w:rPr>
          <w:instrText xml:space="preserve"> PAGEREF _Toc176864409 \h </w:instrText>
        </w:r>
        <w:r>
          <w:rPr>
            <w:noProof/>
            <w:webHidden/>
          </w:rPr>
        </w:r>
        <w:r>
          <w:rPr>
            <w:noProof/>
            <w:webHidden/>
          </w:rPr>
          <w:fldChar w:fldCharType="separate"/>
        </w:r>
        <w:r w:rsidR="001B6894">
          <w:rPr>
            <w:noProof/>
            <w:webHidden/>
          </w:rPr>
          <w:t>36</w:t>
        </w:r>
        <w:r>
          <w:rPr>
            <w:noProof/>
            <w:webHidden/>
          </w:rPr>
          <w:fldChar w:fldCharType="end"/>
        </w:r>
      </w:hyperlink>
    </w:p>
    <w:p w14:paraId="79DBAFE6" w14:textId="2BB76AFE" w:rsidR="0015790A" w:rsidRDefault="0015790A">
      <w:pPr>
        <w:pStyle w:val="TOC2"/>
        <w:rPr>
          <w:rFonts w:eastAsiaTheme="minorEastAsia"/>
          <w:noProof/>
          <w:kern w:val="2"/>
          <w:sz w:val="24"/>
          <w:szCs w:val="24"/>
          <w14:ligatures w14:val="standardContextual"/>
        </w:rPr>
      </w:pPr>
      <w:hyperlink w:anchor="_Toc176864410" w:history="1">
        <w:r w:rsidRPr="009D7477">
          <w:rPr>
            <w:rStyle w:val="Hyperlink"/>
            <w:noProof/>
          </w:rPr>
          <w:t>E.</w:t>
        </w:r>
        <w:r>
          <w:rPr>
            <w:rFonts w:eastAsiaTheme="minorEastAsia"/>
            <w:noProof/>
            <w:kern w:val="2"/>
            <w:sz w:val="24"/>
            <w:szCs w:val="24"/>
            <w14:ligatures w14:val="standardContextual"/>
          </w:rPr>
          <w:tab/>
        </w:r>
        <w:r w:rsidRPr="009D7477">
          <w:rPr>
            <w:rStyle w:val="Hyperlink"/>
            <w:noProof/>
          </w:rPr>
          <w:t>Diversity, Equity, and Inclusion</w:t>
        </w:r>
        <w:r>
          <w:rPr>
            <w:noProof/>
            <w:webHidden/>
          </w:rPr>
          <w:tab/>
        </w:r>
        <w:r>
          <w:rPr>
            <w:noProof/>
            <w:webHidden/>
          </w:rPr>
          <w:fldChar w:fldCharType="begin"/>
        </w:r>
        <w:r>
          <w:rPr>
            <w:noProof/>
            <w:webHidden/>
          </w:rPr>
          <w:instrText xml:space="preserve"> PAGEREF _Toc176864410 \h </w:instrText>
        </w:r>
        <w:r>
          <w:rPr>
            <w:noProof/>
            <w:webHidden/>
          </w:rPr>
        </w:r>
        <w:r>
          <w:rPr>
            <w:noProof/>
            <w:webHidden/>
          </w:rPr>
          <w:fldChar w:fldCharType="separate"/>
        </w:r>
        <w:r w:rsidR="001B6894">
          <w:rPr>
            <w:noProof/>
            <w:webHidden/>
          </w:rPr>
          <w:t>37</w:t>
        </w:r>
        <w:r>
          <w:rPr>
            <w:noProof/>
            <w:webHidden/>
          </w:rPr>
          <w:fldChar w:fldCharType="end"/>
        </w:r>
      </w:hyperlink>
    </w:p>
    <w:p w14:paraId="7BF80BE1" w14:textId="5DE0E296" w:rsidR="0015790A" w:rsidRDefault="0015790A">
      <w:pPr>
        <w:pStyle w:val="TOC2"/>
        <w:rPr>
          <w:rFonts w:eastAsiaTheme="minorEastAsia"/>
          <w:noProof/>
          <w:kern w:val="2"/>
          <w:sz w:val="24"/>
          <w:szCs w:val="24"/>
          <w14:ligatures w14:val="standardContextual"/>
        </w:rPr>
      </w:pPr>
      <w:hyperlink w:anchor="_Toc176864411" w:history="1">
        <w:r w:rsidRPr="009D7477">
          <w:rPr>
            <w:rStyle w:val="Hyperlink"/>
            <w:noProof/>
          </w:rPr>
          <w:t>F.</w:t>
        </w:r>
        <w:r>
          <w:rPr>
            <w:rFonts w:eastAsiaTheme="minorEastAsia"/>
            <w:noProof/>
            <w:kern w:val="2"/>
            <w:sz w:val="24"/>
            <w:szCs w:val="24"/>
            <w14:ligatures w14:val="standardContextual"/>
          </w:rPr>
          <w:tab/>
        </w:r>
        <w:r w:rsidRPr="009D7477">
          <w:rPr>
            <w:rStyle w:val="Hyperlink"/>
            <w:noProof/>
          </w:rPr>
          <w:t>Authorizing Statutes</w:t>
        </w:r>
        <w:r>
          <w:rPr>
            <w:noProof/>
            <w:webHidden/>
          </w:rPr>
          <w:tab/>
        </w:r>
        <w:r>
          <w:rPr>
            <w:noProof/>
            <w:webHidden/>
          </w:rPr>
          <w:fldChar w:fldCharType="begin"/>
        </w:r>
        <w:r>
          <w:rPr>
            <w:noProof/>
            <w:webHidden/>
          </w:rPr>
          <w:instrText xml:space="preserve"> PAGEREF _Toc176864411 \h </w:instrText>
        </w:r>
        <w:r>
          <w:rPr>
            <w:noProof/>
            <w:webHidden/>
          </w:rPr>
        </w:r>
        <w:r>
          <w:rPr>
            <w:noProof/>
            <w:webHidden/>
          </w:rPr>
          <w:fldChar w:fldCharType="separate"/>
        </w:r>
        <w:r w:rsidR="001B6894">
          <w:rPr>
            <w:noProof/>
            <w:webHidden/>
          </w:rPr>
          <w:t>39</w:t>
        </w:r>
        <w:r>
          <w:rPr>
            <w:noProof/>
            <w:webHidden/>
          </w:rPr>
          <w:fldChar w:fldCharType="end"/>
        </w:r>
      </w:hyperlink>
    </w:p>
    <w:p w14:paraId="75ECA45B" w14:textId="0FB5C5D9" w:rsidR="0015790A" w:rsidRDefault="0015790A">
      <w:pPr>
        <w:pStyle w:val="TOC1"/>
        <w:rPr>
          <w:rFonts w:eastAsiaTheme="minorEastAsia"/>
          <w:b w:val="0"/>
          <w:bCs w:val="0"/>
          <w:noProof/>
          <w:kern w:val="2"/>
          <w:sz w:val="24"/>
          <w:szCs w:val="24"/>
          <w14:ligatures w14:val="standardContextual"/>
        </w:rPr>
      </w:pPr>
      <w:hyperlink w:anchor="_Toc176864412" w:history="1">
        <w:r w:rsidRPr="009D7477">
          <w:rPr>
            <w:rStyle w:val="Hyperlink"/>
            <w:smallCaps/>
            <w:noProof/>
          </w:rPr>
          <w:t>II.</w:t>
        </w:r>
        <w:r>
          <w:rPr>
            <w:rFonts w:eastAsiaTheme="minorEastAsia"/>
            <w:b w:val="0"/>
            <w:bCs w:val="0"/>
            <w:noProof/>
            <w:kern w:val="2"/>
            <w:sz w:val="24"/>
            <w:szCs w:val="24"/>
            <w14:ligatures w14:val="standardContextual"/>
          </w:rPr>
          <w:tab/>
        </w:r>
        <w:r w:rsidRPr="009D7477">
          <w:rPr>
            <w:rStyle w:val="Hyperlink"/>
            <w:noProof/>
          </w:rPr>
          <w:t>Award Information</w:t>
        </w:r>
        <w:r>
          <w:rPr>
            <w:noProof/>
            <w:webHidden/>
          </w:rPr>
          <w:tab/>
        </w:r>
        <w:r>
          <w:rPr>
            <w:noProof/>
            <w:webHidden/>
          </w:rPr>
          <w:fldChar w:fldCharType="begin"/>
        </w:r>
        <w:r>
          <w:rPr>
            <w:noProof/>
            <w:webHidden/>
          </w:rPr>
          <w:instrText xml:space="preserve"> PAGEREF _Toc176864412 \h </w:instrText>
        </w:r>
        <w:r>
          <w:rPr>
            <w:noProof/>
            <w:webHidden/>
          </w:rPr>
        </w:r>
        <w:r>
          <w:rPr>
            <w:noProof/>
            <w:webHidden/>
          </w:rPr>
          <w:fldChar w:fldCharType="separate"/>
        </w:r>
        <w:r w:rsidR="001B6894">
          <w:rPr>
            <w:noProof/>
            <w:webHidden/>
          </w:rPr>
          <w:t>39</w:t>
        </w:r>
        <w:r>
          <w:rPr>
            <w:noProof/>
            <w:webHidden/>
          </w:rPr>
          <w:fldChar w:fldCharType="end"/>
        </w:r>
      </w:hyperlink>
    </w:p>
    <w:p w14:paraId="126A2D60" w14:textId="345AA93C" w:rsidR="0015790A" w:rsidRDefault="0015790A">
      <w:pPr>
        <w:pStyle w:val="TOC2"/>
        <w:rPr>
          <w:rFonts w:eastAsiaTheme="minorEastAsia"/>
          <w:noProof/>
          <w:kern w:val="2"/>
          <w:sz w:val="24"/>
          <w:szCs w:val="24"/>
          <w14:ligatures w14:val="standardContextual"/>
        </w:rPr>
      </w:pPr>
      <w:hyperlink w:anchor="_Toc176864413"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Award Overview</w:t>
        </w:r>
        <w:r>
          <w:rPr>
            <w:noProof/>
            <w:webHidden/>
          </w:rPr>
          <w:tab/>
        </w:r>
        <w:r>
          <w:rPr>
            <w:noProof/>
            <w:webHidden/>
          </w:rPr>
          <w:fldChar w:fldCharType="begin"/>
        </w:r>
        <w:r>
          <w:rPr>
            <w:noProof/>
            <w:webHidden/>
          </w:rPr>
          <w:instrText xml:space="preserve"> PAGEREF _Toc176864413 \h </w:instrText>
        </w:r>
        <w:r>
          <w:rPr>
            <w:noProof/>
            <w:webHidden/>
          </w:rPr>
        </w:r>
        <w:r>
          <w:rPr>
            <w:noProof/>
            <w:webHidden/>
          </w:rPr>
          <w:fldChar w:fldCharType="separate"/>
        </w:r>
        <w:r w:rsidR="001B6894">
          <w:rPr>
            <w:noProof/>
            <w:webHidden/>
          </w:rPr>
          <w:t>39</w:t>
        </w:r>
        <w:r>
          <w:rPr>
            <w:noProof/>
            <w:webHidden/>
          </w:rPr>
          <w:fldChar w:fldCharType="end"/>
        </w:r>
      </w:hyperlink>
    </w:p>
    <w:p w14:paraId="0E5B6829" w14:textId="4E5CE8A2" w:rsidR="0015790A" w:rsidRDefault="0015790A">
      <w:pPr>
        <w:pStyle w:val="TOC3"/>
        <w:rPr>
          <w:rFonts w:asciiTheme="minorHAnsi" w:eastAsiaTheme="minorEastAsia" w:hAnsiTheme="minorHAnsi"/>
          <w:iCs w:val="0"/>
          <w:kern w:val="2"/>
          <w:sz w:val="24"/>
          <w:szCs w:val="24"/>
          <w14:ligatures w14:val="standardContextual"/>
        </w:rPr>
      </w:pPr>
      <w:hyperlink w:anchor="_Toc176864414"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Estimated Funding</w:t>
        </w:r>
        <w:r>
          <w:rPr>
            <w:webHidden/>
          </w:rPr>
          <w:tab/>
        </w:r>
        <w:r>
          <w:rPr>
            <w:webHidden/>
          </w:rPr>
          <w:fldChar w:fldCharType="begin"/>
        </w:r>
        <w:r>
          <w:rPr>
            <w:webHidden/>
          </w:rPr>
          <w:instrText xml:space="preserve"> PAGEREF _Toc176864414 \h </w:instrText>
        </w:r>
        <w:r>
          <w:rPr>
            <w:webHidden/>
          </w:rPr>
        </w:r>
        <w:r>
          <w:rPr>
            <w:webHidden/>
          </w:rPr>
          <w:fldChar w:fldCharType="separate"/>
        </w:r>
        <w:r w:rsidR="001B6894">
          <w:rPr>
            <w:webHidden/>
          </w:rPr>
          <w:t>39</w:t>
        </w:r>
        <w:r>
          <w:rPr>
            <w:webHidden/>
          </w:rPr>
          <w:fldChar w:fldCharType="end"/>
        </w:r>
      </w:hyperlink>
    </w:p>
    <w:p w14:paraId="63B7ADC8" w14:textId="2EDDB426" w:rsidR="0015790A" w:rsidRDefault="0015790A">
      <w:pPr>
        <w:pStyle w:val="TOC3"/>
        <w:rPr>
          <w:rFonts w:asciiTheme="minorHAnsi" w:eastAsiaTheme="minorEastAsia" w:hAnsiTheme="minorHAnsi"/>
          <w:iCs w:val="0"/>
          <w:kern w:val="2"/>
          <w:sz w:val="24"/>
          <w:szCs w:val="24"/>
          <w14:ligatures w14:val="standardContextual"/>
        </w:rPr>
      </w:pPr>
      <w:hyperlink w:anchor="_Toc176864415"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Period of Performance</w:t>
        </w:r>
        <w:r>
          <w:rPr>
            <w:webHidden/>
          </w:rPr>
          <w:tab/>
        </w:r>
        <w:r>
          <w:rPr>
            <w:webHidden/>
          </w:rPr>
          <w:fldChar w:fldCharType="begin"/>
        </w:r>
        <w:r>
          <w:rPr>
            <w:webHidden/>
          </w:rPr>
          <w:instrText xml:space="preserve"> PAGEREF _Toc176864415 \h </w:instrText>
        </w:r>
        <w:r>
          <w:rPr>
            <w:webHidden/>
          </w:rPr>
        </w:r>
        <w:r>
          <w:rPr>
            <w:webHidden/>
          </w:rPr>
          <w:fldChar w:fldCharType="separate"/>
        </w:r>
        <w:r w:rsidR="001B6894">
          <w:rPr>
            <w:webHidden/>
          </w:rPr>
          <w:t>40</w:t>
        </w:r>
        <w:r>
          <w:rPr>
            <w:webHidden/>
          </w:rPr>
          <w:fldChar w:fldCharType="end"/>
        </w:r>
      </w:hyperlink>
    </w:p>
    <w:p w14:paraId="1892B709" w14:textId="7604AF6C" w:rsidR="0015790A" w:rsidRDefault="0015790A">
      <w:pPr>
        <w:pStyle w:val="TOC3"/>
        <w:rPr>
          <w:rFonts w:asciiTheme="minorHAnsi" w:eastAsiaTheme="minorEastAsia" w:hAnsiTheme="minorHAnsi"/>
          <w:iCs w:val="0"/>
          <w:kern w:val="2"/>
          <w:sz w:val="24"/>
          <w:szCs w:val="24"/>
          <w14:ligatures w14:val="standardContextual"/>
        </w:rPr>
      </w:pPr>
      <w:hyperlink w:anchor="_Toc176864416"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New Applications Only</w:t>
        </w:r>
        <w:r>
          <w:rPr>
            <w:webHidden/>
          </w:rPr>
          <w:tab/>
        </w:r>
        <w:r>
          <w:rPr>
            <w:webHidden/>
          </w:rPr>
          <w:fldChar w:fldCharType="begin"/>
        </w:r>
        <w:r>
          <w:rPr>
            <w:webHidden/>
          </w:rPr>
          <w:instrText xml:space="preserve"> PAGEREF _Toc176864416 \h </w:instrText>
        </w:r>
        <w:r>
          <w:rPr>
            <w:webHidden/>
          </w:rPr>
        </w:r>
        <w:r>
          <w:rPr>
            <w:webHidden/>
          </w:rPr>
          <w:fldChar w:fldCharType="separate"/>
        </w:r>
        <w:r w:rsidR="001B6894">
          <w:rPr>
            <w:webHidden/>
          </w:rPr>
          <w:t>40</w:t>
        </w:r>
        <w:r>
          <w:rPr>
            <w:webHidden/>
          </w:rPr>
          <w:fldChar w:fldCharType="end"/>
        </w:r>
      </w:hyperlink>
    </w:p>
    <w:p w14:paraId="4F84A4E4" w14:textId="794D1789" w:rsidR="0015790A" w:rsidRDefault="0015790A">
      <w:pPr>
        <w:pStyle w:val="TOC2"/>
        <w:rPr>
          <w:rFonts w:eastAsiaTheme="minorEastAsia"/>
          <w:noProof/>
          <w:kern w:val="2"/>
          <w:sz w:val="24"/>
          <w:szCs w:val="24"/>
          <w14:ligatures w14:val="standardContextual"/>
        </w:rPr>
      </w:pPr>
      <w:hyperlink w:anchor="_Toc176864417"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EERE Funding Agreements</w:t>
        </w:r>
        <w:r>
          <w:rPr>
            <w:noProof/>
            <w:webHidden/>
          </w:rPr>
          <w:tab/>
        </w:r>
        <w:r>
          <w:rPr>
            <w:noProof/>
            <w:webHidden/>
          </w:rPr>
          <w:fldChar w:fldCharType="begin"/>
        </w:r>
        <w:r>
          <w:rPr>
            <w:noProof/>
            <w:webHidden/>
          </w:rPr>
          <w:instrText xml:space="preserve"> PAGEREF _Toc176864417 \h </w:instrText>
        </w:r>
        <w:r>
          <w:rPr>
            <w:noProof/>
            <w:webHidden/>
          </w:rPr>
        </w:r>
        <w:r>
          <w:rPr>
            <w:noProof/>
            <w:webHidden/>
          </w:rPr>
          <w:fldChar w:fldCharType="separate"/>
        </w:r>
        <w:r w:rsidR="001B6894">
          <w:rPr>
            <w:noProof/>
            <w:webHidden/>
          </w:rPr>
          <w:t>40</w:t>
        </w:r>
        <w:r>
          <w:rPr>
            <w:noProof/>
            <w:webHidden/>
          </w:rPr>
          <w:fldChar w:fldCharType="end"/>
        </w:r>
      </w:hyperlink>
    </w:p>
    <w:p w14:paraId="2EB6A9C1" w14:textId="3F796CF6" w:rsidR="0015790A" w:rsidRDefault="0015790A">
      <w:pPr>
        <w:pStyle w:val="TOC3"/>
        <w:rPr>
          <w:rFonts w:asciiTheme="minorHAnsi" w:eastAsiaTheme="minorEastAsia" w:hAnsiTheme="minorHAnsi"/>
          <w:iCs w:val="0"/>
          <w:kern w:val="2"/>
          <w:sz w:val="24"/>
          <w:szCs w:val="24"/>
          <w14:ligatures w14:val="standardContextual"/>
        </w:rPr>
      </w:pPr>
      <w:hyperlink w:anchor="_Toc176864418" w:history="1">
        <w:r w:rsidRPr="009D7477">
          <w:rPr>
            <w:rStyle w:val="Hyperlink"/>
          </w:rPr>
          <w:t>i.</w:t>
        </w:r>
        <w:r>
          <w:rPr>
            <w:rFonts w:asciiTheme="minorHAnsi" w:eastAsiaTheme="minorEastAsia" w:hAnsiTheme="minorHAnsi"/>
            <w:iCs w:val="0"/>
            <w:kern w:val="2"/>
            <w:sz w:val="24"/>
            <w:szCs w:val="24"/>
            <w14:ligatures w14:val="standardContextual"/>
          </w:rPr>
          <w:tab/>
        </w:r>
        <w:r w:rsidRPr="009D7477">
          <w:rPr>
            <w:rStyle w:val="Hyperlink"/>
          </w:rPr>
          <w:t>Cooperative Agreements</w:t>
        </w:r>
        <w:r>
          <w:rPr>
            <w:webHidden/>
          </w:rPr>
          <w:tab/>
        </w:r>
        <w:r>
          <w:rPr>
            <w:webHidden/>
          </w:rPr>
          <w:fldChar w:fldCharType="begin"/>
        </w:r>
        <w:r>
          <w:rPr>
            <w:webHidden/>
          </w:rPr>
          <w:instrText xml:space="preserve"> PAGEREF _Toc176864418 \h </w:instrText>
        </w:r>
        <w:r>
          <w:rPr>
            <w:webHidden/>
          </w:rPr>
        </w:r>
        <w:r>
          <w:rPr>
            <w:webHidden/>
          </w:rPr>
          <w:fldChar w:fldCharType="separate"/>
        </w:r>
        <w:r w:rsidR="001B6894">
          <w:rPr>
            <w:webHidden/>
          </w:rPr>
          <w:t>40</w:t>
        </w:r>
        <w:r>
          <w:rPr>
            <w:webHidden/>
          </w:rPr>
          <w:fldChar w:fldCharType="end"/>
        </w:r>
      </w:hyperlink>
    </w:p>
    <w:p w14:paraId="309B0C4F" w14:textId="6D939C16" w:rsidR="0015790A" w:rsidRDefault="0015790A">
      <w:pPr>
        <w:pStyle w:val="TOC3"/>
        <w:rPr>
          <w:rFonts w:asciiTheme="minorHAnsi" w:eastAsiaTheme="minorEastAsia" w:hAnsiTheme="minorHAnsi"/>
          <w:iCs w:val="0"/>
          <w:kern w:val="2"/>
          <w:sz w:val="24"/>
          <w:szCs w:val="24"/>
          <w14:ligatures w14:val="standardContextual"/>
        </w:rPr>
      </w:pPr>
      <w:hyperlink w:anchor="_Toc176864419" w:history="1">
        <w:r w:rsidRPr="009D7477">
          <w:rPr>
            <w:rStyle w:val="Hyperlink"/>
          </w:rPr>
          <w:t>ii.</w:t>
        </w:r>
        <w:r>
          <w:rPr>
            <w:rFonts w:asciiTheme="minorHAnsi" w:eastAsiaTheme="minorEastAsia" w:hAnsiTheme="minorHAnsi"/>
            <w:iCs w:val="0"/>
            <w:kern w:val="2"/>
            <w:sz w:val="24"/>
            <w:szCs w:val="24"/>
            <w14:ligatures w14:val="standardContextual"/>
          </w:rPr>
          <w:tab/>
        </w:r>
        <w:r w:rsidRPr="009D7477">
          <w:rPr>
            <w:rStyle w:val="Hyperlink"/>
          </w:rPr>
          <w:t>Funding Agreements with Federally Funded Research and Development Center (FFRDCs)</w:t>
        </w:r>
        <w:r>
          <w:rPr>
            <w:webHidden/>
          </w:rPr>
          <w:tab/>
        </w:r>
        <w:r>
          <w:rPr>
            <w:webHidden/>
          </w:rPr>
          <w:fldChar w:fldCharType="begin"/>
        </w:r>
        <w:r>
          <w:rPr>
            <w:webHidden/>
          </w:rPr>
          <w:instrText xml:space="preserve"> PAGEREF _Toc176864419 \h </w:instrText>
        </w:r>
        <w:r>
          <w:rPr>
            <w:webHidden/>
          </w:rPr>
        </w:r>
        <w:r>
          <w:rPr>
            <w:webHidden/>
          </w:rPr>
          <w:fldChar w:fldCharType="separate"/>
        </w:r>
        <w:r w:rsidR="001B6894">
          <w:rPr>
            <w:webHidden/>
          </w:rPr>
          <w:t>41</w:t>
        </w:r>
        <w:r>
          <w:rPr>
            <w:webHidden/>
          </w:rPr>
          <w:fldChar w:fldCharType="end"/>
        </w:r>
      </w:hyperlink>
    </w:p>
    <w:p w14:paraId="4733F935" w14:textId="3F70E955" w:rsidR="0015790A" w:rsidRDefault="0015790A">
      <w:pPr>
        <w:pStyle w:val="TOC1"/>
        <w:rPr>
          <w:rFonts w:eastAsiaTheme="minorEastAsia"/>
          <w:b w:val="0"/>
          <w:bCs w:val="0"/>
          <w:noProof/>
          <w:kern w:val="2"/>
          <w:sz w:val="24"/>
          <w:szCs w:val="24"/>
          <w14:ligatures w14:val="standardContextual"/>
        </w:rPr>
      </w:pPr>
      <w:hyperlink w:anchor="_Toc176864420" w:history="1">
        <w:r w:rsidRPr="009D7477">
          <w:rPr>
            <w:rStyle w:val="Hyperlink"/>
            <w:smallCaps/>
            <w:noProof/>
          </w:rPr>
          <w:t>III.</w:t>
        </w:r>
        <w:r>
          <w:rPr>
            <w:rFonts w:eastAsiaTheme="minorEastAsia"/>
            <w:b w:val="0"/>
            <w:bCs w:val="0"/>
            <w:noProof/>
            <w:kern w:val="2"/>
            <w:sz w:val="24"/>
            <w:szCs w:val="24"/>
            <w14:ligatures w14:val="standardContextual"/>
          </w:rPr>
          <w:tab/>
        </w:r>
        <w:r w:rsidRPr="009D7477">
          <w:rPr>
            <w:rStyle w:val="Hyperlink"/>
            <w:noProof/>
          </w:rPr>
          <w:t>Eligibility Information</w:t>
        </w:r>
        <w:r>
          <w:rPr>
            <w:noProof/>
            <w:webHidden/>
          </w:rPr>
          <w:tab/>
        </w:r>
        <w:r>
          <w:rPr>
            <w:noProof/>
            <w:webHidden/>
          </w:rPr>
          <w:fldChar w:fldCharType="begin"/>
        </w:r>
        <w:r>
          <w:rPr>
            <w:noProof/>
            <w:webHidden/>
          </w:rPr>
          <w:instrText xml:space="preserve"> PAGEREF _Toc176864420 \h </w:instrText>
        </w:r>
        <w:r>
          <w:rPr>
            <w:noProof/>
            <w:webHidden/>
          </w:rPr>
        </w:r>
        <w:r>
          <w:rPr>
            <w:noProof/>
            <w:webHidden/>
          </w:rPr>
          <w:fldChar w:fldCharType="separate"/>
        </w:r>
        <w:r w:rsidR="001B6894">
          <w:rPr>
            <w:noProof/>
            <w:webHidden/>
          </w:rPr>
          <w:t>41</w:t>
        </w:r>
        <w:r>
          <w:rPr>
            <w:noProof/>
            <w:webHidden/>
          </w:rPr>
          <w:fldChar w:fldCharType="end"/>
        </w:r>
      </w:hyperlink>
    </w:p>
    <w:p w14:paraId="2FEC3D2C" w14:textId="414D000F" w:rsidR="0015790A" w:rsidRDefault="0015790A">
      <w:pPr>
        <w:pStyle w:val="TOC2"/>
        <w:rPr>
          <w:rFonts w:eastAsiaTheme="minorEastAsia"/>
          <w:noProof/>
          <w:kern w:val="2"/>
          <w:sz w:val="24"/>
          <w:szCs w:val="24"/>
          <w14:ligatures w14:val="standardContextual"/>
        </w:rPr>
      </w:pPr>
      <w:hyperlink w:anchor="_Toc176864421"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Eligible Applicants</w:t>
        </w:r>
        <w:r>
          <w:rPr>
            <w:noProof/>
            <w:webHidden/>
          </w:rPr>
          <w:tab/>
        </w:r>
        <w:r>
          <w:rPr>
            <w:noProof/>
            <w:webHidden/>
          </w:rPr>
          <w:fldChar w:fldCharType="begin"/>
        </w:r>
        <w:r>
          <w:rPr>
            <w:noProof/>
            <w:webHidden/>
          </w:rPr>
          <w:instrText xml:space="preserve"> PAGEREF _Toc176864421 \h </w:instrText>
        </w:r>
        <w:r>
          <w:rPr>
            <w:noProof/>
            <w:webHidden/>
          </w:rPr>
        </w:r>
        <w:r>
          <w:rPr>
            <w:noProof/>
            <w:webHidden/>
          </w:rPr>
          <w:fldChar w:fldCharType="separate"/>
        </w:r>
        <w:r w:rsidR="001B6894">
          <w:rPr>
            <w:noProof/>
            <w:webHidden/>
          </w:rPr>
          <w:t>41</w:t>
        </w:r>
        <w:r>
          <w:rPr>
            <w:noProof/>
            <w:webHidden/>
          </w:rPr>
          <w:fldChar w:fldCharType="end"/>
        </w:r>
      </w:hyperlink>
    </w:p>
    <w:p w14:paraId="14F38F70" w14:textId="4E17C286" w:rsidR="0015790A" w:rsidRDefault="0015790A">
      <w:pPr>
        <w:pStyle w:val="TOC3"/>
        <w:rPr>
          <w:rFonts w:asciiTheme="minorHAnsi" w:eastAsiaTheme="minorEastAsia" w:hAnsiTheme="minorHAnsi"/>
          <w:iCs w:val="0"/>
          <w:kern w:val="2"/>
          <w:sz w:val="24"/>
          <w:szCs w:val="24"/>
          <w14:ligatures w14:val="standardContextual"/>
        </w:rPr>
      </w:pPr>
      <w:hyperlink w:anchor="_Toc176864422"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Domestic Entities</w:t>
        </w:r>
        <w:r>
          <w:rPr>
            <w:webHidden/>
          </w:rPr>
          <w:tab/>
        </w:r>
        <w:r>
          <w:rPr>
            <w:webHidden/>
          </w:rPr>
          <w:fldChar w:fldCharType="begin"/>
        </w:r>
        <w:r>
          <w:rPr>
            <w:webHidden/>
          </w:rPr>
          <w:instrText xml:space="preserve"> PAGEREF _Toc176864422 \h </w:instrText>
        </w:r>
        <w:r>
          <w:rPr>
            <w:webHidden/>
          </w:rPr>
        </w:r>
        <w:r>
          <w:rPr>
            <w:webHidden/>
          </w:rPr>
          <w:fldChar w:fldCharType="separate"/>
        </w:r>
        <w:r w:rsidR="001B6894">
          <w:rPr>
            <w:webHidden/>
          </w:rPr>
          <w:t>41</w:t>
        </w:r>
        <w:r>
          <w:rPr>
            <w:webHidden/>
          </w:rPr>
          <w:fldChar w:fldCharType="end"/>
        </w:r>
      </w:hyperlink>
    </w:p>
    <w:p w14:paraId="5ED275FB" w14:textId="7563046C" w:rsidR="0015790A" w:rsidRDefault="0015790A">
      <w:pPr>
        <w:pStyle w:val="TOC3"/>
        <w:rPr>
          <w:rFonts w:asciiTheme="minorHAnsi" w:eastAsiaTheme="minorEastAsia" w:hAnsiTheme="minorHAnsi"/>
          <w:iCs w:val="0"/>
          <w:kern w:val="2"/>
          <w:sz w:val="24"/>
          <w:szCs w:val="24"/>
          <w14:ligatures w14:val="standardContextual"/>
        </w:rPr>
      </w:pPr>
      <w:hyperlink w:anchor="_Toc176864423"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Foreign Entities</w:t>
        </w:r>
        <w:r>
          <w:rPr>
            <w:webHidden/>
          </w:rPr>
          <w:tab/>
        </w:r>
        <w:r>
          <w:rPr>
            <w:webHidden/>
          </w:rPr>
          <w:fldChar w:fldCharType="begin"/>
        </w:r>
        <w:r>
          <w:rPr>
            <w:webHidden/>
          </w:rPr>
          <w:instrText xml:space="preserve"> PAGEREF _Toc176864423 \h </w:instrText>
        </w:r>
        <w:r>
          <w:rPr>
            <w:webHidden/>
          </w:rPr>
        </w:r>
        <w:r>
          <w:rPr>
            <w:webHidden/>
          </w:rPr>
          <w:fldChar w:fldCharType="separate"/>
        </w:r>
        <w:r w:rsidR="001B6894">
          <w:rPr>
            <w:webHidden/>
          </w:rPr>
          <w:t>42</w:t>
        </w:r>
        <w:r>
          <w:rPr>
            <w:webHidden/>
          </w:rPr>
          <w:fldChar w:fldCharType="end"/>
        </w:r>
      </w:hyperlink>
    </w:p>
    <w:p w14:paraId="4B050429" w14:textId="07366180" w:rsidR="0015790A" w:rsidRDefault="0015790A">
      <w:pPr>
        <w:pStyle w:val="TOC2"/>
        <w:rPr>
          <w:rFonts w:eastAsiaTheme="minorEastAsia"/>
          <w:noProof/>
          <w:kern w:val="2"/>
          <w:sz w:val="24"/>
          <w:szCs w:val="24"/>
          <w14:ligatures w14:val="standardContextual"/>
        </w:rPr>
      </w:pPr>
      <w:hyperlink w:anchor="_Toc176864424"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Cost Sharing</w:t>
        </w:r>
        <w:r>
          <w:rPr>
            <w:noProof/>
            <w:webHidden/>
          </w:rPr>
          <w:tab/>
        </w:r>
        <w:r>
          <w:rPr>
            <w:noProof/>
            <w:webHidden/>
          </w:rPr>
          <w:fldChar w:fldCharType="begin"/>
        </w:r>
        <w:r>
          <w:rPr>
            <w:noProof/>
            <w:webHidden/>
          </w:rPr>
          <w:instrText xml:space="preserve"> PAGEREF _Toc176864424 \h </w:instrText>
        </w:r>
        <w:r>
          <w:rPr>
            <w:noProof/>
            <w:webHidden/>
          </w:rPr>
        </w:r>
        <w:r>
          <w:rPr>
            <w:noProof/>
            <w:webHidden/>
          </w:rPr>
          <w:fldChar w:fldCharType="separate"/>
        </w:r>
        <w:r w:rsidR="001B6894">
          <w:rPr>
            <w:noProof/>
            <w:webHidden/>
          </w:rPr>
          <w:t>42</w:t>
        </w:r>
        <w:r>
          <w:rPr>
            <w:noProof/>
            <w:webHidden/>
          </w:rPr>
          <w:fldChar w:fldCharType="end"/>
        </w:r>
      </w:hyperlink>
    </w:p>
    <w:p w14:paraId="1A7D7AE7" w14:textId="6192D670" w:rsidR="0015790A" w:rsidRDefault="0015790A">
      <w:pPr>
        <w:pStyle w:val="TOC3"/>
        <w:rPr>
          <w:rFonts w:asciiTheme="minorHAnsi" w:eastAsiaTheme="minorEastAsia" w:hAnsiTheme="minorHAnsi"/>
          <w:iCs w:val="0"/>
          <w:kern w:val="2"/>
          <w:sz w:val="24"/>
          <w:szCs w:val="24"/>
          <w14:ligatures w14:val="standardContextual"/>
        </w:rPr>
      </w:pPr>
      <w:hyperlink w:anchor="_Toc176864425"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Legal Responsibility</w:t>
        </w:r>
        <w:r>
          <w:rPr>
            <w:webHidden/>
          </w:rPr>
          <w:tab/>
        </w:r>
        <w:r>
          <w:rPr>
            <w:webHidden/>
          </w:rPr>
          <w:fldChar w:fldCharType="begin"/>
        </w:r>
        <w:r>
          <w:rPr>
            <w:webHidden/>
          </w:rPr>
          <w:instrText xml:space="preserve"> PAGEREF _Toc176864425 \h </w:instrText>
        </w:r>
        <w:r>
          <w:rPr>
            <w:webHidden/>
          </w:rPr>
        </w:r>
        <w:r>
          <w:rPr>
            <w:webHidden/>
          </w:rPr>
          <w:fldChar w:fldCharType="separate"/>
        </w:r>
        <w:r w:rsidR="001B6894">
          <w:rPr>
            <w:webHidden/>
          </w:rPr>
          <w:t>43</w:t>
        </w:r>
        <w:r>
          <w:rPr>
            <w:webHidden/>
          </w:rPr>
          <w:fldChar w:fldCharType="end"/>
        </w:r>
      </w:hyperlink>
    </w:p>
    <w:p w14:paraId="5AE0B9DF" w14:textId="09446C33" w:rsidR="0015790A" w:rsidRDefault="0015790A">
      <w:pPr>
        <w:pStyle w:val="TOC3"/>
        <w:rPr>
          <w:rFonts w:asciiTheme="minorHAnsi" w:eastAsiaTheme="minorEastAsia" w:hAnsiTheme="minorHAnsi"/>
          <w:iCs w:val="0"/>
          <w:kern w:val="2"/>
          <w:sz w:val="24"/>
          <w:szCs w:val="24"/>
          <w14:ligatures w14:val="standardContextual"/>
        </w:rPr>
      </w:pPr>
      <w:hyperlink w:anchor="_Toc176864426"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Cost Share Allocation</w:t>
        </w:r>
        <w:r>
          <w:rPr>
            <w:webHidden/>
          </w:rPr>
          <w:tab/>
        </w:r>
        <w:r>
          <w:rPr>
            <w:webHidden/>
          </w:rPr>
          <w:fldChar w:fldCharType="begin"/>
        </w:r>
        <w:r>
          <w:rPr>
            <w:webHidden/>
          </w:rPr>
          <w:instrText xml:space="preserve"> PAGEREF _Toc176864426 \h </w:instrText>
        </w:r>
        <w:r>
          <w:rPr>
            <w:webHidden/>
          </w:rPr>
        </w:r>
        <w:r>
          <w:rPr>
            <w:webHidden/>
          </w:rPr>
          <w:fldChar w:fldCharType="separate"/>
        </w:r>
        <w:r w:rsidR="001B6894">
          <w:rPr>
            <w:webHidden/>
          </w:rPr>
          <w:t>43</w:t>
        </w:r>
        <w:r>
          <w:rPr>
            <w:webHidden/>
          </w:rPr>
          <w:fldChar w:fldCharType="end"/>
        </w:r>
      </w:hyperlink>
    </w:p>
    <w:p w14:paraId="7A478490" w14:textId="582BD70C" w:rsidR="0015790A" w:rsidRDefault="0015790A">
      <w:pPr>
        <w:pStyle w:val="TOC3"/>
        <w:rPr>
          <w:rFonts w:asciiTheme="minorHAnsi" w:eastAsiaTheme="minorEastAsia" w:hAnsiTheme="minorHAnsi"/>
          <w:iCs w:val="0"/>
          <w:kern w:val="2"/>
          <w:sz w:val="24"/>
          <w:szCs w:val="24"/>
          <w14:ligatures w14:val="standardContextual"/>
        </w:rPr>
      </w:pPr>
      <w:hyperlink w:anchor="_Toc176864427"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Cost Share Types and Allowability</w:t>
        </w:r>
        <w:r>
          <w:rPr>
            <w:webHidden/>
          </w:rPr>
          <w:tab/>
        </w:r>
        <w:r>
          <w:rPr>
            <w:webHidden/>
          </w:rPr>
          <w:fldChar w:fldCharType="begin"/>
        </w:r>
        <w:r>
          <w:rPr>
            <w:webHidden/>
          </w:rPr>
          <w:instrText xml:space="preserve"> PAGEREF _Toc176864427 \h </w:instrText>
        </w:r>
        <w:r>
          <w:rPr>
            <w:webHidden/>
          </w:rPr>
        </w:r>
        <w:r>
          <w:rPr>
            <w:webHidden/>
          </w:rPr>
          <w:fldChar w:fldCharType="separate"/>
        </w:r>
        <w:r w:rsidR="001B6894">
          <w:rPr>
            <w:webHidden/>
          </w:rPr>
          <w:t>43</w:t>
        </w:r>
        <w:r>
          <w:rPr>
            <w:webHidden/>
          </w:rPr>
          <w:fldChar w:fldCharType="end"/>
        </w:r>
      </w:hyperlink>
    </w:p>
    <w:p w14:paraId="24B57F60" w14:textId="1EB8819D" w:rsidR="0015790A" w:rsidRDefault="0015790A">
      <w:pPr>
        <w:pStyle w:val="TOC3"/>
        <w:rPr>
          <w:rFonts w:asciiTheme="minorHAnsi" w:eastAsiaTheme="minorEastAsia" w:hAnsiTheme="minorHAnsi"/>
          <w:iCs w:val="0"/>
          <w:kern w:val="2"/>
          <w:sz w:val="24"/>
          <w:szCs w:val="24"/>
          <w14:ligatures w14:val="standardContextual"/>
        </w:rPr>
      </w:pPr>
      <w:hyperlink w:anchor="_Toc176864428"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Cost Share Contributions by FFRDCs</w:t>
        </w:r>
        <w:r>
          <w:rPr>
            <w:webHidden/>
          </w:rPr>
          <w:tab/>
        </w:r>
        <w:r>
          <w:rPr>
            <w:webHidden/>
          </w:rPr>
          <w:fldChar w:fldCharType="begin"/>
        </w:r>
        <w:r>
          <w:rPr>
            <w:webHidden/>
          </w:rPr>
          <w:instrText xml:space="preserve"> PAGEREF _Toc176864428 \h </w:instrText>
        </w:r>
        <w:r>
          <w:rPr>
            <w:webHidden/>
          </w:rPr>
        </w:r>
        <w:r>
          <w:rPr>
            <w:webHidden/>
          </w:rPr>
          <w:fldChar w:fldCharType="separate"/>
        </w:r>
        <w:r w:rsidR="001B6894">
          <w:rPr>
            <w:webHidden/>
          </w:rPr>
          <w:t>45</w:t>
        </w:r>
        <w:r>
          <w:rPr>
            <w:webHidden/>
          </w:rPr>
          <w:fldChar w:fldCharType="end"/>
        </w:r>
      </w:hyperlink>
    </w:p>
    <w:p w14:paraId="61E4517A" w14:textId="6F2D752B" w:rsidR="0015790A" w:rsidRDefault="0015790A">
      <w:pPr>
        <w:pStyle w:val="TOC3"/>
        <w:rPr>
          <w:rFonts w:asciiTheme="minorHAnsi" w:eastAsiaTheme="minorEastAsia" w:hAnsiTheme="minorHAnsi"/>
          <w:iCs w:val="0"/>
          <w:kern w:val="2"/>
          <w:sz w:val="24"/>
          <w:szCs w:val="24"/>
          <w14:ligatures w14:val="standardContextual"/>
        </w:rPr>
      </w:pPr>
      <w:hyperlink w:anchor="_Toc176864429" w:history="1">
        <w:r w:rsidRPr="009D7477">
          <w:rPr>
            <w:rStyle w:val="Hyperlink"/>
            <w:bCs/>
          </w:rPr>
          <w:t>v.</w:t>
        </w:r>
        <w:r>
          <w:rPr>
            <w:rFonts w:asciiTheme="minorHAnsi" w:eastAsiaTheme="minorEastAsia" w:hAnsiTheme="minorHAnsi"/>
            <w:iCs w:val="0"/>
            <w:kern w:val="2"/>
            <w:sz w:val="24"/>
            <w:szCs w:val="24"/>
            <w14:ligatures w14:val="standardContextual"/>
          </w:rPr>
          <w:tab/>
        </w:r>
        <w:r w:rsidRPr="009D7477">
          <w:rPr>
            <w:rStyle w:val="Hyperlink"/>
          </w:rPr>
          <w:t>Cost Share Verification</w:t>
        </w:r>
        <w:r>
          <w:rPr>
            <w:webHidden/>
          </w:rPr>
          <w:tab/>
        </w:r>
        <w:r>
          <w:rPr>
            <w:webHidden/>
          </w:rPr>
          <w:fldChar w:fldCharType="begin"/>
        </w:r>
        <w:r>
          <w:rPr>
            <w:webHidden/>
          </w:rPr>
          <w:instrText xml:space="preserve"> PAGEREF _Toc176864429 \h </w:instrText>
        </w:r>
        <w:r>
          <w:rPr>
            <w:webHidden/>
          </w:rPr>
        </w:r>
        <w:r>
          <w:rPr>
            <w:webHidden/>
          </w:rPr>
          <w:fldChar w:fldCharType="separate"/>
        </w:r>
        <w:r w:rsidR="001B6894">
          <w:rPr>
            <w:webHidden/>
          </w:rPr>
          <w:t>45</w:t>
        </w:r>
        <w:r>
          <w:rPr>
            <w:webHidden/>
          </w:rPr>
          <w:fldChar w:fldCharType="end"/>
        </w:r>
      </w:hyperlink>
    </w:p>
    <w:p w14:paraId="0F1699BA" w14:textId="79EED091" w:rsidR="0015790A" w:rsidRDefault="0015790A">
      <w:pPr>
        <w:pStyle w:val="TOC3"/>
        <w:rPr>
          <w:rFonts w:asciiTheme="minorHAnsi" w:eastAsiaTheme="minorEastAsia" w:hAnsiTheme="minorHAnsi"/>
          <w:iCs w:val="0"/>
          <w:kern w:val="2"/>
          <w:sz w:val="24"/>
          <w:szCs w:val="24"/>
          <w14:ligatures w14:val="standardContextual"/>
        </w:rPr>
      </w:pPr>
      <w:hyperlink w:anchor="_Toc176864430" w:history="1">
        <w:r w:rsidRPr="009D7477">
          <w:rPr>
            <w:rStyle w:val="Hyperlink"/>
            <w:bCs/>
          </w:rPr>
          <w:t>vi.</w:t>
        </w:r>
        <w:r>
          <w:rPr>
            <w:rFonts w:asciiTheme="minorHAnsi" w:eastAsiaTheme="minorEastAsia" w:hAnsiTheme="minorHAnsi"/>
            <w:iCs w:val="0"/>
            <w:kern w:val="2"/>
            <w:sz w:val="24"/>
            <w:szCs w:val="24"/>
            <w14:ligatures w14:val="standardContextual"/>
          </w:rPr>
          <w:tab/>
        </w:r>
        <w:r w:rsidRPr="009D7477">
          <w:rPr>
            <w:rStyle w:val="Hyperlink"/>
          </w:rPr>
          <w:t>Cost Share Payment</w:t>
        </w:r>
        <w:r>
          <w:rPr>
            <w:webHidden/>
          </w:rPr>
          <w:tab/>
        </w:r>
        <w:r>
          <w:rPr>
            <w:webHidden/>
          </w:rPr>
          <w:fldChar w:fldCharType="begin"/>
        </w:r>
        <w:r>
          <w:rPr>
            <w:webHidden/>
          </w:rPr>
          <w:instrText xml:space="preserve"> PAGEREF _Toc176864430 \h </w:instrText>
        </w:r>
        <w:r>
          <w:rPr>
            <w:webHidden/>
          </w:rPr>
        </w:r>
        <w:r>
          <w:rPr>
            <w:webHidden/>
          </w:rPr>
          <w:fldChar w:fldCharType="separate"/>
        </w:r>
        <w:r w:rsidR="001B6894">
          <w:rPr>
            <w:webHidden/>
          </w:rPr>
          <w:t>45</w:t>
        </w:r>
        <w:r>
          <w:rPr>
            <w:webHidden/>
          </w:rPr>
          <w:fldChar w:fldCharType="end"/>
        </w:r>
      </w:hyperlink>
    </w:p>
    <w:p w14:paraId="71143754" w14:textId="5A820B2C" w:rsidR="0015790A" w:rsidRDefault="0015790A">
      <w:pPr>
        <w:pStyle w:val="TOC2"/>
        <w:rPr>
          <w:rFonts w:eastAsiaTheme="minorEastAsia"/>
          <w:noProof/>
          <w:kern w:val="2"/>
          <w:sz w:val="24"/>
          <w:szCs w:val="24"/>
          <w14:ligatures w14:val="standardContextual"/>
        </w:rPr>
      </w:pPr>
      <w:hyperlink w:anchor="_Toc176864431"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Compliance Criteria</w:t>
        </w:r>
        <w:r>
          <w:rPr>
            <w:noProof/>
            <w:webHidden/>
          </w:rPr>
          <w:tab/>
        </w:r>
        <w:r>
          <w:rPr>
            <w:noProof/>
            <w:webHidden/>
          </w:rPr>
          <w:fldChar w:fldCharType="begin"/>
        </w:r>
        <w:r>
          <w:rPr>
            <w:noProof/>
            <w:webHidden/>
          </w:rPr>
          <w:instrText xml:space="preserve"> PAGEREF _Toc176864431 \h </w:instrText>
        </w:r>
        <w:r>
          <w:rPr>
            <w:noProof/>
            <w:webHidden/>
          </w:rPr>
        </w:r>
        <w:r>
          <w:rPr>
            <w:noProof/>
            <w:webHidden/>
          </w:rPr>
          <w:fldChar w:fldCharType="separate"/>
        </w:r>
        <w:r w:rsidR="001B6894">
          <w:rPr>
            <w:noProof/>
            <w:webHidden/>
          </w:rPr>
          <w:t>46</w:t>
        </w:r>
        <w:r>
          <w:rPr>
            <w:noProof/>
            <w:webHidden/>
          </w:rPr>
          <w:fldChar w:fldCharType="end"/>
        </w:r>
      </w:hyperlink>
    </w:p>
    <w:p w14:paraId="2F9B8BA6" w14:textId="1B673E63" w:rsidR="0015790A" w:rsidRDefault="0015790A">
      <w:pPr>
        <w:pStyle w:val="TOC2"/>
        <w:rPr>
          <w:rFonts w:eastAsiaTheme="minorEastAsia"/>
          <w:noProof/>
          <w:kern w:val="2"/>
          <w:sz w:val="24"/>
          <w:szCs w:val="24"/>
          <w14:ligatures w14:val="standardContextual"/>
        </w:rPr>
      </w:pPr>
      <w:hyperlink w:anchor="_Toc176864432" w:history="1">
        <w:r w:rsidRPr="009D7477">
          <w:rPr>
            <w:rStyle w:val="Hyperlink"/>
            <w:noProof/>
          </w:rPr>
          <w:t>D.</w:t>
        </w:r>
        <w:r>
          <w:rPr>
            <w:rFonts w:eastAsiaTheme="minorEastAsia"/>
            <w:noProof/>
            <w:kern w:val="2"/>
            <w:sz w:val="24"/>
            <w:szCs w:val="24"/>
            <w14:ligatures w14:val="standardContextual"/>
          </w:rPr>
          <w:tab/>
        </w:r>
        <w:r w:rsidRPr="009D7477">
          <w:rPr>
            <w:rStyle w:val="Hyperlink"/>
            <w:noProof/>
          </w:rPr>
          <w:t>Responsiveness Criteria</w:t>
        </w:r>
        <w:r>
          <w:rPr>
            <w:noProof/>
            <w:webHidden/>
          </w:rPr>
          <w:tab/>
        </w:r>
        <w:r>
          <w:rPr>
            <w:noProof/>
            <w:webHidden/>
          </w:rPr>
          <w:fldChar w:fldCharType="begin"/>
        </w:r>
        <w:r>
          <w:rPr>
            <w:noProof/>
            <w:webHidden/>
          </w:rPr>
          <w:instrText xml:space="preserve"> PAGEREF _Toc176864432 \h </w:instrText>
        </w:r>
        <w:r>
          <w:rPr>
            <w:noProof/>
            <w:webHidden/>
          </w:rPr>
        </w:r>
        <w:r>
          <w:rPr>
            <w:noProof/>
            <w:webHidden/>
          </w:rPr>
          <w:fldChar w:fldCharType="separate"/>
        </w:r>
        <w:r w:rsidR="001B6894">
          <w:rPr>
            <w:noProof/>
            <w:webHidden/>
          </w:rPr>
          <w:t>46</w:t>
        </w:r>
        <w:r>
          <w:rPr>
            <w:noProof/>
            <w:webHidden/>
          </w:rPr>
          <w:fldChar w:fldCharType="end"/>
        </w:r>
      </w:hyperlink>
    </w:p>
    <w:p w14:paraId="7D493C23" w14:textId="0B74FAC4" w:rsidR="0015790A" w:rsidRDefault="0015790A">
      <w:pPr>
        <w:pStyle w:val="TOC2"/>
        <w:rPr>
          <w:rFonts w:eastAsiaTheme="minorEastAsia"/>
          <w:noProof/>
          <w:kern w:val="2"/>
          <w:sz w:val="24"/>
          <w:szCs w:val="24"/>
          <w14:ligatures w14:val="standardContextual"/>
        </w:rPr>
      </w:pPr>
      <w:hyperlink w:anchor="_Toc176864433" w:history="1">
        <w:r w:rsidRPr="009D7477">
          <w:rPr>
            <w:rStyle w:val="Hyperlink"/>
            <w:noProof/>
          </w:rPr>
          <w:t>E.</w:t>
        </w:r>
        <w:r>
          <w:rPr>
            <w:rFonts w:eastAsiaTheme="minorEastAsia"/>
            <w:noProof/>
            <w:kern w:val="2"/>
            <w:sz w:val="24"/>
            <w:szCs w:val="24"/>
            <w14:ligatures w14:val="standardContextual"/>
          </w:rPr>
          <w:tab/>
        </w:r>
        <w:r w:rsidRPr="009D7477">
          <w:rPr>
            <w:rStyle w:val="Hyperlink"/>
            <w:noProof/>
          </w:rPr>
          <w:t>Other Eligibility Requirements</w:t>
        </w:r>
        <w:r>
          <w:rPr>
            <w:noProof/>
            <w:webHidden/>
          </w:rPr>
          <w:tab/>
        </w:r>
        <w:r>
          <w:rPr>
            <w:noProof/>
            <w:webHidden/>
          </w:rPr>
          <w:fldChar w:fldCharType="begin"/>
        </w:r>
        <w:r>
          <w:rPr>
            <w:noProof/>
            <w:webHidden/>
          </w:rPr>
          <w:instrText xml:space="preserve"> PAGEREF _Toc176864433 \h </w:instrText>
        </w:r>
        <w:r>
          <w:rPr>
            <w:noProof/>
            <w:webHidden/>
          </w:rPr>
        </w:r>
        <w:r>
          <w:rPr>
            <w:noProof/>
            <w:webHidden/>
          </w:rPr>
          <w:fldChar w:fldCharType="separate"/>
        </w:r>
        <w:r w:rsidR="001B6894">
          <w:rPr>
            <w:noProof/>
            <w:webHidden/>
          </w:rPr>
          <w:t>46</w:t>
        </w:r>
        <w:r>
          <w:rPr>
            <w:noProof/>
            <w:webHidden/>
          </w:rPr>
          <w:fldChar w:fldCharType="end"/>
        </w:r>
      </w:hyperlink>
    </w:p>
    <w:p w14:paraId="7D950CF0" w14:textId="1AFE47F2" w:rsidR="0015790A" w:rsidRDefault="0015790A">
      <w:pPr>
        <w:pStyle w:val="TOC3"/>
        <w:rPr>
          <w:rFonts w:asciiTheme="minorHAnsi" w:eastAsiaTheme="minorEastAsia" w:hAnsiTheme="minorHAnsi"/>
          <w:iCs w:val="0"/>
          <w:kern w:val="2"/>
          <w:sz w:val="24"/>
          <w:szCs w:val="24"/>
          <w14:ligatures w14:val="standardContextual"/>
        </w:rPr>
      </w:pPr>
      <w:hyperlink w:anchor="_Toc176864434"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Requirements for DOE/NNSA and Non-DOE/NNSA FFRDCs Included as a Subrecipient</w:t>
        </w:r>
        <w:r>
          <w:rPr>
            <w:webHidden/>
          </w:rPr>
          <w:tab/>
        </w:r>
        <w:r>
          <w:rPr>
            <w:webHidden/>
          </w:rPr>
          <w:fldChar w:fldCharType="begin"/>
        </w:r>
        <w:r>
          <w:rPr>
            <w:webHidden/>
          </w:rPr>
          <w:instrText xml:space="preserve"> PAGEREF _Toc176864434 \h </w:instrText>
        </w:r>
        <w:r>
          <w:rPr>
            <w:webHidden/>
          </w:rPr>
        </w:r>
        <w:r>
          <w:rPr>
            <w:webHidden/>
          </w:rPr>
          <w:fldChar w:fldCharType="separate"/>
        </w:r>
        <w:r w:rsidR="001B6894">
          <w:rPr>
            <w:webHidden/>
          </w:rPr>
          <w:t>46</w:t>
        </w:r>
        <w:r>
          <w:rPr>
            <w:webHidden/>
          </w:rPr>
          <w:fldChar w:fldCharType="end"/>
        </w:r>
      </w:hyperlink>
    </w:p>
    <w:p w14:paraId="5A1E47B3" w14:textId="2524AD90" w:rsidR="0015790A" w:rsidRDefault="0015790A">
      <w:pPr>
        <w:pStyle w:val="TOC2"/>
        <w:rPr>
          <w:rFonts w:eastAsiaTheme="minorEastAsia"/>
          <w:noProof/>
          <w:kern w:val="2"/>
          <w:sz w:val="24"/>
          <w:szCs w:val="24"/>
          <w14:ligatures w14:val="standardContextual"/>
        </w:rPr>
      </w:pPr>
      <w:hyperlink w:anchor="_Toc176864435" w:history="1">
        <w:r w:rsidRPr="009D7477">
          <w:rPr>
            <w:rStyle w:val="Hyperlink"/>
            <w:noProof/>
          </w:rPr>
          <w:t>F.</w:t>
        </w:r>
        <w:r>
          <w:rPr>
            <w:rFonts w:eastAsiaTheme="minorEastAsia"/>
            <w:noProof/>
            <w:kern w:val="2"/>
            <w:sz w:val="24"/>
            <w:szCs w:val="24"/>
            <w14:ligatures w14:val="standardContextual"/>
          </w:rPr>
          <w:tab/>
        </w:r>
        <w:r w:rsidRPr="009D7477">
          <w:rPr>
            <w:rStyle w:val="Hyperlink"/>
            <w:noProof/>
          </w:rPr>
          <w:t>Limitation on Number of Concept Papers and Full Applications Eligible for Review</w:t>
        </w:r>
        <w:r>
          <w:rPr>
            <w:noProof/>
            <w:webHidden/>
          </w:rPr>
          <w:tab/>
        </w:r>
        <w:r>
          <w:rPr>
            <w:noProof/>
            <w:webHidden/>
          </w:rPr>
          <w:fldChar w:fldCharType="begin"/>
        </w:r>
        <w:r>
          <w:rPr>
            <w:noProof/>
            <w:webHidden/>
          </w:rPr>
          <w:instrText xml:space="preserve"> PAGEREF _Toc176864435 \h </w:instrText>
        </w:r>
        <w:r>
          <w:rPr>
            <w:noProof/>
            <w:webHidden/>
          </w:rPr>
        </w:r>
        <w:r>
          <w:rPr>
            <w:noProof/>
            <w:webHidden/>
          </w:rPr>
          <w:fldChar w:fldCharType="separate"/>
        </w:r>
        <w:r w:rsidR="001B6894">
          <w:rPr>
            <w:noProof/>
            <w:webHidden/>
          </w:rPr>
          <w:t>48</w:t>
        </w:r>
        <w:r>
          <w:rPr>
            <w:noProof/>
            <w:webHidden/>
          </w:rPr>
          <w:fldChar w:fldCharType="end"/>
        </w:r>
      </w:hyperlink>
    </w:p>
    <w:p w14:paraId="56B18940" w14:textId="612BAED5" w:rsidR="0015790A" w:rsidRDefault="0015790A">
      <w:pPr>
        <w:pStyle w:val="TOC2"/>
        <w:rPr>
          <w:rFonts w:eastAsiaTheme="minorEastAsia"/>
          <w:noProof/>
          <w:kern w:val="2"/>
          <w:sz w:val="24"/>
          <w:szCs w:val="24"/>
          <w14:ligatures w14:val="standardContextual"/>
        </w:rPr>
      </w:pPr>
      <w:hyperlink w:anchor="_Toc176864436" w:history="1">
        <w:r w:rsidRPr="009D7477">
          <w:rPr>
            <w:rStyle w:val="Hyperlink"/>
            <w:noProof/>
          </w:rPr>
          <w:t>G.</w:t>
        </w:r>
        <w:r>
          <w:rPr>
            <w:rFonts w:eastAsiaTheme="minorEastAsia"/>
            <w:noProof/>
            <w:kern w:val="2"/>
            <w:sz w:val="24"/>
            <w:szCs w:val="24"/>
            <w14:ligatures w14:val="standardContextual"/>
          </w:rPr>
          <w:tab/>
        </w:r>
        <w:r w:rsidRPr="009D7477">
          <w:rPr>
            <w:rStyle w:val="Hyperlink"/>
            <w:noProof/>
          </w:rPr>
          <w:t>Questions Regarding Eligibility</w:t>
        </w:r>
        <w:r>
          <w:rPr>
            <w:noProof/>
            <w:webHidden/>
          </w:rPr>
          <w:tab/>
        </w:r>
        <w:r>
          <w:rPr>
            <w:noProof/>
            <w:webHidden/>
          </w:rPr>
          <w:fldChar w:fldCharType="begin"/>
        </w:r>
        <w:r>
          <w:rPr>
            <w:noProof/>
            <w:webHidden/>
          </w:rPr>
          <w:instrText xml:space="preserve"> PAGEREF _Toc176864436 \h </w:instrText>
        </w:r>
        <w:r>
          <w:rPr>
            <w:noProof/>
            <w:webHidden/>
          </w:rPr>
        </w:r>
        <w:r>
          <w:rPr>
            <w:noProof/>
            <w:webHidden/>
          </w:rPr>
          <w:fldChar w:fldCharType="separate"/>
        </w:r>
        <w:r w:rsidR="001B6894">
          <w:rPr>
            <w:noProof/>
            <w:webHidden/>
          </w:rPr>
          <w:t>48</w:t>
        </w:r>
        <w:r>
          <w:rPr>
            <w:noProof/>
            <w:webHidden/>
          </w:rPr>
          <w:fldChar w:fldCharType="end"/>
        </w:r>
      </w:hyperlink>
    </w:p>
    <w:p w14:paraId="73EB3350" w14:textId="7FAE1E9A" w:rsidR="0015790A" w:rsidRDefault="0015790A">
      <w:pPr>
        <w:pStyle w:val="TOC1"/>
        <w:rPr>
          <w:rFonts w:eastAsiaTheme="minorEastAsia"/>
          <w:b w:val="0"/>
          <w:bCs w:val="0"/>
          <w:noProof/>
          <w:kern w:val="2"/>
          <w:sz w:val="24"/>
          <w:szCs w:val="24"/>
          <w14:ligatures w14:val="standardContextual"/>
        </w:rPr>
      </w:pPr>
      <w:hyperlink w:anchor="_Toc176864437" w:history="1">
        <w:r w:rsidRPr="009D7477">
          <w:rPr>
            <w:rStyle w:val="Hyperlink"/>
            <w:smallCaps/>
            <w:noProof/>
          </w:rPr>
          <w:t>IV.</w:t>
        </w:r>
        <w:r>
          <w:rPr>
            <w:rFonts w:eastAsiaTheme="minorEastAsia"/>
            <w:b w:val="0"/>
            <w:bCs w:val="0"/>
            <w:noProof/>
            <w:kern w:val="2"/>
            <w:sz w:val="24"/>
            <w:szCs w:val="24"/>
            <w14:ligatures w14:val="standardContextual"/>
          </w:rPr>
          <w:tab/>
        </w:r>
        <w:r w:rsidRPr="009D7477">
          <w:rPr>
            <w:rStyle w:val="Hyperlink"/>
            <w:noProof/>
          </w:rPr>
          <w:t>Application and Submission Information</w:t>
        </w:r>
        <w:r>
          <w:rPr>
            <w:noProof/>
            <w:webHidden/>
          </w:rPr>
          <w:tab/>
        </w:r>
        <w:r>
          <w:rPr>
            <w:noProof/>
            <w:webHidden/>
          </w:rPr>
          <w:fldChar w:fldCharType="begin"/>
        </w:r>
        <w:r>
          <w:rPr>
            <w:noProof/>
            <w:webHidden/>
          </w:rPr>
          <w:instrText xml:space="preserve"> PAGEREF _Toc176864437 \h </w:instrText>
        </w:r>
        <w:r>
          <w:rPr>
            <w:noProof/>
            <w:webHidden/>
          </w:rPr>
        </w:r>
        <w:r>
          <w:rPr>
            <w:noProof/>
            <w:webHidden/>
          </w:rPr>
          <w:fldChar w:fldCharType="separate"/>
        </w:r>
        <w:r w:rsidR="001B6894">
          <w:rPr>
            <w:noProof/>
            <w:webHidden/>
          </w:rPr>
          <w:t>49</w:t>
        </w:r>
        <w:r>
          <w:rPr>
            <w:noProof/>
            <w:webHidden/>
          </w:rPr>
          <w:fldChar w:fldCharType="end"/>
        </w:r>
      </w:hyperlink>
    </w:p>
    <w:p w14:paraId="211C86D1" w14:textId="007CF012" w:rsidR="0015790A" w:rsidRDefault="0015790A">
      <w:pPr>
        <w:pStyle w:val="TOC2"/>
        <w:rPr>
          <w:rFonts w:eastAsiaTheme="minorEastAsia"/>
          <w:noProof/>
          <w:kern w:val="2"/>
          <w:sz w:val="24"/>
          <w:szCs w:val="24"/>
          <w14:ligatures w14:val="standardContextual"/>
        </w:rPr>
      </w:pPr>
      <w:hyperlink w:anchor="_Toc176864438"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Application Process</w:t>
        </w:r>
        <w:r>
          <w:rPr>
            <w:noProof/>
            <w:webHidden/>
          </w:rPr>
          <w:tab/>
        </w:r>
        <w:r>
          <w:rPr>
            <w:noProof/>
            <w:webHidden/>
          </w:rPr>
          <w:fldChar w:fldCharType="begin"/>
        </w:r>
        <w:r>
          <w:rPr>
            <w:noProof/>
            <w:webHidden/>
          </w:rPr>
          <w:instrText xml:space="preserve"> PAGEREF _Toc176864438 \h </w:instrText>
        </w:r>
        <w:r>
          <w:rPr>
            <w:noProof/>
            <w:webHidden/>
          </w:rPr>
        </w:r>
        <w:r>
          <w:rPr>
            <w:noProof/>
            <w:webHidden/>
          </w:rPr>
          <w:fldChar w:fldCharType="separate"/>
        </w:r>
        <w:r w:rsidR="001B6894">
          <w:rPr>
            <w:noProof/>
            <w:webHidden/>
          </w:rPr>
          <w:t>49</w:t>
        </w:r>
        <w:r>
          <w:rPr>
            <w:noProof/>
            <w:webHidden/>
          </w:rPr>
          <w:fldChar w:fldCharType="end"/>
        </w:r>
      </w:hyperlink>
    </w:p>
    <w:p w14:paraId="5E6CB20D" w14:textId="66881AD7" w:rsidR="0015790A" w:rsidRDefault="0015790A">
      <w:pPr>
        <w:pStyle w:val="TOC3"/>
        <w:rPr>
          <w:rFonts w:asciiTheme="minorHAnsi" w:eastAsiaTheme="minorEastAsia" w:hAnsiTheme="minorHAnsi"/>
          <w:iCs w:val="0"/>
          <w:kern w:val="2"/>
          <w:sz w:val="24"/>
          <w:szCs w:val="24"/>
          <w14:ligatures w14:val="standardContextual"/>
        </w:rPr>
      </w:pPr>
      <w:hyperlink w:anchor="_Toc176864439"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Additional Information on EERE eXCHANGE</w:t>
        </w:r>
        <w:r>
          <w:rPr>
            <w:webHidden/>
          </w:rPr>
          <w:tab/>
        </w:r>
        <w:r>
          <w:rPr>
            <w:webHidden/>
          </w:rPr>
          <w:fldChar w:fldCharType="begin"/>
        </w:r>
        <w:r>
          <w:rPr>
            <w:webHidden/>
          </w:rPr>
          <w:instrText xml:space="preserve"> PAGEREF _Toc176864439 \h </w:instrText>
        </w:r>
        <w:r>
          <w:rPr>
            <w:webHidden/>
          </w:rPr>
        </w:r>
        <w:r>
          <w:rPr>
            <w:webHidden/>
          </w:rPr>
          <w:fldChar w:fldCharType="separate"/>
        </w:r>
        <w:r w:rsidR="001B6894">
          <w:rPr>
            <w:webHidden/>
          </w:rPr>
          <w:t>49</w:t>
        </w:r>
        <w:r>
          <w:rPr>
            <w:webHidden/>
          </w:rPr>
          <w:fldChar w:fldCharType="end"/>
        </w:r>
      </w:hyperlink>
    </w:p>
    <w:p w14:paraId="0AF78A6C" w14:textId="12EA2A1E" w:rsidR="0015790A" w:rsidRDefault="0015790A">
      <w:pPr>
        <w:pStyle w:val="TOC2"/>
        <w:rPr>
          <w:rFonts w:eastAsiaTheme="minorEastAsia"/>
          <w:noProof/>
          <w:kern w:val="2"/>
          <w:sz w:val="24"/>
          <w:szCs w:val="24"/>
          <w14:ligatures w14:val="standardContextual"/>
        </w:rPr>
      </w:pPr>
      <w:hyperlink w:anchor="_Toc176864440"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Application Forms</w:t>
        </w:r>
        <w:r>
          <w:rPr>
            <w:noProof/>
            <w:webHidden/>
          </w:rPr>
          <w:tab/>
        </w:r>
        <w:r>
          <w:rPr>
            <w:noProof/>
            <w:webHidden/>
          </w:rPr>
          <w:fldChar w:fldCharType="begin"/>
        </w:r>
        <w:r>
          <w:rPr>
            <w:noProof/>
            <w:webHidden/>
          </w:rPr>
          <w:instrText xml:space="preserve"> PAGEREF _Toc176864440 \h </w:instrText>
        </w:r>
        <w:r>
          <w:rPr>
            <w:noProof/>
            <w:webHidden/>
          </w:rPr>
        </w:r>
        <w:r>
          <w:rPr>
            <w:noProof/>
            <w:webHidden/>
          </w:rPr>
          <w:fldChar w:fldCharType="separate"/>
        </w:r>
        <w:r w:rsidR="001B6894">
          <w:rPr>
            <w:noProof/>
            <w:webHidden/>
          </w:rPr>
          <w:t>50</w:t>
        </w:r>
        <w:r>
          <w:rPr>
            <w:noProof/>
            <w:webHidden/>
          </w:rPr>
          <w:fldChar w:fldCharType="end"/>
        </w:r>
      </w:hyperlink>
    </w:p>
    <w:p w14:paraId="558601B6" w14:textId="0D55E78D" w:rsidR="0015790A" w:rsidRDefault="0015790A">
      <w:pPr>
        <w:pStyle w:val="TOC2"/>
        <w:rPr>
          <w:rFonts w:eastAsiaTheme="minorEastAsia"/>
          <w:noProof/>
          <w:kern w:val="2"/>
          <w:sz w:val="24"/>
          <w:szCs w:val="24"/>
          <w14:ligatures w14:val="standardContextual"/>
        </w:rPr>
      </w:pPr>
      <w:hyperlink w:anchor="_Toc176864441"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Content and Form of the Concept Paper</w:t>
        </w:r>
        <w:r>
          <w:rPr>
            <w:noProof/>
            <w:webHidden/>
          </w:rPr>
          <w:tab/>
        </w:r>
        <w:r>
          <w:rPr>
            <w:noProof/>
            <w:webHidden/>
          </w:rPr>
          <w:fldChar w:fldCharType="begin"/>
        </w:r>
        <w:r>
          <w:rPr>
            <w:noProof/>
            <w:webHidden/>
          </w:rPr>
          <w:instrText xml:space="preserve"> PAGEREF _Toc176864441 \h </w:instrText>
        </w:r>
        <w:r>
          <w:rPr>
            <w:noProof/>
            <w:webHidden/>
          </w:rPr>
        </w:r>
        <w:r>
          <w:rPr>
            <w:noProof/>
            <w:webHidden/>
          </w:rPr>
          <w:fldChar w:fldCharType="separate"/>
        </w:r>
        <w:r w:rsidR="001B6894">
          <w:rPr>
            <w:noProof/>
            <w:webHidden/>
          </w:rPr>
          <w:t>50</w:t>
        </w:r>
        <w:r>
          <w:rPr>
            <w:noProof/>
            <w:webHidden/>
          </w:rPr>
          <w:fldChar w:fldCharType="end"/>
        </w:r>
      </w:hyperlink>
    </w:p>
    <w:p w14:paraId="10FC90F7" w14:textId="3B7C29F4" w:rsidR="0015790A" w:rsidRDefault="0015790A">
      <w:pPr>
        <w:pStyle w:val="TOC2"/>
        <w:rPr>
          <w:rFonts w:eastAsiaTheme="minorEastAsia"/>
          <w:noProof/>
          <w:kern w:val="2"/>
          <w:sz w:val="24"/>
          <w:szCs w:val="24"/>
          <w14:ligatures w14:val="standardContextual"/>
        </w:rPr>
      </w:pPr>
      <w:hyperlink w:anchor="_Toc176864442" w:history="1">
        <w:r w:rsidRPr="009D7477">
          <w:rPr>
            <w:rStyle w:val="Hyperlink"/>
            <w:noProof/>
          </w:rPr>
          <w:t>D.</w:t>
        </w:r>
        <w:r>
          <w:rPr>
            <w:rFonts w:eastAsiaTheme="minorEastAsia"/>
            <w:noProof/>
            <w:kern w:val="2"/>
            <w:sz w:val="24"/>
            <w:szCs w:val="24"/>
            <w14:ligatures w14:val="standardContextual"/>
          </w:rPr>
          <w:tab/>
        </w:r>
        <w:r w:rsidRPr="009D7477">
          <w:rPr>
            <w:rStyle w:val="Hyperlink"/>
            <w:noProof/>
          </w:rPr>
          <w:t>Content and Form of the Full Application</w:t>
        </w:r>
        <w:r>
          <w:rPr>
            <w:noProof/>
            <w:webHidden/>
          </w:rPr>
          <w:tab/>
        </w:r>
        <w:r>
          <w:rPr>
            <w:noProof/>
            <w:webHidden/>
          </w:rPr>
          <w:fldChar w:fldCharType="begin"/>
        </w:r>
        <w:r>
          <w:rPr>
            <w:noProof/>
            <w:webHidden/>
          </w:rPr>
          <w:instrText xml:space="preserve"> PAGEREF _Toc176864442 \h </w:instrText>
        </w:r>
        <w:r>
          <w:rPr>
            <w:noProof/>
            <w:webHidden/>
          </w:rPr>
        </w:r>
        <w:r>
          <w:rPr>
            <w:noProof/>
            <w:webHidden/>
          </w:rPr>
          <w:fldChar w:fldCharType="separate"/>
        </w:r>
        <w:r w:rsidR="001B6894">
          <w:rPr>
            <w:noProof/>
            <w:webHidden/>
          </w:rPr>
          <w:t>51</w:t>
        </w:r>
        <w:r>
          <w:rPr>
            <w:noProof/>
            <w:webHidden/>
          </w:rPr>
          <w:fldChar w:fldCharType="end"/>
        </w:r>
      </w:hyperlink>
    </w:p>
    <w:p w14:paraId="44521225" w14:textId="492DE0BB" w:rsidR="0015790A" w:rsidRDefault="0015790A">
      <w:pPr>
        <w:pStyle w:val="TOC3"/>
        <w:rPr>
          <w:rFonts w:asciiTheme="minorHAnsi" w:eastAsiaTheme="minorEastAsia" w:hAnsiTheme="minorHAnsi"/>
          <w:iCs w:val="0"/>
          <w:kern w:val="2"/>
          <w:sz w:val="24"/>
          <w:szCs w:val="24"/>
          <w14:ligatures w14:val="standardContextual"/>
        </w:rPr>
      </w:pPr>
      <w:hyperlink w:anchor="_Toc176864443"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Full Application Content Requirements</w:t>
        </w:r>
        <w:r>
          <w:rPr>
            <w:webHidden/>
          </w:rPr>
          <w:tab/>
        </w:r>
        <w:r>
          <w:rPr>
            <w:webHidden/>
          </w:rPr>
          <w:fldChar w:fldCharType="begin"/>
        </w:r>
        <w:r>
          <w:rPr>
            <w:webHidden/>
          </w:rPr>
          <w:instrText xml:space="preserve"> PAGEREF _Toc176864443 \h </w:instrText>
        </w:r>
        <w:r>
          <w:rPr>
            <w:webHidden/>
          </w:rPr>
        </w:r>
        <w:r>
          <w:rPr>
            <w:webHidden/>
          </w:rPr>
          <w:fldChar w:fldCharType="separate"/>
        </w:r>
        <w:r w:rsidR="001B6894">
          <w:rPr>
            <w:webHidden/>
          </w:rPr>
          <w:t>52</w:t>
        </w:r>
        <w:r>
          <w:rPr>
            <w:webHidden/>
          </w:rPr>
          <w:fldChar w:fldCharType="end"/>
        </w:r>
      </w:hyperlink>
    </w:p>
    <w:p w14:paraId="1B8EFB0C" w14:textId="007EFE34" w:rsidR="0015790A" w:rsidRDefault="0015790A">
      <w:pPr>
        <w:pStyle w:val="TOC3"/>
        <w:rPr>
          <w:rFonts w:asciiTheme="minorHAnsi" w:eastAsiaTheme="minorEastAsia" w:hAnsiTheme="minorHAnsi"/>
          <w:iCs w:val="0"/>
          <w:kern w:val="2"/>
          <w:sz w:val="24"/>
          <w:szCs w:val="24"/>
          <w14:ligatures w14:val="standardContextual"/>
        </w:rPr>
      </w:pPr>
      <w:hyperlink w:anchor="_Toc176864444"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SF-424: Application for Federal Assistance</w:t>
        </w:r>
        <w:r>
          <w:rPr>
            <w:webHidden/>
          </w:rPr>
          <w:tab/>
        </w:r>
        <w:r>
          <w:rPr>
            <w:webHidden/>
          </w:rPr>
          <w:fldChar w:fldCharType="begin"/>
        </w:r>
        <w:r>
          <w:rPr>
            <w:webHidden/>
          </w:rPr>
          <w:instrText xml:space="preserve"> PAGEREF _Toc176864444 \h </w:instrText>
        </w:r>
        <w:r>
          <w:rPr>
            <w:webHidden/>
          </w:rPr>
        </w:r>
        <w:r>
          <w:rPr>
            <w:webHidden/>
          </w:rPr>
          <w:fldChar w:fldCharType="separate"/>
        </w:r>
        <w:r w:rsidR="001B6894">
          <w:rPr>
            <w:webHidden/>
          </w:rPr>
          <w:t>53</w:t>
        </w:r>
        <w:r>
          <w:rPr>
            <w:webHidden/>
          </w:rPr>
          <w:fldChar w:fldCharType="end"/>
        </w:r>
      </w:hyperlink>
    </w:p>
    <w:p w14:paraId="5741BA86" w14:textId="25DD8E0F" w:rsidR="0015790A" w:rsidRDefault="0015790A">
      <w:pPr>
        <w:pStyle w:val="TOC3"/>
        <w:rPr>
          <w:rFonts w:asciiTheme="minorHAnsi" w:eastAsiaTheme="minorEastAsia" w:hAnsiTheme="minorHAnsi"/>
          <w:iCs w:val="0"/>
          <w:kern w:val="2"/>
          <w:sz w:val="24"/>
          <w:szCs w:val="24"/>
          <w14:ligatures w14:val="standardContextual"/>
        </w:rPr>
      </w:pPr>
      <w:hyperlink w:anchor="_Toc176864445"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Technical Volume</w:t>
        </w:r>
        <w:r>
          <w:rPr>
            <w:webHidden/>
          </w:rPr>
          <w:tab/>
        </w:r>
        <w:r>
          <w:rPr>
            <w:webHidden/>
          </w:rPr>
          <w:fldChar w:fldCharType="begin"/>
        </w:r>
        <w:r>
          <w:rPr>
            <w:webHidden/>
          </w:rPr>
          <w:instrText xml:space="preserve"> PAGEREF _Toc176864445 \h </w:instrText>
        </w:r>
        <w:r>
          <w:rPr>
            <w:webHidden/>
          </w:rPr>
        </w:r>
        <w:r>
          <w:rPr>
            <w:webHidden/>
          </w:rPr>
          <w:fldChar w:fldCharType="separate"/>
        </w:r>
        <w:r w:rsidR="001B6894">
          <w:rPr>
            <w:webHidden/>
          </w:rPr>
          <w:t>53</w:t>
        </w:r>
        <w:r>
          <w:rPr>
            <w:webHidden/>
          </w:rPr>
          <w:fldChar w:fldCharType="end"/>
        </w:r>
      </w:hyperlink>
    </w:p>
    <w:p w14:paraId="0F9D853E" w14:textId="6B9D30EB" w:rsidR="0015790A" w:rsidRDefault="0015790A">
      <w:pPr>
        <w:pStyle w:val="TOC3"/>
        <w:rPr>
          <w:rFonts w:asciiTheme="minorHAnsi" w:eastAsiaTheme="minorEastAsia" w:hAnsiTheme="minorHAnsi"/>
          <w:iCs w:val="0"/>
          <w:kern w:val="2"/>
          <w:sz w:val="24"/>
          <w:szCs w:val="24"/>
          <w14:ligatures w14:val="standardContextual"/>
        </w:rPr>
      </w:pPr>
      <w:hyperlink w:anchor="_Toc176864446"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Resumes</w:t>
        </w:r>
        <w:r>
          <w:rPr>
            <w:webHidden/>
          </w:rPr>
          <w:tab/>
        </w:r>
        <w:r>
          <w:rPr>
            <w:webHidden/>
          </w:rPr>
          <w:fldChar w:fldCharType="begin"/>
        </w:r>
        <w:r>
          <w:rPr>
            <w:webHidden/>
          </w:rPr>
          <w:instrText xml:space="preserve"> PAGEREF _Toc176864446 \h </w:instrText>
        </w:r>
        <w:r>
          <w:rPr>
            <w:webHidden/>
          </w:rPr>
        </w:r>
        <w:r>
          <w:rPr>
            <w:webHidden/>
          </w:rPr>
          <w:fldChar w:fldCharType="separate"/>
        </w:r>
        <w:r w:rsidR="001B6894">
          <w:rPr>
            <w:webHidden/>
          </w:rPr>
          <w:t>58</w:t>
        </w:r>
        <w:r>
          <w:rPr>
            <w:webHidden/>
          </w:rPr>
          <w:fldChar w:fldCharType="end"/>
        </w:r>
      </w:hyperlink>
    </w:p>
    <w:p w14:paraId="290D57D8" w14:textId="7E5DE790" w:rsidR="0015790A" w:rsidRDefault="0015790A">
      <w:pPr>
        <w:pStyle w:val="TOC3"/>
        <w:rPr>
          <w:rFonts w:asciiTheme="minorHAnsi" w:eastAsiaTheme="minorEastAsia" w:hAnsiTheme="minorHAnsi"/>
          <w:iCs w:val="0"/>
          <w:kern w:val="2"/>
          <w:sz w:val="24"/>
          <w:szCs w:val="24"/>
          <w14:ligatures w14:val="standardContextual"/>
        </w:rPr>
      </w:pPr>
      <w:hyperlink w:anchor="_Toc176864447" w:history="1">
        <w:r w:rsidRPr="009D7477">
          <w:rPr>
            <w:rStyle w:val="Hyperlink"/>
            <w:bCs/>
          </w:rPr>
          <w:t>v.</w:t>
        </w:r>
        <w:r>
          <w:rPr>
            <w:rFonts w:asciiTheme="minorHAnsi" w:eastAsiaTheme="minorEastAsia" w:hAnsiTheme="minorHAnsi"/>
            <w:iCs w:val="0"/>
            <w:kern w:val="2"/>
            <w:sz w:val="24"/>
            <w:szCs w:val="24"/>
            <w14:ligatures w14:val="standardContextual"/>
          </w:rPr>
          <w:tab/>
        </w:r>
        <w:r w:rsidRPr="009D7477">
          <w:rPr>
            <w:rStyle w:val="Hyperlink"/>
          </w:rPr>
          <w:t>Letters of Commitment</w:t>
        </w:r>
        <w:r>
          <w:rPr>
            <w:webHidden/>
          </w:rPr>
          <w:tab/>
        </w:r>
        <w:r>
          <w:rPr>
            <w:webHidden/>
          </w:rPr>
          <w:fldChar w:fldCharType="begin"/>
        </w:r>
        <w:r>
          <w:rPr>
            <w:webHidden/>
          </w:rPr>
          <w:instrText xml:space="preserve"> PAGEREF _Toc176864447 \h </w:instrText>
        </w:r>
        <w:r>
          <w:rPr>
            <w:webHidden/>
          </w:rPr>
        </w:r>
        <w:r>
          <w:rPr>
            <w:webHidden/>
          </w:rPr>
          <w:fldChar w:fldCharType="separate"/>
        </w:r>
        <w:r w:rsidR="001B6894">
          <w:rPr>
            <w:webHidden/>
          </w:rPr>
          <w:t>59</w:t>
        </w:r>
        <w:r>
          <w:rPr>
            <w:webHidden/>
          </w:rPr>
          <w:fldChar w:fldCharType="end"/>
        </w:r>
      </w:hyperlink>
    </w:p>
    <w:p w14:paraId="7FEFB568" w14:textId="7C49E425" w:rsidR="0015790A" w:rsidRDefault="0015790A">
      <w:pPr>
        <w:pStyle w:val="TOC3"/>
        <w:rPr>
          <w:rFonts w:asciiTheme="minorHAnsi" w:eastAsiaTheme="minorEastAsia" w:hAnsiTheme="minorHAnsi"/>
          <w:iCs w:val="0"/>
          <w:kern w:val="2"/>
          <w:sz w:val="24"/>
          <w:szCs w:val="24"/>
          <w14:ligatures w14:val="standardContextual"/>
        </w:rPr>
      </w:pPr>
      <w:hyperlink w:anchor="_Toc176864448" w:history="1">
        <w:r w:rsidRPr="009D7477">
          <w:rPr>
            <w:rStyle w:val="Hyperlink"/>
            <w:bCs/>
          </w:rPr>
          <w:t>vi.</w:t>
        </w:r>
        <w:r>
          <w:rPr>
            <w:rFonts w:asciiTheme="minorHAnsi" w:eastAsiaTheme="minorEastAsia" w:hAnsiTheme="minorHAnsi"/>
            <w:iCs w:val="0"/>
            <w:kern w:val="2"/>
            <w:sz w:val="24"/>
            <w:szCs w:val="24"/>
            <w14:ligatures w14:val="standardContextual"/>
          </w:rPr>
          <w:tab/>
        </w:r>
        <w:r w:rsidRPr="009D7477">
          <w:rPr>
            <w:rStyle w:val="Hyperlink"/>
          </w:rPr>
          <w:t>Impacted Indian Tribes Documentation</w:t>
        </w:r>
        <w:r>
          <w:rPr>
            <w:webHidden/>
          </w:rPr>
          <w:tab/>
        </w:r>
        <w:r>
          <w:rPr>
            <w:webHidden/>
          </w:rPr>
          <w:fldChar w:fldCharType="begin"/>
        </w:r>
        <w:r>
          <w:rPr>
            <w:webHidden/>
          </w:rPr>
          <w:instrText xml:space="preserve"> PAGEREF _Toc176864448 \h </w:instrText>
        </w:r>
        <w:r>
          <w:rPr>
            <w:webHidden/>
          </w:rPr>
        </w:r>
        <w:r>
          <w:rPr>
            <w:webHidden/>
          </w:rPr>
          <w:fldChar w:fldCharType="separate"/>
        </w:r>
        <w:r w:rsidR="001B6894">
          <w:rPr>
            <w:webHidden/>
          </w:rPr>
          <w:t>59</w:t>
        </w:r>
        <w:r>
          <w:rPr>
            <w:webHidden/>
          </w:rPr>
          <w:fldChar w:fldCharType="end"/>
        </w:r>
      </w:hyperlink>
    </w:p>
    <w:p w14:paraId="2A0F62F9" w14:textId="6DD9B158" w:rsidR="0015790A" w:rsidRDefault="0015790A">
      <w:pPr>
        <w:pStyle w:val="TOC3"/>
        <w:rPr>
          <w:rFonts w:asciiTheme="minorHAnsi" w:eastAsiaTheme="minorEastAsia" w:hAnsiTheme="minorHAnsi"/>
          <w:iCs w:val="0"/>
          <w:kern w:val="2"/>
          <w:sz w:val="24"/>
          <w:szCs w:val="24"/>
          <w14:ligatures w14:val="standardContextual"/>
        </w:rPr>
      </w:pPr>
      <w:hyperlink w:anchor="_Toc176864449" w:history="1">
        <w:r w:rsidRPr="009D7477">
          <w:rPr>
            <w:rStyle w:val="Hyperlink"/>
            <w:bCs/>
          </w:rPr>
          <w:t>vii.</w:t>
        </w:r>
        <w:r>
          <w:rPr>
            <w:rFonts w:asciiTheme="minorHAnsi" w:eastAsiaTheme="minorEastAsia" w:hAnsiTheme="minorHAnsi"/>
            <w:iCs w:val="0"/>
            <w:kern w:val="2"/>
            <w:sz w:val="24"/>
            <w:szCs w:val="24"/>
            <w14:ligatures w14:val="standardContextual"/>
          </w:rPr>
          <w:tab/>
        </w:r>
        <w:r w:rsidRPr="009D7477">
          <w:rPr>
            <w:rStyle w:val="Hyperlink"/>
          </w:rPr>
          <w:t>Statement of Project Objectives (SOPO)</w:t>
        </w:r>
        <w:r>
          <w:rPr>
            <w:webHidden/>
          </w:rPr>
          <w:tab/>
        </w:r>
        <w:r>
          <w:rPr>
            <w:webHidden/>
          </w:rPr>
          <w:fldChar w:fldCharType="begin"/>
        </w:r>
        <w:r>
          <w:rPr>
            <w:webHidden/>
          </w:rPr>
          <w:instrText xml:space="preserve"> PAGEREF _Toc176864449 \h </w:instrText>
        </w:r>
        <w:r>
          <w:rPr>
            <w:webHidden/>
          </w:rPr>
        </w:r>
        <w:r>
          <w:rPr>
            <w:webHidden/>
          </w:rPr>
          <w:fldChar w:fldCharType="separate"/>
        </w:r>
        <w:r w:rsidR="001B6894">
          <w:rPr>
            <w:webHidden/>
          </w:rPr>
          <w:t>62</w:t>
        </w:r>
        <w:r>
          <w:rPr>
            <w:webHidden/>
          </w:rPr>
          <w:fldChar w:fldCharType="end"/>
        </w:r>
      </w:hyperlink>
    </w:p>
    <w:p w14:paraId="2B54BE9A" w14:textId="5D137585" w:rsidR="0015790A" w:rsidRDefault="0015790A">
      <w:pPr>
        <w:pStyle w:val="TOC3"/>
        <w:rPr>
          <w:rFonts w:asciiTheme="minorHAnsi" w:eastAsiaTheme="minorEastAsia" w:hAnsiTheme="minorHAnsi"/>
          <w:iCs w:val="0"/>
          <w:kern w:val="2"/>
          <w:sz w:val="24"/>
          <w:szCs w:val="24"/>
          <w14:ligatures w14:val="standardContextual"/>
        </w:rPr>
      </w:pPr>
      <w:hyperlink w:anchor="_Toc176864450" w:history="1">
        <w:r w:rsidRPr="009D7477">
          <w:rPr>
            <w:rStyle w:val="Hyperlink"/>
            <w:bCs/>
          </w:rPr>
          <w:t>viii.</w:t>
        </w:r>
        <w:r>
          <w:rPr>
            <w:rFonts w:asciiTheme="minorHAnsi" w:eastAsiaTheme="minorEastAsia" w:hAnsiTheme="minorHAnsi"/>
            <w:iCs w:val="0"/>
            <w:kern w:val="2"/>
            <w:sz w:val="24"/>
            <w:szCs w:val="24"/>
            <w14:ligatures w14:val="standardContextual"/>
          </w:rPr>
          <w:tab/>
        </w:r>
        <w:r w:rsidRPr="009D7477">
          <w:rPr>
            <w:rStyle w:val="Hyperlink"/>
          </w:rPr>
          <w:t>Diversity, Equity, and Inclusion Plan</w:t>
        </w:r>
        <w:r>
          <w:rPr>
            <w:webHidden/>
          </w:rPr>
          <w:tab/>
        </w:r>
        <w:r>
          <w:rPr>
            <w:webHidden/>
          </w:rPr>
          <w:fldChar w:fldCharType="begin"/>
        </w:r>
        <w:r>
          <w:rPr>
            <w:webHidden/>
          </w:rPr>
          <w:instrText xml:space="preserve"> PAGEREF _Toc176864450 \h </w:instrText>
        </w:r>
        <w:r>
          <w:rPr>
            <w:webHidden/>
          </w:rPr>
        </w:r>
        <w:r>
          <w:rPr>
            <w:webHidden/>
          </w:rPr>
          <w:fldChar w:fldCharType="separate"/>
        </w:r>
        <w:r w:rsidR="001B6894">
          <w:rPr>
            <w:webHidden/>
          </w:rPr>
          <w:t>62</w:t>
        </w:r>
        <w:r>
          <w:rPr>
            <w:webHidden/>
          </w:rPr>
          <w:fldChar w:fldCharType="end"/>
        </w:r>
      </w:hyperlink>
    </w:p>
    <w:p w14:paraId="6D20F31C" w14:textId="13D14CFC" w:rsidR="0015790A" w:rsidRDefault="0015790A">
      <w:pPr>
        <w:pStyle w:val="TOC3"/>
        <w:rPr>
          <w:rFonts w:asciiTheme="minorHAnsi" w:eastAsiaTheme="minorEastAsia" w:hAnsiTheme="minorHAnsi"/>
          <w:iCs w:val="0"/>
          <w:kern w:val="2"/>
          <w:sz w:val="24"/>
          <w:szCs w:val="24"/>
          <w14:ligatures w14:val="standardContextual"/>
        </w:rPr>
      </w:pPr>
      <w:hyperlink w:anchor="_Toc176864451" w:history="1">
        <w:r w:rsidRPr="009D7477">
          <w:rPr>
            <w:rStyle w:val="Hyperlink"/>
            <w:bCs/>
          </w:rPr>
          <w:t>ix.</w:t>
        </w:r>
        <w:r>
          <w:rPr>
            <w:rFonts w:asciiTheme="minorHAnsi" w:eastAsiaTheme="minorEastAsia" w:hAnsiTheme="minorHAnsi"/>
            <w:iCs w:val="0"/>
            <w:kern w:val="2"/>
            <w:sz w:val="24"/>
            <w:szCs w:val="24"/>
            <w14:ligatures w14:val="standardContextual"/>
          </w:rPr>
          <w:tab/>
        </w:r>
        <w:r w:rsidRPr="009D7477">
          <w:rPr>
            <w:rStyle w:val="Hyperlink"/>
          </w:rPr>
          <w:t>Budget Justification Workbook</w:t>
        </w:r>
        <w:r>
          <w:rPr>
            <w:webHidden/>
          </w:rPr>
          <w:tab/>
        </w:r>
        <w:r>
          <w:rPr>
            <w:webHidden/>
          </w:rPr>
          <w:fldChar w:fldCharType="begin"/>
        </w:r>
        <w:r>
          <w:rPr>
            <w:webHidden/>
          </w:rPr>
          <w:instrText xml:space="preserve"> PAGEREF _Toc176864451 \h </w:instrText>
        </w:r>
        <w:r>
          <w:rPr>
            <w:webHidden/>
          </w:rPr>
        </w:r>
        <w:r>
          <w:rPr>
            <w:webHidden/>
          </w:rPr>
          <w:fldChar w:fldCharType="separate"/>
        </w:r>
        <w:r w:rsidR="001B6894">
          <w:rPr>
            <w:webHidden/>
          </w:rPr>
          <w:t>63</w:t>
        </w:r>
        <w:r>
          <w:rPr>
            <w:webHidden/>
          </w:rPr>
          <w:fldChar w:fldCharType="end"/>
        </w:r>
      </w:hyperlink>
    </w:p>
    <w:p w14:paraId="241B58DB" w14:textId="45D35871" w:rsidR="0015790A" w:rsidRDefault="0015790A">
      <w:pPr>
        <w:pStyle w:val="TOC3"/>
        <w:rPr>
          <w:rFonts w:asciiTheme="minorHAnsi" w:eastAsiaTheme="minorEastAsia" w:hAnsiTheme="minorHAnsi"/>
          <w:iCs w:val="0"/>
          <w:kern w:val="2"/>
          <w:sz w:val="24"/>
          <w:szCs w:val="24"/>
          <w14:ligatures w14:val="standardContextual"/>
        </w:rPr>
      </w:pPr>
      <w:hyperlink w:anchor="_Toc176864452" w:history="1">
        <w:r w:rsidRPr="009D7477">
          <w:rPr>
            <w:rStyle w:val="Hyperlink"/>
            <w:bCs/>
          </w:rPr>
          <w:t>x.</w:t>
        </w:r>
        <w:r>
          <w:rPr>
            <w:rFonts w:asciiTheme="minorHAnsi" w:eastAsiaTheme="minorEastAsia" w:hAnsiTheme="minorHAnsi"/>
            <w:iCs w:val="0"/>
            <w:kern w:val="2"/>
            <w:sz w:val="24"/>
            <w:szCs w:val="24"/>
            <w14:ligatures w14:val="standardContextual"/>
          </w:rPr>
          <w:tab/>
        </w:r>
        <w:r w:rsidRPr="009D7477">
          <w:rPr>
            <w:rStyle w:val="Hyperlink"/>
          </w:rPr>
          <w:t>Summary for Public Release</w:t>
        </w:r>
        <w:r>
          <w:rPr>
            <w:webHidden/>
          </w:rPr>
          <w:tab/>
        </w:r>
        <w:r>
          <w:rPr>
            <w:webHidden/>
          </w:rPr>
          <w:fldChar w:fldCharType="begin"/>
        </w:r>
        <w:r>
          <w:rPr>
            <w:webHidden/>
          </w:rPr>
          <w:instrText xml:space="preserve"> PAGEREF _Toc176864452 \h </w:instrText>
        </w:r>
        <w:r>
          <w:rPr>
            <w:webHidden/>
          </w:rPr>
        </w:r>
        <w:r>
          <w:rPr>
            <w:webHidden/>
          </w:rPr>
          <w:fldChar w:fldCharType="separate"/>
        </w:r>
        <w:r w:rsidR="001B6894">
          <w:rPr>
            <w:webHidden/>
          </w:rPr>
          <w:t>64</w:t>
        </w:r>
        <w:r>
          <w:rPr>
            <w:webHidden/>
          </w:rPr>
          <w:fldChar w:fldCharType="end"/>
        </w:r>
      </w:hyperlink>
    </w:p>
    <w:p w14:paraId="482CA1C0" w14:textId="641456F0" w:rsidR="0015790A" w:rsidRDefault="0015790A">
      <w:pPr>
        <w:pStyle w:val="TOC3"/>
        <w:rPr>
          <w:rFonts w:asciiTheme="minorHAnsi" w:eastAsiaTheme="minorEastAsia" w:hAnsiTheme="minorHAnsi"/>
          <w:iCs w:val="0"/>
          <w:kern w:val="2"/>
          <w:sz w:val="24"/>
          <w:szCs w:val="24"/>
          <w14:ligatures w14:val="standardContextual"/>
        </w:rPr>
      </w:pPr>
      <w:hyperlink w:anchor="_Toc176864453" w:history="1">
        <w:r w:rsidRPr="009D7477">
          <w:rPr>
            <w:rStyle w:val="Hyperlink"/>
            <w:bCs/>
          </w:rPr>
          <w:t>xi.</w:t>
        </w:r>
        <w:r>
          <w:rPr>
            <w:rFonts w:asciiTheme="minorHAnsi" w:eastAsiaTheme="minorEastAsia" w:hAnsiTheme="minorHAnsi"/>
            <w:iCs w:val="0"/>
            <w:kern w:val="2"/>
            <w:sz w:val="24"/>
            <w:szCs w:val="24"/>
            <w14:ligatures w14:val="standardContextual"/>
          </w:rPr>
          <w:tab/>
        </w:r>
        <w:r w:rsidRPr="009D7477">
          <w:rPr>
            <w:rStyle w:val="Hyperlink"/>
          </w:rPr>
          <w:t>Summary Slide</w:t>
        </w:r>
        <w:r>
          <w:rPr>
            <w:webHidden/>
          </w:rPr>
          <w:tab/>
        </w:r>
        <w:r>
          <w:rPr>
            <w:webHidden/>
          </w:rPr>
          <w:fldChar w:fldCharType="begin"/>
        </w:r>
        <w:r>
          <w:rPr>
            <w:webHidden/>
          </w:rPr>
          <w:instrText xml:space="preserve"> PAGEREF _Toc176864453 \h </w:instrText>
        </w:r>
        <w:r>
          <w:rPr>
            <w:webHidden/>
          </w:rPr>
        </w:r>
        <w:r>
          <w:rPr>
            <w:webHidden/>
          </w:rPr>
          <w:fldChar w:fldCharType="separate"/>
        </w:r>
        <w:r w:rsidR="001B6894">
          <w:rPr>
            <w:webHidden/>
          </w:rPr>
          <w:t>64</w:t>
        </w:r>
        <w:r>
          <w:rPr>
            <w:webHidden/>
          </w:rPr>
          <w:fldChar w:fldCharType="end"/>
        </w:r>
      </w:hyperlink>
    </w:p>
    <w:p w14:paraId="73461492" w14:textId="7E6498C5" w:rsidR="0015790A" w:rsidRDefault="0015790A">
      <w:pPr>
        <w:pStyle w:val="TOC3"/>
        <w:rPr>
          <w:rFonts w:asciiTheme="minorHAnsi" w:eastAsiaTheme="minorEastAsia" w:hAnsiTheme="minorHAnsi"/>
          <w:iCs w:val="0"/>
          <w:kern w:val="2"/>
          <w:sz w:val="24"/>
          <w:szCs w:val="24"/>
          <w14:ligatures w14:val="standardContextual"/>
        </w:rPr>
      </w:pPr>
      <w:hyperlink w:anchor="_Toc176864454" w:history="1">
        <w:r w:rsidRPr="009D7477">
          <w:rPr>
            <w:rStyle w:val="Hyperlink"/>
            <w:bCs/>
          </w:rPr>
          <w:t>xii.</w:t>
        </w:r>
        <w:r>
          <w:rPr>
            <w:rFonts w:asciiTheme="minorHAnsi" w:eastAsiaTheme="minorEastAsia" w:hAnsiTheme="minorHAnsi"/>
            <w:iCs w:val="0"/>
            <w:kern w:val="2"/>
            <w:sz w:val="24"/>
            <w:szCs w:val="24"/>
            <w14:ligatures w14:val="standardContextual"/>
          </w:rPr>
          <w:tab/>
        </w:r>
        <w:r w:rsidRPr="009D7477">
          <w:rPr>
            <w:rStyle w:val="Hyperlink"/>
          </w:rPr>
          <w:t>Subrecipient Budget Justification (if applicable)</w:t>
        </w:r>
        <w:r>
          <w:rPr>
            <w:webHidden/>
          </w:rPr>
          <w:tab/>
        </w:r>
        <w:r>
          <w:rPr>
            <w:webHidden/>
          </w:rPr>
          <w:fldChar w:fldCharType="begin"/>
        </w:r>
        <w:r>
          <w:rPr>
            <w:webHidden/>
          </w:rPr>
          <w:instrText xml:space="preserve"> PAGEREF _Toc176864454 \h </w:instrText>
        </w:r>
        <w:r>
          <w:rPr>
            <w:webHidden/>
          </w:rPr>
        </w:r>
        <w:r>
          <w:rPr>
            <w:webHidden/>
          </w:rPr>
          <w:fldChar w:fldCharType="separate"/>
        </w:r>
        <w:r w:rsidR="001B6894">
          <w:rPr>
            <w:webHidden/>
          </w:rPr>
          <w:t>64</w:t>
        </w:r>
        <w:r>
          <w:rPr>
            <w:webHidden/>
          </w:rPr>
          <w:fldChar w:fldCharType="end"/>
        </w:r>
      </w:hyperlink>
    </w:p>
    <w:p w14:paraId="62900C5D" w14:textId="30C21502" w:rsidR="0015790A" w:rsidRDefault="0015790A">
      <w:pPr>
        <w:pStyle w:val="TOC3"/>
        <w:rPr>
          <w:rFonts w:asciiTheme="minorHAnsi" w:eastAsiaTheme="minorEastAsia" w:hAnsiTheme="minorHAnsi"/>
          <w:iCs w:val="0"/>
          <w:kern w:val="2"/>
          <w:sz w:val="24"/>
          <w:szCs w:val="24"/>
          <w14:ligatures w14:val="standardContextual"/>
        </w:rPr>
      </w:pPr>
      <w:hyperlink w:anchor="_Toc176864455" w:history="1">
        <w:r w:rsidRPr="009D7477">
          <w:rPr>
            <w:rStyle w:val="Hyperlink"/>
            <w:bCs/>
          </w:rPr>
          <w:t>xiii.</w:t>
        </w:r>
        <w:r>
          <w:rPr>
            <w:rFonts w:asciiTheme="minorHAnsi" w:eastAsiaTheme="minorEastAsia" w:hAnsiTheme="minorHAnsi"/>
            <w:iCs w:val="0"/>
            <w:kern w:val="2"/>
            <w:sz w:val="24"/>
            <w:szCs w:val="24"/>
            <w14:ligatures w14:val="standardContextual"/>
          </w:rPr>
          <w:tab/>
        </w:r>
        <w:r w:rsidRPr="009D7477">
          <w:rPr>
            <w:rStyle w:val="Hyperlink"/>
          </w:rPr>
          <w:t>Budget for DOE/NNSA FFRDC (if applicable)</w:t>
        </w:r>
        <w:r>
          <w:rPr>
            <w:webHidden/>
          </w:rPr>
          <w:tab/>
        </w:r>
        <w:r>
          <w:rPr>
            <w:webHidden/>
          </w:rPr>
          <w:fldChar w:fldCharType="begin"/>
        </w:r>
        <w:r>
          <w:rPr>
            <w:webHidden/>
          </w:rPr>
          <w:instrText xml:space="preserve"> PAGEREF _Toc176864455 \h </w:instrText>
        </w:r>
        <w:r>
          <w:rPr>
            <w:webHidden/>
          </w:rPr>
        </w:r>
        <w:r>
          <w:rPr>
            <w:webHidden/>
          </w:rPr>
          <w:fldChar w:fldCharType="separate"/>
        </w:r>
        <w:r w:rsidR="001B6894">
          <w:rPr>
            <w:webHidden/>
          </w:rPr>
          <w:t>65</w:t>
        </w:r>
        <w:r>
          <w:rPr>
            <w:webHidden/>
          </w:rPr>
          <w:fldChar w:fldCharType="end"/>
        </w:r>
      </w:hyperlink>
    </w:p>
    <w:p w14:paraId="4B373835" w14:textId="1BC201C5" w:rsidR="0015790A" w:rsidRDefault="0015790A">
      <w:pPr>
        <w:pStyle w:val="TOC3"/>
        <w:rPr>
          <w:rFonts w:asciiTheme="minorHAnsi" w:eastAsiaTheme="minorEastAsia" w:hAnsiTheme="minorHAnsi"/>
          <w:iCs w:val="0"/>
          <w:kern w:val="2"/>
          <w:sz w:val="24"/>
          <w:szCs w:val="24"/>
          <w14:ligatures w14:val="standardContextual"/>
        </w:rPr>
      </w:pPr>
      <w:hyperlink w:anchor="_Toc176864456" w:history="1">
        <w:r w:rsidRPr="009D7477">
          <w:rPr>
            <w:rStyle w:val="Hyperlink"/>
            <w:bCs/>
          </w:rPr>
          <w:t>xiv.</w:t>
        </w:r>
        <w:r>
          <w:rPr>
            <w:rFonts w:asciiTheme="minorHAnsi" w:eastAsiaTheme="minorEastAsia" w:hAnsiTheme="minorHAnsi"/>
            <w:iCs w:val="0"/>
            <w:kern w:val="2"/>
            <w:sz w:val="24"/>
            <w:szCs w:val="24"/>
            <w14:ligatures w14:val="standardContextual"/>
          </w:rPr>
          <w:tab/>
        </w:r>
        <w:r w:rsidRPr="009D7477">
          <w:rPr>
            <w:rStyle w:val="Hyperlink"/>
          </w:rPr>
          <w:t>Authorization for Non-DOE/NNSA or DOE/NNSA FFRDCs (if applicable)</w:t>
        </w:r>
        <w:r>
          <w:rPr>
            <w:webHidden/>
          </w:rPr>
          <w:tab/>
        </w:r>
        <w:r>
          <w:rPr>
            <w:webHidden/>
          </w:rPr>
          <w:fldChar w:fldCharType="begin"/>
        </w:r>
        <w:r>
          <w:rPr>
            <w:webHidden/>
          </w:rPr>
          <w:instrText xml:space="preserve"> PAGEREF _Toc176864456 \h </w:instrText>
        </w:r>
        <w:r>
          <w:rPr>
            <w:webHidden/>
          </w:rPr>
        </w:r>
        <w:r>
          <w:rPr>
            <w:webHidden/>
          </w:rPr>
          <w:fldChar w:fldCharType="separate"/>
        </w:r>
        <w:r w:rsidR="001B6894">
          <w:rPr>
            <w:webHidden/>
          </w:rPr>
          <w:t>65</w:t>
        </w:r>
        <w:r>
          <w:rPr>
            <w:webHidden/>
          </w:rPr>
          <w:fldChar w:fldCharType="end"/>
        </w:r>
      </w:hyperlink>
    </w:p>
    <w:p w14:paraId="20741CBA" w14:textId="0432A6EE" w:rsidR="0015790A" w:rsidRDefault="0015790A">
      <w:pPr>
        <w:pStyle w:val="TOC3"/>
        <w:rPr>
          <w:rFonts w:asciiTheme="minorHAnsi" w:eastAsiaTheme="minorEastAsia" w:hAnsiTheme="minorHAnsi"/>
          <w:iCs w:val="0"/>
          <w:kern w:val="2"/>
          <w:sz w:val="24"/>
          <w:szCs w:val="24"/>
          <w14:ligatures w14:val="standardContextual"/>
        </w:rPr>
      </w:pPr>
      <w:hyperlink w:anchor="_Toc176864457" w:history="1">
        <w:r w:rsidRPr="009D7477">
          <w:rPr>
            <w:rStyle w:val="Hyperlink"/>
            <w:bCs/>
          </w:rPr>
          <w:t>xv.</w:t>
        </w:r>
        <w:r>
          <w:rPr>
            <w:rFonts w:asciiTheme="minorHAnsi" w:eastAsiaTheme="minorEastAsia" w:hAnsiTheme="minorHAnsi"/>
            <w:iCs w:val="0"/>
            <w:kern w:val="2"/>
            <w:sz w:val="24"/>
            <w:szCs w:val="24"/>
            <w14:ligatures w14:val="standardContextual"/>
          </w:rPr>
          <w:tab/>
        </w:r>
        <w:r w:rsidRPr="009D7477">
          <w:rPr>
            <w:rStyle w:val="Hyperlink"/>
          </w:rPr>
          <w:t>SF-LLL: Disclosure of Lobbying Activities</w:t>
        </w:r>
        <w:r>
          <w:rPr>
            <w:webHidden/>
          </w:rPr>
          <w:tab/>
        </w:r>
        <w:r>
          <w:rPr>
            <w:webHidden/>
          </w:rPr>
          <w:fldChar w:fldCharType="begin"/>
        </w:r>
        <w:r>
          <w:rPr>
            <w:webHidden/>
          </w:rPr>
          <w:instrText xml:space="preserve"> PAGEREF _Toc176864457 \h </w:instrText>
        </w:r>
        <w:r>
          <w:rPr>
            <w:webHidden/>
          </w:rPr>
        </w:r>
        <w:r>
          <w:rPr>
            <w:webHidden/>
          </w:rPr>
          <w:fldChar w:fldCharType="separate"/>
        </w:r>
        <w:r w:rsidR="001B6894">
          <w:rPr>
            <w:webHidden/>
          </w:rPr>
          <w:t>65</w:t>
        </w:r>
        <w:r>
          <w:rPr>
            <w:webHidden/>
          </w:rPr>
          <w:fldChar w:fldCharType="end"/>
        </w:r>
      </w:hyperlink>
    </w:p>
    <w:p w14:paraId="217ECC63" w14:textId="326778EE" w:rsidR="0015790A" w:rsidRDefault="0015790A">
      <w:pPr>
        <w:pStyle w:val="TOC3"/>
        <w:rPr>
          <w:rFonts w:asciiTheme="minorHAnsi" w:eastAsiaTheme="minorEastAsia" w:hAnsiTheme="minorHAnsi"/>
          <w:iCs w:val="0"/>
          <w:kern w:val="2"/>
          <w:sz w:val="24"/>
          <w:szCs w:val="24"/>
          <w14:ligatures w14:val="standardContextual"/>
        </w:rPr>
      </w:pPr>
      <w:hyperlink w:anchor="_Toc176864458" w:history="1">
        <w:r w:rsidRPr="009D7477">
          <w:rPr>
            <w:rStyle w:val="Hyperlink"/>
            <w:bCs/>
          </w:rPr>
          <w:t>xvi.</w:t>
        </w:r>
        <w:r>
          <w:rPr>
            <w:rFonts w:asciiTheme="minorHAnsi" w:eastAsiaTheme="minorEastAsia" w:hAnsiTheme="minorHAnsi"/>
            <w:iCs w:val="0"/>
            <w:kern w:val="2"/>
            <w:sz w:val="24"/>
            <w:szCs w:val="24"/>
            <w14:ligatures w14:val="standardContextual"/>
          </w:rPr>
          <w:tab/>
        </w:r>
        <w:r w:rsidRPr="009D7477">
          <w:rPr>
            <w:rStyle w:val="Hyperlink"/>
          </w:rPr>
          <w:t>Waiver Requests (if applicable)</w:t>
        </w:r>
        <w:r>
          <w:rPr>
            <w:webHidden/>
          </w:rPr>
          <w:tab/>
        </w:r>
        <w:r>
          <w:rPr>
            <w:webHidden/>
          </w:rPr>
          <w:fldChar w:fldCharType="begin"/>
        </w:r>
        <w:r>
          <w:rPr>
            <w:webHidden/>
          </w:rPr>
          <w:instrText xml:space="preserve"> PAGEREF _Toc176864458 \h </w:instrText>
        </w:r>
        <w:r>
          <w:rPr>
            <w:webHidden/>
          </w:rPr>
        </w:r>
        <w:r>
          <w:rPr>
            <w:webHidden/>
          </w:rPr>
          <w:fldChar w:fldCharType="separate"/>
        </w:r>
        <w:r w:rsidR="001B6894">
          <w:rPr>
            <w:webHidden/>
          </w:rPr>
          <w:t>66</w:t>
        </w:r>
        <w:r>
          <w:rPr>
            <w:webHidden/>
          </w:rPr>
          <w:fldChar w:fldCharType="end"/>
        </w:r>
      </w:hyperlink>
    </w:p>
    <w:p w14:paraId="1873AA04" w14:textId="2F1CBC86" w:rsidR="0015790A" w:rsidRDefault="0015790A">
      <w:pPr>
        <w:pStyle w:val="TOC3"/>
        <w:rPr>
          <w:rFonts w:asciiTheme="minorHAnsi" w:eastAsiaTheme="minorEastAsia" w:hAnsiTheme="minorHAnsi"/>
          <w:iCs w:val="0"/>
          <w:kern w:val="2"/>
          <w:sz w:val="24"/>
          <w:szCs w:val="24"/>
          <w14:ligatures w14:val="standardContextual"/>
        </w:rPr>
      </w:pPr>
      <w:hyperlink w:anchor="_Toc176864459" w:history="1">
        <w:r w:rsidRPr="009D7477">
          <w:rPr>
            <w:rStyle w:val="Hyperlink"/>
            <w:bCs/>
          </w:rPr>
          <w:t>xvii.</w:t>
        </w:r>
        <w:r>
          <w:rPr>
            <w:rFonts w:asciiTheme="minorHAnsi" w:eastAsiaTheme="minorEastAsia" w:hAnsiTheme="minorHAnsi"/>
            <w:iCs w:val="0"/>
            <w:kern w:val="2"/>
            <w:sz w:val="24"/>
            <w:szCs w:val="24"/>
            <w14:ligatures w14:val="standardContextual"/>
          </w:rPr>
          <w:tab/>
        </w:r>
        <w:r w:rsidRPr="009D7477">
          <w:rPr>
            <w:rStyle w:val="Hyperlink"/>
          </w:rPr>
          <w:t>Current and Pending Support</w:t>
        </w:r>
        <w:r>
          <w:rPr>
            <w:webHidden/>
          </w:rPr>
          <w:tab/>
        </w:r>
        <w:r>
          <w:rPr>
            <w:webHidden/>
          </w:rPr>
          <w:fldChar w:fldCharType="begin"/>
        </w:r>
        <w:r>
          <w:rPr>
            <w:webHidden/>
          </w:rPr>
          <w:instrText xml:space="preserve"> PAGEREF _Toc176864459 \h </w:instrText>
        </w:r>
        <w:r>
          <w:rPr>
            <w:webHidden/>
          </w:rPr>
        </w:r>
        <w:r>
          <w:rPr>
            <w:webHidden/>
          </w:rPr>
          <w:fldChar w:fldCharType="separate"/>
        </w:r>
        <w:r w:rsidR="001B6894">
          <w:rPr>
            <w:webHidden/>
          </w:rPr>
          <w:t>66</w:t>
        </w:r>
        <w:r>
          <w:rPr>
            <w:webHidden/>
          </w:rPr>
          <w:fldChar w:fldCharType="end"/>
        </w:r>
      </w:hyperlink>
    </w:p>
    <w:p w14:paraId="284E09D6" w14:textId="5056E28B" w:rsidR="0015790A" w:rsidRDefault="0015790A">
      <w:pPr>
        <w:pStyle w:val="TOC3"/>
        <w:rPr>
          <w:rFonts w:asciiTheme="minorHAnsi" w:eastAsiaTheme="minorEastAsia" w:hAnsiTheme="minorHAnsi"/>
          <w:iCs w:val="0"/>
          <w:kern w:val="2"/>
          <w:sz w:val="24"/>
          <w:szCs w:val="24"/>
          <w14:ligatures w14:val="standardContextual"/>
        </w:rPr>
      </w:pPr>
      <w:hyperlink w:anchor="_Toc176864460" w:history="1">
        <w:r w:rsidRPr="009D7477">
          <w:rPr>
            <w:rStyle w:val="Hyperlink"/>
            <w:bCs/>
          </w:rPr>
          <w:t>xviii.</w:t>
        </w:r>
        <w:r>
          <w:rPr>
            <w:rFonts w:asciiTheme="minorHAnsi" w:eastAsiaTheme="minorEastAsia" w:hAnsiTheme="minorHAnsi"/>
            <w:iCs w:val="0"/>
            <w:kern w:val="2"/>
            <w:sz w:val="24"/>
            <w:szCs w:val="24"/>
            <w14:ligatures w14:val="standardContextual"/>
          </w:rPr>
          <w:tab/>
        </w:r>
        <w:r w:rsidRPr="009D7477">
          <w:rPr>
            <w:rStyle w:val="Hyperlink"/>
          </w:rPr>
          <w:t>Transparency of Foreign Connections</w:t>
        </w:r>
        <w:r>
          <w:rPr>
            <w:webHidden/>
          </w:rPr>
          <w:tab/>
        </w:r>
        <w:r>
          <w:rPr>
            <w:webHidden/>
          </w:rPr>
          <w:fldChar w:fldCharType="begin"/>
        </w:r>
        <w:r>
          <w:rPr>
            <w:webHidden/>
          </w:rPr>
          <w:instrText xml:space="preserve"> PAGEREF _Toc176864460 \h </w:instrText>
        </w:r>
        <w:r>
          <w:rPr>
            <w:webHidden/>
          </w:rPr>
        </w:r>
        <w:r>
          <w:rPr>
            <w:webHidden/>
          </w:rPr>
          <w:fldChar w:fldCharType="separate"/>
        </w:r>
        <w:r w:rsidR="001B6894">
          <w:rPr>
            <w:webHidden/>
          </w:rPr>
          <w:t>69</w:t>
        </w:r>
        <w:r>
          <w:rPr>
            <w:webHidden/>
          </w:rPr>
          <w:fldChar w:fldCharType="end"/>
        </w:r>
      </w:hyperlink>
    </w:p>
    <w:p w14:paraId="54DC1AED" w14:textId="4BBFEDFC" w:rsidR="0015790A" w:rsidRDefault="0015790A">
      <w:pPr>
        <w:pStyle w:val="TOC3"/>
        <w:rPr>
          <w:rFonts w:asciiTheme="minorHAnsi" w:eastAsiaTheme="minorEastAsia" w:hAnsiTheme="minorHAnsi"/>
          <w:iCs w:val="0"/>
          <w:kern w:val="2"/>
          <w:sz w:val="24"/>
          <w:szCs w:val="24"/>
          <w14:ligatures w14:val="standardContextual"/>
        </w:rPr>
      </w:pPr>
      <w:hyperlink w:anchor="_Toc176864461" w:history="1">
        <w:r w:rsidRPr="009D7477">
          <w:rPr>
            <w:rStyle w:val="Hyperlink"/>
            <w:bCs/>
          </w:rPr>
          <w:t>xix.</w:t>
        </w:r>
        <w:r>
          <w:rPr>
            <w:rFonts w:asciiTheme="minorHAnsi" w:eastAsiaTheme="minorEastAsia" w:hAnsiTheme="minorHAnsi"/>
            <w:iCs w:val="0"/>
            <w:kern w:val="2"/>
            <w:sz w:val="24"/>
            <w:szCs w:val="24"/>
            <w14:ligatures w14:val="standardContextual"/>
          </w:rPr>
          <w:tab/>
        </w:r>
        <w:r w:rsidRPr="009D7477">
          <w:rPr>
            <w:rStyle w:val="Hyperlink"/>
          </w:rPr>
          <w:t>Potentially Duplicative Funding Notice</w:t>
        </w:r>
        <w:r>
          <w:rPr>
            <w:webHidden/>
          </w:rPr>
          <w:tab/>
        </w:r>
        <w:r>
          <w:rPr>
            <w:webHidden/>
          </w:rPr>
          <w:fldChar w:fldCharType="begin"/>
        </w:r>
        <w:r>
          <w:rPr>
            <w:webHidden/>
          </w:rPr>
          <w:instrText xml:space="preserve"> PAGEREF _Toc176864461 \h </w:instrText>
        </w:r>
        <w:r>
          <w:rPr>
            <w:webHidden/>
          </w:rPr>
        </w:r>
        <w:r>
          <w:rPr>
            <w:webHidden/>
          </w:rPr>
          <w:fldChar w:fldCharType="separate"/>
        </w:r>
        <w:r w:rsidR="001B6894">
          <w:rPr>
            <w:webHidden/>
          </w:rPr>
          <w:t>71</w:t>
        </w:r>
        <w:r>
          <w:rPr>
            <w:webHidden/>
          </w:rPr>
          <w:fldChar w:fldCharType="end"/>
        </w:r>
      </w:hyperlink>
    </w:p>
    <w:p w14:paraId="1B01DB2E" w14:textId="7F6DFA83" w:rsidR="0015790A" w:rsidRDefault="0015790A">
      <w:pPr>
        <w:pStyle w:val="TOC3"/>
        <w:rPr>
          <w:rFonts w:asciiTheme="minorHAnsi" w:eastAsiaTheme="minorEastAsia" w:hAnsiTheme="minorHAnsi"/>
          <w:iCs w:val="0"/>
          <w:kern w:val="2"/>
          <w:sz w:val="24"/>
          <w:szCs w:val="24"/>
          <w14:ligatures w14:val="standardContextual"/>
        </w:rPr>
      </w:pPr>
      <w:hyperlink w:anchor="_Toc176864462" w:history="1">
        <w:r w:rsidRPr="009D7477">
          <w:rPr>
            <w:rStyle w:val="Hyperlink"/>
            <w:bCs/>
          </w:rPr>
          <w:t>xx.</w:t>
        </w:r>
        <w:r>
          <w:rPr>
            <w:rFonts w:asciiTheme="minorHAnsi" w:eastAsiaTheme="minorEastAsia" w:hAnsiTheme="minorHAnsi"/>
            <w:iCs w:val="0"/>
            <w:kern w:val="2"/>
            <w:sz w:val="24"/>
            <w:szCs w:val="24"/>
            <w14:ligatures w14:val="standardContextual"/>
          </w:rPr>
          <w:tab/>
        </w:r>
        <w:r w:rsidRPr="009D7477">
          <w:rPr>
            <w:rStyle w:val="Hyperlink"/>
          </w:rPr>
          <w:t>Block Flow Diagram</w:t>
        </w:r>
        <w:r>
          <w:rPr>
            <w:webHidden/>
          </w:rPr>
          <w:tab/>
        </w:r>
        <w:r>
          <w:rPr>
            <w:webHidden/>
          </w:rPr>
          <w:fldChar w:fldCharType="begin"/>
        </w:r>
        <w:r>
          <w:rPr>
            <w:webHidden/>
          </w:rPr>
          <w:instrText xml:space="preserve"> PAGEREF _Toc176864462 \h </w:instrText>
        </w:r>
        <w:r>
          <w:rPr>
            <w:webHidden/>
          </w:rPr>
        </w:r>
        <w:r>
          <w:rPr>
            <w:webHidden/>
          </w:rPr>
          <w:fldChar w:fldCharType="separate"/>
        </w:r>
        <w:r w:rsidR="001B6894">
          <w:rPr>
            <w:webHidden/>
          </w:rPr>
          <w:t>71</w:t>
        </w:r>
        <w:r>
          <w:rPr>
            <w:webHidden/>
          </w:rPr>
          <w:fldChar w:fldCharType="end"/>
        </w:r>
      </w:hyperlink>
    </w:p>
    <w:p w14:paraId="31422876" w14:textId="1167150D" w:rsidR="0015790A" w:rsidRDefault="0015790A">
      <w:pPr>
        <w:pStyle w:val="TOC3"/>
        <w:rPr>
          <w:rFonts w:asciiTheme="minorHAnsi" w:eastAsiaTheme="minorEastAsia" w:hAnsiTheme="minorHAnsi"/>
          <w:iCs w:val="0"/>
          <w:kern w:val="2"/>
          <w:sz w:val="24"/>
          <w:szCs w:val="24"/>
          <w14:ligatures w14:val="standardContextual"/>
        </w:rPr>
      </w:pPr>
      <w:hyperlink w:anchor="_Toc176864463" w:history="1">
        <w:r w:rsidRPr="009D7477">
          <w:rPr>
            <w:rStyle w:val="Hyperlink"/>
            <w:bCs/>
          </w:rPr>
          <w:t>xxi.</w:t>
        </w:r>
        <w:r>
          <w:rPr>
            <w:rFonts w:asciiTheme="minorHAnsi" w:eastAsiaTheme="minorEastAsia" w:hAnsiTheme="minorHAnsi"/>
            <w:iCs w:val="0"/>
            <w:kern w:val="2"/>
            <w:sz w:val="24"/>
            <w:szCs w:val="24"/>
            <w14:ligatures w14:val="standardContextual"/>
          </w:rPr>
          <w:tab/>
        </w:r>
        <w:r w:rsidRPr="009D7477">
          <w:rPr>
            <w:rStyle w:val="Hyperlink"/>
          </w:rPr>
          <w:t>Proforma Cash Flow Analysis</w:t>
        </w:r>
        <w:r>
          <w:rPr>
            <w:webHidden/>
          </w:rPr>
          <w:tab/>
        </w:r>
        <w:r>
          <w:rPr>
            <w:webHidden/>
          </w:rPr>
          <w:fldChar w:fldCharType="begin"/>
        </w:r>
        <w:r>
          <w:rPr>
            <w:webHidden/>
          </w:rPr>
          <w:instrText xml:space="preserve"> PAGEREF _Toc176864463 \h </w:instrText>
        </w:r>
        <w:r>
          <w:rPr>
            <w:webHidden/>
          </w:rPr>
        </w:r>
        <w:r>
          <w:rPr>
            <w:webHidden/>
          </w:rPr>
          <w:fldChar w:fldCharType="separate"/>
        </w:r>
        <w:r w:rsidR="001B6894">
          <w:rPr>
            <w:webHidden/>
          </w:rPr>
          <w:t>72</w:t>
        </w:r>
        <w:r>
          <w:rPr>
            <w:webHidden/>
          </w:rPr>
          <w:fldChar w:fldCharType="end"/>
        </w:r>
      </w:hyperlink>
    </w:p>
    <w:p w14:paraId="52170BE9" w14:textId="0B056681" w:rsidR="0015790A" w:rsidRDefault="0015790A">
      <w:pPr>
        <w:pStyle w:val="TOC3"/>
        <w:rPr>
          <w:rFonts w:asciiTheme="minorHAnsi" w:eastAsiaTheme="minorEastAsia" w:hAnsiTheme="minorHAnsi"/>
          <w:iCs w:val="0"/>
          <w:kern w:val="2"/>
          <w:sz w:val="24"/>
          <w:szCs w:val="24"/>
          <w14:ligatures w14:val="standardContextual"/>
        </w:rPr>
      </w:pPr>
      <w:hyperlink w:anchor="_Toc176864464" w:history="1">
        <w:r w:rsidRPr="009D7477">
          <w:rPr>
            <w:rStyle w:val="Hyperlink"/>
            <w:bCs/>
          </w:rPr>
          <w:t>xxii.</w:t>
        </w:r>
        <w:r>
          <w:rPr>
            <w:rFonts w:asciiTheme="minorHAnsi" w:eastAsiaTheme="minorEastAsia" w:hAnsiTheme="minorHAnsi"/>
            <w:iCs w:val="0"/>
            <w:kern w:val="2"/>
            <w:sz w:val="24"/>
            <w:szCs w:val="24"/>
            <w14:ligatures w14:val="standardContextual"/>
          </w:rPr>
          <w:tab/>
        </w:r>
        <w:r w:rsidRPr="009D7477">
          <w:rPr>
            <w:rStyle w:val="Hyperlink"/>
          </w:rPr>
          <w:t>Life Cycle Analysis</w:t>
        </w:r>
        <w:r>
          <w:rPr>
            <w:webHidden/>
          </w:rPr>
          <w:tab/>
        </w:r>
        <w:r>
          <w:rPr>
            <w:webHidden/>
          </w:rPr>
          <w:fldChar w:fldCharType="begin"/>
        </w:r>
        <w:r>
          <w:rPr>
            <w:webHidden/>
          </w:rPr>
          <w:instrText xml:space="preserve"> PAGEREF _Toc176864464 \h </w:instrText>
        </w:r>
        <w:r>
          <w:rPr>
            <w:webHidden/>
          </w:rPr>
        </w:r>
        <w:r>
          <w:rPr>
            <w:webHidden/>
          </w:rPr>
          <w:fldChar w:fldCharType="separate"/>
        </w:r>
        <w:r w:rsidR="001B6894">
          <w:rPr>
            <w:webHidden/>
          </w:rPr>
          <w:t>72</w:t>
        </w:r>
        <w:r>
          <w:rPr>
            <w:webHidden/>
          </w:rPr>
          <w:fldChar w:fldCharType="end"/>
        </w:r>
      </w:hyperlink>
    </w:p>
    <w:p w14:paraId="5930C9B4" w14:textId="76B99F48" w:rsidR="0015790A" w:rsidRDefault="0015790A">
      <w:pPr>
        <w:pStyle w:val="TOC2"/>
        <w:rPr>
          <w:rFonts w:eastAsiaTheme="minorEastAsia"/>
          <w:noProof/>
          <w:kern w:val="2"/>
          <w:sz w:val="24"/>
          <w:szCs w:val="24"/>
          <w14:ligatures w14:val="standardContextual"/>
        </w:rPr>
      </w:pPr>
      <w:hyperlink w:anchor="_Toc176864465" w:history="1">
        <w:r w:rsidRPr="009D7477">
          <w:rPr>
            <w:rStyle w:val="Hyperlink"/>
            <w:noProof/>
          </w:rPr>
          <w:t>E.</w:t>
        </w:r>
        <w:r>
          <w:rPr>
            <w:rFonts w:eastAsiaTheme="minorEastAsia"/>
            <w:noProof/>
            <w:kern w:val="2"/>
            <w:sz w:val="24"/>
            <w:szCs w:val="24"/>
            <w14:ligatures w14:val="standardContextual"/>
          </w:rPr>
          <w:tab/>
        </w:r>
        <w:r w:rsidRPr="009D7477">
          <w:rPr>
            <w:rStyle w:val="Hyperlink"/>
            <w:noProof/>
          </w:rPr>
          <w:t>Content and Form of Replies to Reviewer Comments</w:t>
        </w:r>
        <w:r w:rsidRPr="009D7477">
          <w:rPr>
            <w:rStyle w:val="Hyperlink"/>
            <w:rFonts w:eastAsia="Times New Roman" w:cs="Times New Roman"/>
            <w:noProof/>
          </w:rPr>
          <w:t xml:space="preserve"> (Optional)</w:t>
        </w:r>
        <w:r>
          <w:rPr>
            <w:noProof/>
            <w:webHidden/>
          </w:rPr>
          <w:tab/>
        </w:r>
        <w:r>
          <w:rPr>
            <w:noProof/>
            <w:webHidden/>
          </w:rPr>
          <w:fldChar w:fldCharType="begin"/>
        </w:r>
        <w:r>
          <w:rPr>
            <w:noProof/>
            <w:webHidden/>
          </w:rPr>
          <w:instrText xml:space="preserve"> PAGEREF _Toc176864465 \h </w:instrText>
        </w:r>
        <w:r>
          <w:rPr>
            <w:noProof/>
            <w:webHidden/>
          </w:rPr>
        </w:r>
        <w:r>
          <w:rPr>
            <w:noProof/>
            <w:webHidden/>
          </w:rPr>
          <w:fldChar w:fldCharType="separate"/>
        </w:r>
        <w:r w:rsidR="001B6894">
          <w:rPr>
            <w:noProof/>
            <w:webHidden/>
          </w:rPr>
          <w:t>73</w:t>
        </w:r>
        <w:r>
          <w:rPr>
            <w:noProof/>
            <w:webHidden/>
          </w:rPr>
          <w:fldChar w:fldCharType="end"/>
        </w:r>
      </w:hyperlink>
    </w:p>
    <w:p w14:paraId="3FB6D2FC" w14:textId="5A639C34" w:rsidR="0015790A" w:rsidRDefault="0015790A">
      <w:pPr>
        <w:pStyle w:val="TOC2"/>
        <w:rPr>
          <w:rFonts w:eastAsiaTheme="minorEastAsia"/>
          <w:noProof/>
          <w:kern w:val="2"/>
          <w:sz w:val="24"/>
          <w:szCs w:val="24"/>
          <w14:ligatures w14:val="standardContextual"/>
        </w:rPr>
      </w:pPr>
      <w:hyperlink w:anchor="_Toc176864466" w:history="1">
        <w:r w:rsidRPr="009D7477">
          <w:rPr>
            <w:rStyle w:val="Hyperlink"/>
            <w:noProof/>
          </w:rPr>
          <w:t>F.</w:t>
        </w:r>
        <w:r>
          <w:rPr>
            <w:rFonts w:eastAsiaTheme="minorEastAsia"/>
            <w:noProof/>
            <w:kern w:val="2"/>
            <w:sz w:val="24"/>
            <w:szCs w:val="24"/>
            <w14:ligatures w14:val="standardContextual"/>
          </w:rPr>
          <w:tab/>
        </w:r>
        <w:r w:rsidRPr="009D7477">
          <w:rPr>
            <w:rStyle w:val="Hyperlink"/>
            <w:noProof/>
          </w:rPr>
          <w:t>Post Selection Information Requests</w:t>
        </w:r>
        <w:r>
          <w:rPr>
            <w:noProof/>
            <w:webHidden/>
          </w:rPr>
          <w:tab/>
        </w:r>
        <w:r>
          <w:rPr>
            <w:noProof/>
            <w:webHidden/>
          </w:rPr>
          <w:fldChar w:fldCharType="begin"/>
        </w:r>
        <w:r>
          <w:rPr>
            <w:noProof/>
            <w:webHidden/>
          </w:rPr>
          <w:instrText xml:space="preserve"> PAGEREF _Toc176864466 \h </w:instrText>
        </w:r>
        <w:r>
          <w:rPr>
            <w:noProof/>
            <w:webHidden/>
          </w:rPr>
        </w:r>
        <w:r>
          <w:rPr>
            <w:noProof/>
            <w:webHidden/>
          </w:rPr>
          <w:fldChar w:fldCharType="separate"/>
        </w:r>
        <w:r w:rsidR="001B6894">
          <w:rPr>
            <w:noProof/>
            <w:webHidden/>
          </w:rPr>
          <w:t>73</w:t>
        </w:r>
        <w:r>
          <w:rPr>
            <w:noProof/>
            <w:webHidden/>
          </w:rPr>
          <w:fldChar w:fldCharType="end"/>
        </w:r>
      </w:hyperlink>
    </w:p>
    <w:p w14:paraId="63C8EA28" w14:textId="6B83E385" w:rsidR="0015790A" w:rsidRDefault="0015790A">
      <w:pPr>
        <w:pStyle w:val="TOC2"/>
        <w:rPr>
          <w:rFonts w:eastAsiaTheme="minorEastAsia"/>
          <w:noProof/>
          <w:kern w:val="2"/>
          <w:sz w:val="24"/>
          <w:szCs w:val="24"/>
          <w14:ligatures w14:val="standardContextual"/>
        </w:rPr>
      </w:pPr>
      <w:hyperlink w:anchor="_Toc176864467" w:history="1">
        <w:r w:rsidRPr="009D7477">
          <w:rPr>
            <w:rStyle w:val="Hyperlink"/>
            <w:noProof/>
          </w:rPr>
          <w:t>G.</w:t>
        </w:r>
        <w:r>
          <w:rPr>
            <w:rFonts w:eastAsiaTheme="minorEastAsia"/>
            <w:noProof/>
            <w:kern w:val="2"/>
            <w:sz w:val="24"/>
            <w:szCs w:val="24"/>
            <w14:ligatures w14:val="standardContextual"/>
          </w:rPr>
          <w:tab/>
        </w:r>
        <w:r w:rsidRPr="009D7477">
          <w:rPr>
            <w:rStyle w:val="Hyperlink"/>
            <w:noProof/>
          </w:rPr>
          <w:t>Unique Entity Identifier (UEI) and System for Award Management (SAM)</w:t>
        </w:r>
        <w:r>
          <w:rPr>
            <w:noProof/>
            <w:webHidden/>
          </w:rPr>
          <w:tab/>
        </w:r>
        <w:r>
          <w:rPr>
            <w:noProof/>
            <w:webHidden/>
          </w:rPr>
          <w:fldChar w:fldCharType="begin"/>
        </w:r>
        <w:r>
          <w:rPr>
            <w:noProof/>
            <w:webHidden/>
          </w:rPr>
          <w:instrText xml:space="preserve"> PAGEREF _Toc176864467 \h </w:instrText>
        </w:r>
        <w:r>
          <w:rPr>
            <w:noProof/>
            <w:webHidden/>
          </w:rPr>
        </w:r>
        <w:r>
          <w:rPr>
            <w:noProof/>
            <w:webHidden/>
          </w:rPr>
          <w:fldChar w:fldCharType="separate"/>
        </w:r>
        <w:r w:rsidR="001B6894">
          <w:rPr>
            <w:noProof/>
            <w:webHidden/>
          </w:rPr>
          <w:t>74</w:t>
        </w:r>
        <w:r>
          <w:rPr>
            <w:noProof/>
            <w:webHidden/>
          </w:rPr>
          <w:fldChar w:fldCharType="end"/>
        </w:r>
      </w:hyperlink>
    </w:p>
    <w:p w14:paraId="2DCBEDDA" w14:textId="7FA94FD2" w:rsidR="0015790A" w:rsidRDefault="0015790A">
      <w:pPr>
        <w:pStyle w:val="TOC2"/>
        <w:rPr>
          <w:rFonts w:eastAsiaTheme="minorEastAsia"/>
          <w:noProof/>
          <w:kern w:val="2"/>
          <w:sz w:val="24"/>
          <w:szCs w:val="24"/>
          <w14:ligatures w14:val="standardContextual"/>
        </w:rPr>
      </w:pPr>
      <w:hyperlink w:anchor="_Toc176864468" w:history="1">
        <w:r w:rsidRPr="009D7477">
          <w:rPr>
            <w:rStyle w:val="Hyperlink"/>
            <w:noProof/>
          </w:rPr>
          <w:t>H.</w:t>
        </w:r>
        <w:r>
          <w:rPr>
            <w:rFonts w:eastAsiaTheme="minorEastAsia"/>
            <w:noProof/>
            <w:kern w:val="2"/>
            <w:sz w:val="24"/>
            <w:szCs w:val="24"/>
            <w14:ligatures w14:val="standardContextual"/>
          </w:rPr>
          <w:tab/>
        </w:r>
        <w:r w:rsidRPr="009D7477">
          <w:rPr>
            <w:rStyle w:val="Hyperlink"/>
            <w:noProof/>
          </w:rPr>
          <w:t>Submission Dates and Times</w:t>
        </w:r>
        <w:r>
          <w:rPr>
            <w:noProof/>
            <w:webHidden/>
          </w:rPr>
          <w:tab/>
        </w:r>
        <w:r>
          <w:rPr>
            <w:noProof/>
            <w:webHidden/>
          </w:rPr>
          <w:fldChar w:fldCharType="begin"/>
        </w:r>
        <w:r>
          <w:rPr>
            <w:noProof/>
            <w:webHidden/>
          </w:rPr>
          <w:instrText xml:space="preserve"> PAGEREF _Toc176864468 \h </w:instrText>
        </w:r>
        <w:r>
          <w:rPr>
            <w:noProof/>
            <w:webHidden/>
          </w:rPr>
        </w:r>
        <w:r>
          <w:rPr>
            <w:noProof/>
            <w:webHidden/>
          </w:rPr>
          <w:fldChar w:fldCharType="separate"/>
        </w:r>
        <w:r w:rsidR="001B6894">
          <w:rPr>
            <w:noProof/>
            <w:webHidden/>
          </w:rPr>
          <w:t>74</w:t>
        </w:r>
        <w:r>
          <w:rPr>
            <w:noProof/>
            <w:webHidden/>
          </w:rPr>
          <w:fldChar w:fldCharType="end"/>
        </w:r>
      </w:hyperlink>
    </w:p>
    <w:p w14:paraId="03709E90" w14:textId="4078F12C" w:rsidR="0015790A" w:rsidRDefault="0015790A">
      <w:pPr>
        <w:pStyle w:val="TOC2"/>
        <w:rPr>
          <w:rFonts w:eastAsiaTheme="minorEastAsia"/>
          <w:noProof/>
          <w:kern w:val="2"/>
          <w:sz w:val="24"/>
          <w:szCs w:val="24"/>
          <w14:ligatures w14:val="standardContextual"/>
        </w:rPr>
      </w:pPr>
      <w:hyperlink w:anchor="_Toc176864469" w:history="1">
        <w:r w:rsidRPr="009D7477">
          <w:rPr>
            <w:rStyle w:val="Hyperlink"/>
            <w:noProof/>
          </w:rPr>
          <w:t>I.</w:t>
        </w:r>
        <w:r>
          <w:rPr>
            <w:rFonts w:eastAsiaTheme="minorEastAsia"/>
            <w:noProof/>
            <w:kern w:val="2"/>
            <w:sz w:val="24"/>
            <w:szCs w:val="24"/>
            <w14:ligatures w14:val="standardContextual"/>
          </w:rPr>
          <w:tab/>
        </w:r>
        <w:r w:rsidRPr="009D7477">
          <w:rPr>
            <w:rStyle w:val="Hyperlink"/>
            <w:noProof/>
          </w:rPr>
          <w:t>Intergovernmental Review</w:t>
        </w:r>
        <w:r>
          <w:rPr>
            <w:noProof/>
            <w:webHidden/>
          </w:rPr>
          <w:tab/>
        </w:r>
        <w:r>
          <w:rPr>
            <w:noProof/>
            <w:webHidden/>
          </w:rPr>
          <w:fldChar w:fldCharType="begin"/>
        </w:r>
        <w:r>
          <w:rPr>
            <w:noProof/>
            <w:webHidden/>
          </w:rPr>
          <w:instrText xml:space="preserve"> PAGEREF _Toc176864469 \h </w:instrText>
        </w:r>
        <w:r>
          <w:rPr>
            <w:noProof/>
            <w:webHidden/>
          </w:rPr>
        </w:r>
        <w:r>
          <w:rPr>
            <w:noProof/>
            <w:webHidden/>
          </w:rPr>
          <w:fldChar w:fldCharType="separate"/>
        </w:r>
        <w:r w:rsidR="001B6894">
          <w:rPr>
            <w:noProof/>
            <w:webHidden/>
          </w:rPr>
          <w:t>75</w:t>
        </w:r>
        <w:r>
          <w:rPr>
            <w:noProof/>
            <w:webHidden/>
          </w:rPr>
          <w:fldChar w:fldCharType="end"/>
        </w:r>
      </w:hyperlink>
    </w:p>
    <w:p w14:paraId="127FB00A" w14:textId="0CDECB14" w:rsidR="0015790A" w:rsidRDefault="0015790A">
      <w:pPr>
        <w:pStyle w:val="TOC2"/>
        <w:rPr>
          <w:rFonts w:eastAsiaTheme="minorEastAsia"/>
          <w:noProof/>
          <w:kern w:val="2"/>
          <w:sz w:val="24"/>
          <w:szCs w:val="24"/>
          <w14:ligatures w14:val="standardContextual"/>
        </w:rPr>
      </w:pPr>
      <w:hyperlink w:anchor="_Toc176864470" w:history="1">
        <w:r w:rsidRPr="009D7477">
          <w:rPr>
            <w:rStyle w:val="Hyperlink"/>
            <w:noProof/>
          </w:rPr>
          <w:t>J.</w:t>
        </w:r>
        <w:r>
          <w:rPr>
            <w:rFonts w:eastAsiaTheme="minorEastAsia"/>
            <w:noProof/>
            <w:kern w:val="2"/>
            <w:sz w:val="24"/>
            <w:szCs w:val="24"/>
            <w14:ligatures w14:val="standardContextual"/>
          </w:rPr>
          <w:tab/>
        </w:r>
        <w:r w:rsidRPr="009D7477">
          <w:rPr>
            <w:rStyle w:val="Hyperlink"/>
            <w:noProof/>
          </w:rPr>
          <w:t>Funding Restrictions</w:t>
        </w:r>
        <w:r>
          <w:rPr>
            <w:noProof/>
            <w:webHidden/>
          </w:rPr>
          <w:tab/>
        </w:r>
        <w:r>
          <w:rPr>
            <w:noProof/>
            <w:webHidden/>
          </w:rPr>
          <w:fldChar w:fldCharType="begin"/>
        </w:r>
        <w:r>
          <w:rPr>
            <w:noProof/>
            <w:webHidden/>
          </w:rPr>
          <w:instrText xml:space="preserve"> PAGEREF _Toc176864470 \h </w:instrText>
        </w:r>
        <w:r>
          <w:rPr>
            <w:noProof/>
            <w:webHidden/>
          </w:rPr>
        </w:r>
        <w:r>
          <w:rPr>
            <w:noProof/>
            <w:webHidden/>
          </w:rPr>
          <w:fldChar w:fldCharType="separate"/>
        </w:r>
        <w:r w:rsidR="001B6894">
          <w:rPr>
            <w:noProof/>
            <w:webHidden/>
          </w:rPr>
          <w:t>75</w:t>
        </w:r>
        <w:r>
          <w:rPr>
            <w:noProof/>
            <w:webHidden/>
          </w:rPr>
          <w:fldChar w:fldCharType="end"/>
        </w:r>
      </w:hyperlink>
    </w:p>
    <w:p w14:paraId="47912C2D" w14:textId="4E0A2F3B" w:rsidR="0015790A" w:rsidRDefault="0015790A">
      <w:pPr>
        <w:pStyle w:val="TOC3"/>
        <w:rPr>
          <w:rFonts w:asciiTheme="minorHAnsi" w:eastAsiaTheme="minorEastAsia" w:hAnsiTheme="minorHAnsi"/>
          <w:iCs w:val="0"/>
          <w:kern w:val="2"/>
          <w:sz w:val="24"/>
          <w:szCs w:val="24"/>
          <w14:ligatures w14:val="standardContextual"/>
        </w:rPr>
      </w:pPr>
      <w:hyperlink w:anchor="_Toc176864471"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Allowable Costs</w:t>
        </w:r>
        <w:r>
          <w:rPr>
            <w:webHidden/>
          </w:rPr>
          <w:tab/>
        </w:r>
        <w:r>
          <w:rPr>
            <w:webHidden/>
          </w:rPr>
          <w:fldChar w:fldCharType="begin"/>
        </w:r>
        <w:r>
          <w:rPr>
            <w:webHidden/>
          </w:rPr>
          <w:instrText xml:space="preserve"> PAGEREF _Toc176864471 \h </w:instrText>
        </w:r>
        <w:r>
          <w:rPr>
            <w:webHidden/>
          </w:rPr>
        </w:r>
        <w:r>
          <w:rPr>
            <w:webHidden/>
          </w:rPr>
          <w:fldChar w:fldCharType="separate"/>
        </w:r>
        <w:r w:rsidR="001B6894">
          <w:rPr>
            <w:webHidden/>
          </w:rPr>
          <w:t>75</w:t>
        </w:r>
        <w:r>
          <w:rPr>
            <w:webHidden/>
          </w:rPr>
          <w:fldChar w:fldCharType="end"/>
        </w:r>
      </w:hyperlink>
    </w:p>
    <w:p w14:paraId="27588B32" w14:textId="0909DF69" w:rsidR="0015790A" w:rsidRDefault="0015790A">
      <w:pPr>
        <w:pStyle w:val="TOC3"/>
        <w:rPr>
          <w:rFonts w:asciiTheme="minorHAnsi" w:eastAsiaTheme="minorEastAsia" w:hAnsiTheme="minorHAnsi"/>
          <w:iCs w:val="0"/>
          <w:kern w:val="2"/>
          <w:sz w:val="24"/>
          <w:szCs w:val="24"/>
          <w14:ligatures w14:val="standardContextual"/>
        </w:rPr>
      </w:pPr>
      <w:hyperlink w:anchor="_Toc176864472"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Pre-Award Costs</w:t>
        </w:r>
        <w:r>
          <w:rPr>
            <w:webHidden/>
          </w:rPr>
          <w:tab/>
        </w:r>
        <w:r>
          <w:rPr>
            <w:webHidden/>
          </w:rPr>
          <w:fldChar w:fldCharType="begin"/>
        </w:r>
        <w:r>
          <w:rPr>
            <w:webHidden/>
          </w:rPr>
          <w:instrText xml:space="preserve"> PAGEREF _Toc176864472 \h </w:instrText>
        </w:r>
        <w:r>
          <w:rPr>
            <w:webHidden/>
          </w:rPr>
        </w:r>
        <w:r>
          <w:rPr>
            <w:webHidden/>
          </w:rPr>
          <w:fldChar w:fldCharType="separate"/>
        </w:r>
        <w:r w:rsidR="001B6894">
          <w:rPr>
            <w:webHidden/>
          </w:rPr>
          <w:t>75</w:t>
        </w:r>
        <w:r>
          <w:rPr>
            <w:webHidden/>
          </w:rPr>
          <w:fldChar w:fldCharType="end"/>
        </w:r>
      </w:hyperlink>
    </w:p>
    <w:p w14:paraId="0AE0D6A2" w14:textId="724FF8AB" w:rsidR="0015790A" w:rsidRDefault="0015790A">
      <w:pPr>
        <w:pStyle w:val="TOC3"/>
        <w:rPr>
          <w:rFonts w:asciiTheme="minorHAnsi" w:eastAsiaTheme="minorEastAsia" w:hAnsiTheme="minorHAnsi"/>
          <w:iCs w:val="0"/>
          <w:kern w:val="2"/>
          <w:sz w:val="24"/>
          <w:szCs w:val="24"/>
          <w14:ligatures w14:val="standardContextual"/>
        </w:rPr>
      </w:pPr>
      <w:hyperlink w:anchor="_Toc176864473"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Performance of Work in the United States (Foreign Work Waiver)</w:t>
        </w:r>
        <w:r>
          <w:rPr>
            <w:webHidden/>
          </w:rPr>
          <w:tab/>
        </w:r>
        <w:r>
          <w:rPr>
            <w:webHidden/>
          </w:rPr>
          <w:fldChar w:fldCharType="begin"/>
        </w:r>
        <w:r>
          <w:rPr>
            <w:webHidden/>
          </w:rPr>
          <w:instrText xml:space="preserve"> PAGEREF _Toc176864473 \h </w:instrText>
        </w:r>
        <w:r>
          <w:rPr>
            <w:webHidden/>
          </w:rPr>
        </w:r>
        <w:r>
          <w:rPr>
            <w:webHidden/>
          </w:rPr>
          <w:fldChar w:fldCharType="separate"/>
        </w:r>
        <w:r w:rsidR="001B6894">
          <w:rPr>
            <w:webHidden/>
          </w:rPr>
          <w:t>76</w:t>
        </w:r>
        <w:r>
          <w:rPr>
            <w:webHidden/>
          </w:rPr>
          <w:fldChar w:fldCharType="end"/>
        </w:r>
      </w:hyperlink>
    </w:p>
    <w:p w14:paraId="6E96B3AE" w14:textId="073BD479" w:rsidR="0015790A" w:rsidRDefault="0015790A">
      <w:pPr>
        <w:pStyle w:val="TOC3"/>
        <w:rPr>
          <w:rFonts w:asciiTheme="minorHAnsi" w:eastAsiaTheme="minorEastAsia" w:hAnsiTheme="minorHAnsi"/>
          <w:iCs w:val="0"/>
          <w:kern w:val="2"/>
          <w:sz w:val="24"/>
          <w:szCs w:val="24"/>
          <w14:ligatures w14:val="standardContextual"/>
        </w:rPr>
      </w:pPr>
      <w:hyperlink w:anchor="_Toc176864474"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Construction</w:t>
        </w:r>
        <w:r>
          <w:rPr>
            <w:webHidden/>
          </w:rPr>
          <w:tab/>
        </w:r>
        <w:r>
          <w:rPr>
            <w:webHidden/>
          </w:rPr>
          <w:fldChar w:fldCharType="begin"/>
        </w:r>
        <w:r>
          <w:rPr>
            <w:webHidden/>
          </w:rPr>
          <w:instrText xml:space="preserve"> PAGEREF _Toc176864474 \h </w:instrText>
        </w:r>
        <w:r>
          <w:rPr>
            <w:webHidden/>
          </w:rPr>
        </w:r>
        <w:r>
          <w:rPr>
            <w:webHidden/>
          </w:rPr>
          <w:fldChar w:fldCharType="separate"/>
        </w:r>
        <w:r w:rsidR="001B6894">
          <w:rPr>
            <w:webHidden/>
          </w:rPr>
          <w:t>77</w:t>
        </w:r>
        <w:r>
          <w:rPr>
            <w:webHidden/>
          </w:rPr>
          <w:fldChar w:fldCharType="end"/>
        </w:r>
      </w:hyperlink>
    </w:p>
    <w:p w14:paraId="26780835" w14:textId="0C754B22" w:rsidR="0015790A" w:rsidRDefault="0015790A">
      <w:pPr>
        <w:pStyle w:val="TOC3"/>
        <w:rPr>
          <w:rFonts w:asciiTheme="minorHAnsi" w:eastAsiaTheme="minorEastAsia" w:hAnsiTheme="minorHAnsi"/>
          <w:iCs w:val="0"/>
          <w:kern w:val="2"/>
          <w:sz w:val="24"/>
          <w:szCs w:val="24"/>
          <w14:ligatures w14:val="standardContextual"/>
        </w:rPr>
      </w:pPr>
      <w:hyperlink w:anchor="_Toc176864475" w:history="1">
        <w:r w:rsidRPr="009D7477">
          <w:rPr>
            <w:rStyle w:val="Hyperlink"/>
            <w:bCs/>
          </w:rPr>
          <w:t>v.</w:t>
        </w:r>
        <w:r>
          <w:rPr>
            <w:rFonts w:asciiTheme="minorHAnsi" w:eastAsiaTheme="minorEastAsia" w:hAnsiTheme="minorHAnsi"/>
            <w:iCs w:val="0"/>
            <w:kern w:val="2"/>
            <w:sz w:val="24"/>
            <w:szCs w:val="24"/>
            <w14:ligatures w14:val="standardContextual"/>
          </w:rPr>
          <w:tab/>
        </w:r>
        <w:r w:rsidRPr="009D7477">
          <w:rPr>
            <w:rStyle w:val="Hyperlink"/>
          </w:rPr>
          <w:t>Foreign Travel</w:t>
        </w:r>
        <w:r>
          <w:rPr>
            <w:webHidden/>
          </w:rPr>
          <w:tab/>
        </w:r>
        <w:r>
          <w:rPr>
            <w:webHidden/>
          </w:rPr>
          <w:fldChar w:fldCharType="begin"/>
        </w:r>
        <w:r>
          <w:rPr>
            <w:webHidden/>
          </w:rPr>
          <w:instrText xml:space="preserve"> PAGEREF _Toc176864475 \h </w:instrText>
        </w:r>
        <w:r>
          <w:rPr>
            <w:webHidden/>
          </w:rPr>
        </w:r>
        <w:r>
          <w:rPr>
            <w:webHidden/>
          </w:rPr>
          <w:fldChar w:fldCharType="separate"/>
        </w:r>
        <w:r w:rsidR="001B6894">
          <w:rPr>
            <w:webHidden/>
          </w:rPr>
          <w:t>77</w:t>
        </w:r>
        <w:r>
          <w:rPr>
            <w:webHidden/>
          </w:rPr>
          <w:fldChar w:fldCharType="end"/>
        </w:r>
      </w:hyperlink>
    </w:p>
    <w:p w14:paraId="65DFA59B" w14:textId="6B34DD80" w:rsidR="0015790A" w:rsidRDefault="0015790A">
      <w:pPr>
        <w:pStyle w:val="TOC3"/>
        <w:rPr>
          <w:rFonts w:asciiTheme="minorHAnsi" w:eastAsiaTheme="minorEastAsia" w:hAnsiTheme="minorHAnsi"/>
          <w:iCs w:val="0"/>
          <w:kern w:val="2"/>
          <w:sz w:val="24"/>
          <w:szCs w:val="24"/>
          <w14:ligatures w14:val="standardContextual"/>
        </w:rPr>
      </w:pPr>
      <w:hyperlink w:anchor="_Toc176864476" w:history="1">
        <w:r w:rsidRPr="009D7477">
          <w:rPr>
            <w:rStyle w:val="Hyperlink"/>
            <w:bCs/>
          </w:rPr>
          <w:t>vi.</w:t>
        </w:r>
        <w:r>
          <w:rPr>
            <w:rFonts w:asciiTheme="minorHAnsi" w:eastAsiaTheme="minorEastAsia" w:hAnsiTheme="minorHAnsi"/>
            <w:iCs w:val="0"/>
            <w:kern w:val="2"/>
            <w:sz w:val="24"/>
            <w:szCs w:val="24"/>
            <w14:ligatures w14:val="standardContextual"/>
          </w:rPr>
          <w:tab/>
        </w:r>
        <w:r w:rsidRPr="009D7477">
          <w:rPr>
            <w:rStyle w:val="Hyperlink"/>
          </w:rPr>
          <w:t>Equipment and Supplies</w:t>
        </w:r>
        <w:r>
          <w:rPr>
            <w:webHidden/>
          </w:rPr>
          <w:tab/>
        </w:r>
        <w:r>
          <w:rPr>
            <w:webHidden/>
          </w:rPr>
          <w:fldChar w:fldCharType="begin"/>
        </w:r>
        <w:r>
          <w:rPr>
            <w:webHidden/>
          </w:rPr>
          <w:instrText xml:space="preserve"> PAGEREF _Toc176864476 \h </w:instrText>
        </w:r>
        <w:r>
          <w:rPr>
            <w:webHidden/>
          </w:rPr>
        </w:r>
        <w:r>
          <w:rPr>
            <w:webHidden/>
          </w:rPr>
          <w:fldChar w:fldCharType="separate"/>
        </w:r>
        <w:r w:rsidR="001B6894">
          <w:rPr>
            <w:webHidden/>
          </w:rPr>
          <w:t>77</w:t>
        </w:r>
        <w:r>
          <w:rPr>
            <w:webHidden/>
          </w:rPr>
          <w:fldChar w:fldCharType="end"/>
        </w:r>
      </w:hyperlink>
    </w:p>
    <w:p w14:paraId="4FE108AB" w14:textId="4EB82B51" w:rsidR="0015790A" w:rsidRDefault="0015790A">
      <w:pPr>
        <w:pStyle w:val="TOC3"/>
        <w:rPr>
          <w:rFonts w:asciiTheme="minorHAnsi" w:eastAsiaTheme="minorEastAsia" w:hAnsiTheme="minorHAnsi"/>
          <w:iCs w:val="0"/>
          <w:kern w:val="2"/>
          <w:sz w:val="24"/>
          <w:szCs w:val="24"/>
          <w14:ligatures w14:val="standardContextual"/>
        </w:rPr>
      </w:pPr>
      <w:hyperlink w:anchor="_Toc176864477" w:history="1">
        <w:r w:rsidRPr="009D7477">
          <w:rPr>
            <w:rStyle w:val="Hyperlink"/>
            <w:bCs/>
          </w:rPr>
          <w:t>vii.</w:t>
        </w:r>
        <w:r>
          <w:rPr>
            <w:rFonts w:asciiTheme="minorHAnsi" w:eastAsiaTheme="minorEastAsia" w:hAnsiTheme="minorHAnsi"/>
            <w:iCs w:val="0"/>
            <w:kern w:val="2"/>
            <w:sz w:val="24"/>
            <w:szCs w:val="24"/>
            <w14:ligatures w14:val="standardContextual"/>
          </w:rPr>
          <w:tab/>
        </w:r>
        <w:r w:rsidRPr="009D7477">
          <w:rPr>
            <w:rStyle w:val="Hyperlink"/>
          </w:rPr>
          <w:t>Build America Buy America Requirements for Infrastructure Projects</w:t>
        </w:r>
        <w:r>
          <w:rPr>
            <w:webHidden/>
          </w:rPr>
          <w:tab/>
        </w:r>
        <w:r>
          <w:rPr>
            <w:webHidden/>
          </w:rPr>
          <w:fldChar w:fldCharType="begin"/>
        </w:r>
        <w:r>
          <w:rPr>
            <w:webHidden/>
          </w:rPr>
          <w:instrText xml:space="preserve"> PAGEREF _Toc176864477 \h </w:instrText>
        </w:r>
        <w:r>
          <w:rPr>
            <w:webHidden/>
          </w:rPr>
        </w:r>
        <w:r>
          <w:rPr>
            <w:webHidden/>
          </w:rPr>
          <w:fldChar w:fldCharType="separate"/>
        </w:r>
        <w:r w:rsidR="001B6894">
          <w:rPr>
            <w:webHidden/>
          </w:rPr>
          <w:t>77</w:t>
        </w:r>
        <w:r>
          <w:rPr>
            <w:webHidden/>
          </w:rPr>
          <w:fldChar w:fldCharType="end"/>
        </w:r>
      </w:hyperlink>
    </w:p>
    <w:p w14:paraId="07166E67" w14:textId="05B27BA0" w:rsidR="0015790A" w:rsidRDefault="0015790A">
      <w:pPr>
        <w:pStyle w:val="TOC3"/>
        <w:rPr>
          <w:rFonts w:asciiTheme="minorHAnsi" w:eastAsiaTheme="minorEastAsia" w:hAnsiTheme="minorHAnsi"/>
          <w:iCs w:val="0"/>
          <w:kern w:val="2"/>
          <w:sz w:val="24"/>
          <w:szCs w:val="24"/>
          <w14:ligatures w14:val="standardContextual"/>
        </w:rPr>
      </w:pPr>
      <w:hyperlink w:anchor="_Toc176864478" w:history="1">
        <w:r w:rsidRPr="009D7477">
          <w:rPr>
            <w:rStyle w:val="Hyperlink"/>
            <w:bCs/>
          </w:rPr>
          <w:t>viii.</w:t>
        </w:r>
        <w:r>
          <w:rPr>
            <w:rFonts w:asciiTheme="minorHAnsi" w:eastAsiaTheme="minorEastAsia" w:hAnsiTheme="minorHAnsi"/>
            <w:iCs w:val="0"/>
            <w:kern w:val="2"/>
            <w:sz w:val="24"/>
            <w:szCs w:val="24"/>
            <w14:ligatures w14:val="standardContextual"/>
          </w:rPr>
          <w:tab/>
        </w:r>
        <w:r w:rsidRPr="009D7477">
          <w:rPr>
            <w:rStyle w:val="Hyperlink"/>
          </w:rPr>
          <w:t>Lobbying</w:t>
        </w:r>
        <w:r>
          <w:rPr>
            <w:webHidden/>
          </w:rPr>
          <w:tab/>
        </w:r>
        <w:r>
          <w:rPr>
            <w:webHidden/>
          </w:rPr>
          <w:fldChar w:fldCharType="begin"/>
        </w:r>
        <w:r>
          <w:rPr>
            <w:webHidden/>
          </w:rPr>
          <w:instrText xml:space="preserve"> PAGEREF _Toc176864478 \h </w:instrText>
        </w:r>
        <w:r>
          <w:rPr>
            <w:webHidden/>
          </w:rPr>
        </w:r>
        <w:r>
          <w:rPr>
            <w:webHidden/>
          </w:rPr>
          <w:fldChar w:fldCharType="separate"/>
        </w:r>
        <w:r w:rsidR="001B6894">
          <w:rPr>
            <w:webHidden/>
          </w:rPr>
          <w:t>78</w:t>
        </w:r>
        <w:r>
          <w:rPr>
            <w:webHidden/>
          </w:rPr>
          <w:fldChar w:fldCharType="end"/>
        </w:r>
      </w:hyperlink>
    </w:p>
    <w:p w14:paraId="02961693" w14:textId="6E74D654" w:rsidR="0015790A" w:rsidRDefault="0015790A">
      <w:pPr>
        <w:pStyle w:val="TOC3"/>
        <w:rPr>
          <w:rFonts w:asciiTheme="minorHAnsi" w:eastAsiaTheme="minorEastAsia" w:hAnsiTheme="minorHAnsi"/>
          <w:iCs w:val="0"/>
          <w:kern w:val="2"/>
          <w:sz w:val="24"/>
          <w:szCs w:val="24"/>
          <w14:ligatures w14:val="standardContextual"/>
        </w:rPr>
      </w:pPr>
      <w:hyperlink w:anchor="_Toc176864479" w:history="1">
        <w:r w:rsidRPr="009D7477">
          <w:rPr>
            <w:rStyle w:val="Hyperlink"/>
            <w:bCs/>
          </w:rPr>
          <w:t>ix.</w:t>
        </w:r>
        <w:r>
          <w:rPr>
            <w:rFonts w:asciiTheme="minorHAnsi" w:eastAsiaTheme="minorEastAsia" w:hAnsiTheme="minorHAnsi"/>
            <w:iCs w:val="0"/>
            <w:kern w:val="2"/>
            <w:sz w:val="24"/>
            <w:szCs w:val="24"/>
            <w14:ligatures w14:val="standardContextual"/>
          </w:rPr>
          <w:tab/>
        </w:r>
        <w:r w:rsidRPr="009D7477">
          <w:rPr>
            <w:rStyle w:val="Hyperlink"/>
          </w:rPr>
          <w:t>Risk Assessment</w:t>
        </w:r>
        <w:r>
          <w:rPr>
            <w:webHidden/>
          </w:rPr>
          <w:tab/>
        </w:r>
        <w:r>
          <w:rPr>
            <w:webHidden/>
          </w:rPr>
          <w:fldChar w:fldCharType="begin"/>
        </w:r>
        <w:r>
          <w:rPr>
            <w:webHidden/>
          </w:rPr>
          <w:instrText xml:space="preserve"> PAGEREF _Toc176864479 \h </w:instrText>
        </w:r>
        <w:r>
          <w:rPr>
            <w:webHidden/>
          </w:rPr>
        </w:r>
        <w:r>
          <w:rPr>
            <w:webHidden/>
          </w:rPr>
          <w:fldChar w:fldCharType="separate"/>
        </w:r>
        <w:r w:rsidR="001B6894">
          <w:rPr>
            <w:webHidden/>
          </w:rPr>
          <w:t>79</w:t>
        </w:r>
        <w:r>
          <w:rPr>
            <w:webHidden/>
          </w:rPr>
          <w:fldChar w:fldCharType="end"/>
        </w:r>
      </w:hyperlink>
    </w:p>
    <w:p w14:paraId="52ECBEDF" w14:textId="618C7564" w:rsidR="0015790A" w:rsidRDefault="0015790A">
      <w:pPr>
        <w:pStyle w:val="TOC3"/>
        <w:rPr>
          <w:rFonts w:asciiTheme="minorHAnsi" w:eastAsiaTheme="minorEastAsia" w:hAnsiTheme="minorHAnsi"/>
          <w:iCs w:val="0"/>
          <w:kern w:val="2"/>
          <w:sz w:val="24"/>
          <w:szCs w:val="24"/>
          <w14:ligatures w14:val="standardContextual"/>
        </w:rPr>
      </w:pPr>
      <w:hyperlink w:anchor="_Toc176864480" w:history="1">
        <w:r w:rsidRPr="009D7477">
          <w:rPr>
            <w:rStyle w:val="Hyperlink"/>
            <w:bCs/>
          </w:rPr>
          <w:t>x.</w:t>
        </w:r>
        <w:r>
          <w:rPr>
            <w:rFonts w:asciiTheme="minorHAnsi" w:eastAsiaTheme="minorEastAsia" w:hAnsiTheme="minorHAnsi"/>
            <w:iCs w:val="0"/>
            <w:kern w:val="2"/>
            <w:sz w:val="24"/>
            <w:szCs w:val="24"/>
            <w14:ligatures w14:val="standardContextual"/>
          </w:rPr>
          <w:tab/>
        </w:r>
        <w:r w:rsidRPr="009D7477">
          <w:rPr>
            <w:rStyle w:val="Hyperlink"/>
          </w:rPr>
          <w:t>Invoice Review and Approval</w:t>
        </w:r>
        <w:r>
          <w:rPr>
            <w:webHidden/>
          </w:rPr>
          <w:tab/>
        </w:r>
        <w:r>
          <w:rPr>
            <w:webHidden/>
          </w:rPr>
          <w:fldChar w:fldCharType="begin"/>
        </w:r>
        <w:r>
          <w:rPr>
            <w:webHidden/>
          </w:rPr>
          <w:instrText xml:space="preserve"> PAGEREF _Toc176864480 \h </w:instrText>
        </w:r>
        <w:r>
          <w:rPr>
            <w:webHidden/>
          </w:rPr>
        </w:r>
        <w:r>
          <w:rPr>
            <w:webHidden/>
          </w:rPr>
          <w:fldChar w:fldCharType="separate"/>
        </w:r>
        <w:r w:rsidR="001B6894">
          <w:rPr>
            <w:webHidden/>
          </w:rPr>
          <w:t>80</w:t>
        </w:r>
        <w:r>
          <w:rPr>
            <w:webHidden/>
          </w:rPr>
          <w:fldChar w:fldCharType="end"/>
        </w:r>
      </w:hyperlink>
    </w:p>
    <w:p w14:paraId="5F635711" w14:textId="2C20ECD6" w:rsidR="0015790A" w:rsidRDefault="0015790A">
      <w:pPr>
        <w:pStyle w:val="TOC3"/>
        <w:rPr>
          <w:rFonts w:asciiTheme="minorHAnsi" w:eastAsiaTheme="minorEastAsia" w:hAnsiTheme="minorHAnsi"/>
          <w:iCs w:val="0"/>
          <w:kern w:val="2"/>
          <w:sz w:val="24"/>
          <w:szCs w:val="24"/>
          <w14:ligatures w14:val="standardContextual"/>
        </w:rPr>
      </w:pPr>
      <w:hyperlink w:anchor="_Toc176864481" w:history="1">
        <w:r w:rsidRPr="009D7477">
          <w:rPr>
            <w:rStyle w:val="Hyperlink"/>
            <w:rFonts w:eastAsia="Calibri" w:cs="Calibri"/>
            <w:bCs/>
          </w:rPr>
          <w:t>xii.</w:t>
        </w:r>
        <w:r>
          <w:rPr>
            <w:rFonts w:asciiTheme="minorHAnsi" w:eastAsiaTheme="minorEastAsia" w:hAnsiTheme="minorHAnsi"/>
            <w:iCs w:val="0"/>
            <w:kern w:val="2"/>
            <w:sz w:val="24"/>
            <w:szCs w:val="24"/>
            <w14:ligatures w14:val="standardContextual"/>
          </w:rPr>
          <w:tab/>
        </w:r>
        <w:r w:rsidRPr="009D7477">
          <w:rPr>
            <w:rStyle w:val="Hyperlink"/>
            <w:rFonts w:eastAsia="Calibri" w:cs="Calibri"/>
          </w:rPr>
          <w:t>Affirmative Action and Pay Transparency Requirements</w:t>
        </w:r>
        <w:r>
          <w:rPr>
            <w:webHidden/>
          </w:rPr>
          <w:tab/>
        </w:r>
        <w:r>
          <w:rPr>
            <w:webHidden/>
          </w:rPr>
          <w:fldChar w:fldCharType="begin"/>
        </w:r>
        <w:r>
          <w:rPr>
            <w:webHidden/>
          </w:rPr>
          <w:instrText xml:space="preserve"> PAGEREF _Toc176864481 \h </w:instrText>
        </w:r>
        <w:r>
          <w:rPr>
            <w:webHidden/>
          </w:rPr>
        </w:r>
        <w:r>
          <w:rPr>
            <w:webHidden/>
          </w:rPr>
          <w:fldChar w:fldCharType="separate"/>
        </w:r>
        <w:r w:rsidR="001B6894">
          <w:rPr>
            <w:webHidden/>
          </w:rPr>
          <w:t>81</w:t>
        </w:r>
        <w:r>
          <w:rPr>
            <w:webHidden/>
          </w:rPr>
          <w:fldChar w:fldCharType="end"/>
        </w:r>
      </w:hyperlink>
    </w:p>
    <w:p w14:paraId="011000CB" w14:textId="2A77D2D1" w:rsidR="0015790A" w:rsidRDefault="0015790A">
      <w:pPr>
        <w:pStyle w:val="TOC3"/>
        <w:rPr>
          <w:rFonts w:asciiTheme="minorHAnsi" w:eastAsiaTheme="minorEastAsia" w:hAnsiTheme="minorHAnsi"/>
          <w:iCs w:val="0"/>
          <w:kern w:val="2"/>
          <w:sz w:val="24"/>
          <w:szCs w:val="24"/>
          <w14:ligatures w14:val="standardContextual"/>
        </w:rPr>
      </w:pPr>
      <w:hyperlink w:anchor="_Toc176864482" w:history="1">
        <w:r w:rsidRPr="009D7477">
          <w:rPr>
            <w:rStyle w:val="Hyperlink"/>
            <w:bCs/>
          </w:rPr>
          <w:t>xiii.</w:t>
        </w:r>
        <w:r>
          <w:rPr>
            <w:rFonts w:asciiTheme="minorHAnsi" w:eastAsiaTheme="minorEastAsia" w:hAnsiTheme="minorHAnsi"/>
            <w:iCs w:val="0"/>
            <w:kern w:val="2"/>
            <w:sz w:val="24"/>
            <w:szCs w:val="24"/>
            <w14:ligatures w14:val="standardContextual"/>
          </w:rPr>
          <w:tab/>
        </w:r>
        <w:r w:rsidRPr="009D7477">
          <w:rPr>
            <w:rStyle w:val="Hyperlink"/>
          </w:rPr>
          <w:t>Foreign Collaboration Considerations</w:t>
        </w:r>
        <w:r>
          <w:rPr>
            <w:webHidden/>
          </w:rPr>
          <w:tab/>
        </w:r>
        <w:r>
          <w:rPr>
            <w:webHidden/>
          </w:rPr>
          <w:fldChar w:fldCharType="begin"/>
        </w:r>
        <w:r>
          <w:rPr>
            <w:webHidden/>
          </w:rPr>
          <w:instrText xml:space="preserve"> PAGEREF _Toc176864482 \h </w:instrText>
        </w:r>
        <w:r>
          <w:rPr>
            <w:webHidden/>
          </w:rPr>
        </w:r>
        <w:r>
          <w:rPr>
            <w:webHidden/>
          </w:rPr>
          <w:fldChar w:fldCharType="separate"/>
        </w:r>
        <w:r w:rsidR="001B6894">
          <w:rPr>
            <w:webHidden/>
          </w:rPr>
          <w:t>82</w:t>
        </w:r>
        <w:r>
          <w:rPr>
            <w:webHidden/>
          </w:rPr>
          <w:fldChar w:fldCharType="end"/>
        </w:r>
      </w:hyperlink>
    </w:p>
    <w:p w14:paraId="5DFB2883" w14:textId="00578430" w:rsidR="0015790A" w:rsidRDefault="0015790A">
      <w:pPr>
        <w:pStyle w:val="TOC1"/>
        <w:rPr>
          <w:rFonts w:eastAsiaTheme="minorEastAsia"/>
          <w:b w:val="0"/>
          <w:bCs w:val="0"/>
          <w:noProof/>
          <w:kern w:val="2"/>
          <w:sz w:val="24"/>
          <w:szCs w:val="24"/>
          <w14:ligatures w14:val="standardContextual"/>
        </w:rPr>
      </w:pPr>
      <w:hyperlink w:anchor="_Toc176864483" w:history="1">
        <w:r w:rsidRPr="009D7477">
          <w:rPr>
            <w:rStyle w:val="Hyperlink"/>
            <w:smallCaps/>
            <w:noProof/>
          </w:rPr>
          <w:t>V.</w:t>
        </w:r>
        <w:r>
          <w:rPr>
            <w:rFonts w:eastAsiaTheme="minorEastAsia"/>
            <w:b w:val="0"/>
            <w:bCs w:val="0"/>
            <w:noProof/>
            <w:kern w:val="2"/>
            <w:sz w:val="24"/>
            <w:szCs w:val="24"/>
            <w14:ligatures w14:val="standardContextual"/>
          </w:rPr>
          <w:tab/>
        </w:r>
        <w:r w:rsidRPr="009D7477">
          <w:rPr>
            <w:rStyle w:val="Hyperlink"/>
            <w:noProof/>
          </w:rPr>
          <w:t>Application Review Information</w:t>
        </w:r>
        <w:r>
          <w:rPr>
            <w:noProof/>
            <w:webHidden/>
          </w:rPr>
          <w:tab/>
        </w:r>
        <w:r>
          <w:rPr>
            <w:noProof/>
            <w:webHidden/>
          </w:rPr>
          <w:fldChar w:fldCharType="begin"/>
        </w:r>
        <w:r>
          <w:rPr>
            <w:noProof/>
            <w:webHidden/>
          </w:rPr>
          <w:instrText xml:space="preserve"> PAGEREF _Toc176864483 \h </w:instrText>
        </w:r>
        <w:r>
          <w:rPr>
            <w:noProof/>
            <w:webHidden/>
          </w:rPr>
        </w:r>
        <w:r>
          <w:rPr>
            <w:noProof/>
            <w:webHidden/>
          </w:rPr>
          <w:fldChar w:fldCharType="separate"/>
        </w:r>
        <w:r w:rsidR="001B6894">
          <w:rPr>
            <w:noProof/>
            <w:webHidden/>
          </w:rPr>
          <w:t>83</w:t>
        </w:r>
        <w:r>
          <w:rPr>
            <w:noProof/>
            <w:webHidden/>
          </w:rPr>
          <w:fldChar w:fldCharType="end"/>
        </w:r>
      </w:hyperlink>
    </w:p>
    <w:p w14:paraId="074E0F59" w14:textId="4121C98E" w:rsidR="0015790A" w:rsidRDefault="0015790A">
      <w:pPr>
        <w:pStyle w:val="TOC2"/>
        <w:rPr>
          <w:rFonts w:eastAsiaTheme="minorEastAsia"/>
          <w:noProof/>
          <w:kern w:val="2"/>
          <w:sz w:val="24"/>
          <w:szCs w:val="24"/>
          <w14:ligatures w14:val="standardContextual"/>
        </w:rPr>
      </w:pPr>
      <w:hyperlink w:anchor="_Toc176864484"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Technical Review Criteria</w:t>
        </w:r>
        <w:r>
          <w:rPr>
            <w:noProof/>
            <w:webHidden/>
          </w:rPr>
          <w:tab/>
        </w:r>
        <w:r>
          <w:rPr>
            <w:noProof/>
            <w:webHidden/>
          </w:rPr>
          <w:fldChar w:fldCharType="begin"/>
        </w:r>
        <w:r>
          <w:rPr>
            <w:noProof/>
            <w:webHidden/>
          </w:rPr>
          <w:instrText xml:space="preserve"> PAGEREF _Toc176864484 \h </w:instrText>
        </w:r>
        <w:r>
          <w:rPr>
            <w:noProof/>
            <w:webHidden/>
          </w:rPr>
        </w:r>
        <w:r>
          <w:rPr>
            <w:noProof/>
            <w:webHidden/>
          </w:rPr>
          <w:fldChar w:fldCharType="separate"/>
        </w:r>
        <w:r w:rsidR="001B6894">
          <w:rPr>
            <w:noProof/>
            <w:webHidden/>
          </w:rPr>
          <w:t>83</w:t>
        </w:r>
        <w:r>
          <w:rPr>
            <w:noProof/>
            <w:webHidden/>
          </w:rPr>
          <w:fldChar w:fldCharType="end"/>
        </w:r>
      </w:hyperlink>
    </w:p>
    <w:p w14:paraId="58AF7B88" w14:textId="11B42806" w:rsidR="0015790A" w:rsidRDefault="0015790A">
      <w:pPr>
        <w:pStyle w:val="TOC3"/>
        <w:rPr>
          <w:rFonts w:asciiTheme="minorHAnsi" w:eastAsiaTheme="minorEastAsia" w:hAnsiTheme="minorHAnsi"/>
          <w:iCs w:val="0"/>
          <w:kern w:val="2"/>
          <w:sz w:val="24"/>
          <w:szCs w:val="24"/>
          <w14:ligatures w14:val="standardContextual"/>
        </w:rPr>
      </w:pPr>
      <w:hyperlink w:anchor="_Toc176864485"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Concept Papers</w:t>
        </w:r>
        <w:r>
          <w:rPr>
            <w:webHidden/>
          </w:rPr>
          <w:tab/>
        </w:r>
        <w:r>
          <w:rPr>
            <w:webHidden/>
          </w:rPr>
          <w:fldChar w:fldCharType="begin"/>
        </w:r>
        <w:r>
          <w:rPr>
            <w:webHidden/>
          </w:rPr>
          <w:instrText xml:space="preserve"> PAGEREF _Toc176864485 \h </w:instrText>
        </w:r>
        <w:r>
          <w:rPr>
            <w:webHidden/>
          </w:rPr>
        </w:r>
        <w:r>
          <w:rPr>
            <w:webHidden/>
          </w:rPr>
          <w:fldChar w:fldCharType="separate"/>
        </w:r>
        <w:r w:rsidR="001B6894">
          <w:rPr>
            <w:webHidden/>
          </w:rPr>
          <w:t>83</w:t>
        </w:r>
        <w:r>
          <w:rPr>
            <w:webHidden/>
          </w:rPr>
          <w:fldChar w:fldCharType="end"/>
        </w:r>
      </w:hyperlink>
    </w:p>
    <w:p w14:paraId="5F230511" w14:textId="3706B654" w:rsidR="0015790A" w:rsidRDefault="0015790A">
      <w:pPr>
        <w:pStyle w:val="TOC3"/>
        <w:rPr>
          <w:rFonts w:asciiTheme="minorHAnsi" w:eastAsiaTheme="minorEastAsia" w:hAnsiTheme="minorHAnsi"/>
          <w:iCs w:val="0"/>
          <w:kern w:val="2"/>
          <w:sz w:val="24"/>
          <w:szCs w:val="24"/>
          <w14:ligatures w14:val="standardContextual"/>
        </w:rPr>
      </w:pPr>
      <w:hyperlink w:anchor="_Toc176864486"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Full Applications</w:t>
        </w:r>
        <w:r>
          <w:rPr>
            <w:webHidden/>
          </w:rPr>
          <w:tab/>
        </w:r>
        <w:r>
          <w:rPr>
            <w:webHidden/>
          </w:rPr>
          <w:fldChar w:fldCharType="begin"/>
        </w:r>
        <w:r>
          <w:rPr>
            <w:webHidden/>
          </w:rPr>
          <w:instrText xml:space="preserve"> PAGEREF _Toc176864486 \h </w:instrText>
        </w:r>
        <w:r>
          <w:rPr>
            <w:webHidden/>
          </w:rPr>
        </w:r>
        <w:r>
          <w:rPr>
            <w:webHidden/>
          </w:rPr>
          <w:fldChar w:fldCharType="separate"/>
        </w:r>
        <w:r w:rsidR="001B6894">
          <w:rPr>
            <w:webHidden/>
          </w:rPr>
          <w:t>83</w:t>
        </w:r>
        <w:r>
          <w:rPr>
            <w:webHidden/>
          </w:rPr>
          <w:fldChar w:fldCharType="end"/>
        </w:r>
      </w:hyperlink>
    </w:p>
    <w:p w14:paraId="5D865642" w14:textId="2C47AE7B" w:rsidR="0015790A" w:rsidRDefault="0015790A">
      <w:pPr>
        <w:pStyle w:val="TOC3"/>
        <w:rPr>
          <w:rFonts w:asciiTheme="minorHAnsi" w:eastAsiaTheme="minorEastAsia" w:hAnsiTheme="minorHAnsi"/>
          <w:iCs w:val="0"/>
          <w:kern w:val="2"/>
          <w:sz w:val="24"/>
          <w:szCs w:val="24"/>
          <w14:ligatures w14:val="standardContextual"/>
        </w:rPr>
      </w:pPr>
      <w:hyperlink w:anchor="_Toc176864487"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Criteria for Replies to Reviewer Comments</w:t>
        </w:r>
        <w:r>
          <w:rPr>
            <w:webHidden/>
          </w:rPr>
          <w:tab/>
        </w:r>
        <w:r>
          <w:rPr>
            <w:webHidden/>
          </w:rPr>
          <w:fldChar w:fldCharType="begin"/>
        </w:r>
        <w:r>
          <w:rPr>
            <w:webHidden/>
          </w:rPr>
          <w:instrText xml:space="preserve"> PAGEREF _Toc176864487 \h </w:instrText>
        </w:r>
        <w:r>
          <w:rPr>
            <w:webHidden/>
          </w:rPr>
        </w:r>
        <w:r>
          <w:rPr>
            <w:webHidden/>
          </w:rPr>
          <w:fldChar w:fldCharType="separate"/>
        </w:r>
        <w:r w:rsidR="001B6894">
          <w:rPr>
            <w:webHidden/>
          </w:rPr>
          <w:t>87</w:t>
        </w:r>
        <w:r>
          <w:rPr>
            <w:webHidden/>
          </w:rPr>
          <w:fldChar w:fldCharType="end"/>
        </w:r>
      </w:hyperlink>
    </w:p>
    <w:p w14:paraId="05A81033" w14:textId="1C840580" w:rsidR="0015790A" w:rsidRDefault="0015790A">
      <w:pPr>
        <w:pStyle w:val="TOC2"/>
        <w:rPr>
          <w:rFonts w:eastAsiaTheme="minorEastAsia"/>
          <w:noProof/>
          <w:kern w:val="2"/>
          <w:sz w:val="24"/>
          <w:szCs w:val="24"/>
          <w14:ligatures w14:val="standardContextual"/>
        </w:rPr>
      </w:pPr>
      <w:hyperlink w:anchor="_Toc176864488"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Standards for Application Evaluation</w:t>
        </w:r>
        <w:r>
          <w:rPr>
            <w:noProof/>
            <w:webHidden/>
          </w:rPr>
          <w:tab/>
        </w:r>
        <w:r>
          <w:rPr>
            <w:noProof/>
            <w:webHidden/>
          </w:rPr>
          <w:fldChar w:fldCharType="begin"/>
        </w:r>
        <w:r>
          <w:rPr>
            <w:noProof/>
            <w:webHidden/>
          </w:rPr>
          <w:instrText xml:space="preserve"> PAGEREF _Toc176864488 \h </w:instrText>
        </w:r>
        <w:r>
          <w:rPr>
            <w:noProof/>
            <w:webHidden/>
          </w:rPr>
        </w:r>
        <w:r>
          <w:rPr>
            <w:noProof/>
            <w:webHidden/>
          </w:rPr>
          <w:fldChar w:fldCharType="separate"/>
        </w:r>
        <w:r w:rsidR="001B6894">
          <w:rPr>
            <w:noProof/>
            <w:webHidden/>
          </w:rPr>
          <w:t>87</w:t>
        </w:r>
        <w:r>
          <w:rPr>
            <w:noProof/>
            <w:webHidden/>
          </w:rPr>
          <w:fldChar w:fldCharType="end"/>
        </w:r>
      </w:hyperlink>
    </w:p>
    <w:p w14:paraId="1B822F6C" w14:textId="4937FEF7" w:rsidR="0015790A" w:rsidRDefault="0015790A">
      <w:pPr>
        <w:pStyle w:val="TOC2"/>
        <w:rPr>
          <w:rFonts w:eastAsiaTheme="minorEastAsia"/>
          <w:noProof/>
          <w:kern w:val="2"/>
          <w:sz w:val="24"/>
          <w:szCs w:val="24"/>
          <w14:ligatures w14:val="standardContextual"/>
        </w:rPr>
      </w:pPr>
      <w:hyperlink w:anchor="_Toc176864489"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Other Selection Factors</w:t>
        </w:r>
        <w:r>
          <w:rPr>
            <w:noProof/>
            <w:webHidden/>
          </w:rPr>
          <w:tab/>
        </w:r>
        <w:r>
          <w:rPr>
            <w:noProof/>
            <w:webHidden/>
          </w:rPr>
          <w:fldChar w:fldCharType="begin"/>
        </w:r>
        <w:r>
          <w:rPr>
            <w:noProof/>
            <w:webHidden/>
          </w:rPr>
          <w:instrText xml:space="preserve"> PAGEREF _Toc176864489 \h </w:instrText>
        </w:r>
        <w:r>
          <w:rPr>
            <w:noProof/>
            <w:webHidden/>
          </w:rPr>
        </w:r>
        <w:r>
          <w:rPr>
            <w:noProof/>
            <w:webHidden/>
          </w:rPr>
          <w:fldChar w:fldCharType="separate"/>
        </w:r>
        <w:r w:rsidR="001B6894">
          <w:rPr>
            <w:noProof/>
            <w:webHidden/>
          </w:rPr>
          <w:t>87</w:t>
        </w:r>
        <w:r>
          <w:rPr>
            <w:noProof/>
            <w:webHidden/>
          </w:rPr>
          <w:fldChar w:fldCharType="end"/>
        </w:r>
      </w:hyperlink>
    </w:p>
    <w:p w14:paraId="6C62133B" w14:textId="3734591A" w:rsidR="0015790A" w:rsidRDefault="0015790A">
      <w:pPr>
        <w:pStyle w:val="TOC3"/>
        <w:rPr>
          <w:rFonts w:asciiTheme="minorHAnsi" w:eastAsiaTheme="minorEastAsia" w:hAnsiTheme="minorHAnsi"/>
          <w:iCs w:val="0"/>
          <w:kern w:val="2"/>
          <w:sz w:val="24"/>
          <w:szCs w:val="24"/>
          <w14:ligatures w14:val="standardContextual"/>
        </w:rPr>
      </w:pPr>
      <w:hyperlink w:anchor="_Toc176864490"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Program Policy Factors</w:t>
        </w:r>
        <w:r>
          <w:rPr>
            <w:webHidden/>
          </w:rPr>
          <w:tab/>
        </w:r>
        <w:r>
          <w:rPr>
            <w:webHidden/>
          </w:rPr>
          <w:fldChar w:fldCharType="begin"/>
        </w:r>
        <w:r>
          <w:rPr>
            <w:webHidden/>
          </w:rPr>
          <w:instrText xml:space="preserve"> PAGEREF _Toc176864490 \h </w:instrText>
        </w:r>
        <w:r>
          <w:rPr>
            <w:webHidden/>
          </w:rPr>
        </w:r>
        <w:r>
          <w:rPr>
            <w:webHidden/>
          </w:rPr>
          <w:fldChar w:fldCharType="separate"/>
        </w:r>
        <w:r w:rsidR="001B6894">
          <w:rPr>
            <w:webHidden/>
          </w:rPr>
          <w:t>87</w:t>
        </w:r>
        <w:r>
          <w:rPr>
            <w:webHidden/>
          </w:rPr>
          <w:fldChar w:fldCharType="end"/>
        </w:r>
      </w:hyperlink>
    </w:p>
    <w:p w14:paraId="0988A5D7" w14:textId="5005B552" w:rsidR="0015790A" w:rsidRDefault="0015790A">
      <w:pPr>
        <w:pStyle w:val="TOC2"/>
        <w:rPr>
          <w:rFonts w:eastAsiaTheme="minorEastAsia"/>
          <w:noProof/>
          <w:kern w:val="2"/>
          <w:sz w:val="24"/>
          <w:szCs w:val="24"/>
          <w14:ligatures w14:val="standardContextual"/>
        </w:rPr>
      </w:pPr>
      <w:hyperlink w:anchor="_Toc176864491" w:history="1">
        <w:r w:rsidRPr="009D7477">
          <w:rPr>
            <w:rStyle w:val="Hyperlink"/>
            <w:noProof/>
          </w:rPr>
          <w:t>D.</w:t>
        </w:r>
        <w:r>
          <w:rPr>
            <w:rFonts w:eastAsiaTheme="minorEastAsia"/>
            <w:noProof/>
            <w:kern w:val="2"/>
            <w:sz w:val="24"/>
            <w:szCs w:val="24"/>
            <w14:ligatures w14:val="standardContextual"/>
          </w:rPr>
          <w:tab/>
        </w:r>
        <w:r w:rsidRPr="009D7477">
          <w:rPr>
            <w:rStyle w:val="Hyperlink"/>
            <w:noProof/>
          </w:rPr>
          <w:t>Evaluation and Selection Process</w:t>
        </w:r>
        <w:r>
          <w:rPr>
            <w:noProof/>
            <w:webHidden/>
          </w:rPr>
          <w:tab/>
        </w:r>
        <w:r>
          <w:rPr>
            <w:noProof/>
            <w:webHidden/>
          </w:rPr>
          <w:fldChar w:fldCharType="begin"/>
        </w:r>
        <w:r>
          <w:rPr>
            <w:noProof/>
            <w:webHidden/>
          </w:rPr>
          <w:instrText xml:space="preserve"> PAGEREF _Toc176864491 \h </w:instrText>
        </w:r>
        <w:r>
          <w:rPr>
            <w:noProof/>
            <w:webHidden/>
          </w:rPr>
        </w:r>
        <w:r>
          <w:rPr>
            <w:noProof/>
            <w:webHidden/>
          </w:rPr>
          <w:fldChar w:fldCharType="separate"/>
        </w:r>
        <w:r w:rsidR="001B6894">
          <w:rPr>
            <w:noProof/>
            <w:webHidden/>
          </w:rPr>
          <w:t>89</w:t>
        </w:r>
        <w:r>
          <w:rPr>
            <w:noProof/>
            <w:webHidden/>
          </w:rPr>
          <w:fldChar w:fldCharType="end"/>
        </w:r>
      </w:hyperlink>
    </w:p>
    <w:p w14:paraId="5A4ECFB1" w14:textId="47CAE12C" w:rsidR="0015790A" w:rsidRDefault="0015790A">
      <w:pPr>
        <w:pStyle w:val="TOC3"/>
        <w:rPr>
          <w:rFonts w:asciiTheme="minorHAnsi" w:eastAsiaTheme="minorEastAsia" w:hAnsiTheme="minorHAnsi"/>
          <w:iCs w:val="0"/>
          <w:kern w:val="2"/>
          <w:sz w:val="24"/>
          <w:szCs w:val="24"/>
          <w14:ligatures w14:val="standardContextual"/>
        </w:rPr>
      </w:pPr>
      <w:hyperlink w:anchor="_Toc176864492"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Overview</w:t>
        </w:r>
        <w:r>
          <w:rPr>
            <w:webHidden/>
          </w:rPr>
          <w:tab/>
        </w:r>
        <w:r>
          <w:rPr>
            <w:webHidden/>
          </w:rPr>
          <w:fldChar w:fldCharType="begin"/>
        </w:r>
        <w:r>
          <w:rPr>
            <w:webHidden/>
          </w:rPr>
          <w:instrText xml:space="preserve"> PAGEREF _Toc176864492 \h </w:instrText>
        </w:r>
        <w:r>
          <w:rPr>
            <w:webHidden/>
          </w:rPr>
        </w:r>
        <w:r>
          <w:rPr>
            <w:webHidden/>
          </w:rPr>
          <w:fldChar w:fldCharType="separate"/>
        </w:r>
        <w:r w:rsidR="001B6894">
          <w:rPr>
            <w:webHidden/>
          </w:rPr>
          <w:t>89</w:t>
        </w:r>
        <w:r>
          <w:rPr>
            <w:webHidden/>
          </w:rPr>
          <w:fldChar w:fldCharType="end"/>
        </w:r>
      </w:hyperlink>
    </w:p>
    <w:p w14:paraId="1C82A80C" w14:textId="5AF114BC" w:rsidR="0015790A" w:rsidRDefault="0015790A">
      <w:pPr>
        <w:pStyle w:val="TOC3"/>
        <w:rPr>
          <w:rFonts w:asciiTheme="minorHAnsi" w:eastAsiaTheme="minorEastAsia" w:hAnsiTheme="minorHAnsi"/>
          <w:iCs w:val="0"/>
          <w:kern w:val="2"/>
          <w:sz w:val="24"/>
          <w:szCs w:val="24"/>
          <w14:ligatures w14:val="standardContextual"/>
        </w:rPr>
      </w:pPr>
      <w:hyperlink w:anchor="_Toc176864493"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Pre-Selection Clarification</w:t>
        </w:r>
        <w:r>
          <w:rPr>
            <w:webHidden/>
          </w:rPr>
          <w:tab/>
        </w:r>
        <w:r>
          <w:rPr>
            <w:webHidden/>
          </w:rPr>
          <w:fldChar w:fldCharType="begin"/>
        </w:r>
        <w:r>
          <w:rPr>
            <w:webHidden/>
          </w:rPr>
          <w:instrText xml:space="preserve"> PAGEREF _Toc176864493 \h </w:instrText>
        </w:r>
        <w:r>
          <w:rPr>
            <w:webHidden/>
          </w:rPr>
        </w:r>
        <w:r>
          <w:rPr>
            <w:webHidden/>
          </w:rPr>
          <w:fldChar w:fldCharType="separate"/>
        </w:r>
        <w:r w:rsidR="001B6894">
          <w:rPr>
            <w:webHidden/>
          </w:rPr>
          <w:t>89</w:t>
        </w:r>
        <w:r>
          <w:rPr>
            <w:webHidden/>
          </w:rPr>
          <w:fldChar w:fldCharType="end"/>
        </w:r>
      </w:hyperlink>
    </w:p>
    <w:p w14:paraId="5B7599AB" w14:textId="6117994C" w:rsidR="0015790A" w:rsidRDefault="0015790A">
      <w:pPr>
        <w:pStyle w:val="TOC3"/>
        <w:rPr>
          <w:rFonts w:asciiTheme="minorHAnsi" w:eastAsiaTheme="minorEastAsia" w:hAnsiTheme="minorHAnsi"/>
          <w:iCs w:val="0"/>
          <w:kern w:val="2"/>
          <w:sz w:val="24"/>
          <w:szCs w:val="24"/>
          <w14:ligatures w14:val="standardContextual"/>
        </w:rPr>
      </w:pPr>
      <w:hyperlink w:anchor="_Toc176864494"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Recipient Responsibility and Qualifications</w:t>
        </w:r>
        <w:r>
          <w:rPr>
            <w:webHidden/>
          </w:rPr>
          <w:tab/>
        </w:r>
        <w:r>
          <w:rPr>
            <w:webHidden/>
          </w:rPr>
          <w:fldChar w:fldCharType="begin"/>
        </w:r>
        <w:r>
          <w:rPr>
            <w:webHidden/>
          </w:rPr>
          <w:instrText xml:space="preserve"> PAGEREF _Toc176864494 \h </w:instrText>
        </w:r>
        <w:r>
          <w:rPr>
            <w:webHidden/>
          </w:rPr>
        </w:r>
        <w:r>
          <w:rPr>
            <w:webHidden/>
          </w:rPr>
          <w:fldChar w:fldCharType="separate"/>
        </w:r>
        <w:r w:rsidR="001B6894">
          <w:rPr>
            <w:webHidden/>
          </w:rPr>
          <w:t>89</w:t>
        </w:r>
        <w:r>
          <w:rPr>
            <w:webHidden/>
          </w:rPr>
          <w:fldChar w:fldCharType="end"/>
        </w:r>
      </w:hyperlink>
    </w:p>
    <w:p w14:paraId="49950FA2" w14:textId="5B50CD9E" w:rsidR="0015790A" w:rsidRDefault="0015790A">
      <w:pPr>
        <w:pStyle w:val="TOC3"/>
        <w:rPr>
          <w:rFonts w:asciiTheme="minorHAnsi" w:eastAsiaTheme="minorEastAsia" w:hAnsiTheme="minorHAnsi"/>
          <w:iCs w:val="0"/>
          <w:kern w:val="2"/>
          <w:sz w:val="24"/>
          <w:szCs w:val="24"/>
          <w14:ligatures w14:val="standardContextual"/>
        </w:rPr>
      </w:pPr>
      <w:hyperlink w:anchor="_Toc176864495"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Selection</w:t>
        </w:r>
        <w:r>
          <w:rPr>
            <w:webHidden/>
          </w:rPr>
          <w:tab/>
        </w:r>
        <w:r>
          <w:rPr>
            <w:webHidden/>
          </w:rPr>
          <w:fldChar w:fldCharType="begin"/>
        </w:r>
        <w:r>
          <w:rPr>
            <w:webHidden/>
          </w:rPr>
          <w:instrText xml:space="preserve"> PAGEREF _Toc176864495 \h </w:instrText>
        </w:r>
        <w:r>
          <w:rPr>
            <w:webHidden/>
          </w:rPr>
        </w:r>
        <w:r>
          <w:rPr>
            <w:webHidden/>
          </w:rPr>
          <w:fldChar w:fldCharType="separate"/>
        </w:r>
        <w:r w:rsidR="001B6894">
          <w:rPr>
            <w:webHidden/>
          </w:rPr>
          <w:t>90</w:t>
        </w:r>
        <w:r>
          <w:rPr>
            <w:webHidden/>
          </w:rPr>
          <w:fldChar w:fldCharType="end"/>
        </w:r>
      </w:hyperlink>
    </w:p>
    <w:p w14:paraId="7685A3DF" w14:textId="34EBFF42" w:rsidR="0015790A" w:rsidRDefault="0015790A">
      <w:pPr>
        <w:pStyle w:val="TOC2"/>
        <w:rPr>
          <w:rFonts w:eastAsiaTheme="minorEastAsia"/>
          <w:noProof/>
          <w:kern w:val="2"/>
          <w:sz w:val="24"/>
          <w:szCs w:val="24"/>
          <w14:ligatures w14:val="standardContextual"/>
        </w:rPr>
      </w:pPr>
      <w:hyperlink w:anchor="_Toc176864496" w:history="1">
        <w:r w:rsidRPr="009D7477">
          <w:rPr>
            <w:rStyle w:val="Hyperlink"/>
            <w:noProof/>
          </w:rPr>
          <w:t>E.</w:t>
        </w:r>
        <w:r>
          <w:rPr>
            <w:rFonts w:eastAsiaTheme="minorEastAsia"/>
            <w:noProof/>
            <w:kern w:val="2"/>
            <w:sz w:val="24"/>
            <w:szCs w:val="24"/>
            <w14:ligatures w14:val="standardContextual"/>
          </w:rPr>
          <w:tab/>
        </w:r>
        <w:r w:rsidRPr="009D7477">
          <w:rPr>
            <w:rStyle w:val="Hyperlink"/>
            <w:noProof/>
          </w:rPr>
          <w:t>Anticipated Notice of Selection and Award Negotiation Dates</w:t>
        </w:r>
        <w:r>
          <w:rPr>
            <w:noProof/>
            <w:webHidden/>
          </w:rPr>
          <w:tab/>
        </w:r>
        <w:r>
          <w:rPr>
            <w:noProof/>
            <w:webHidden/>
          </w:rPr>
          <w:fldChar w:fldCharType="begin"/>
        </w:r>
        <w:r>
          <w:rPr>
            <w:noProof/>
            <w:webHidden/>
          </w:rPr>
          <w:instrText xml:space="preserve"> PAGEREF _Toc176864496 \h </w:instrText>
        </w:r>
        <w:r>
          <w:rPr>
            <w:noProof/>
            <w:webHidden/>
          </w:rPr>
        </w:r>
        <w:r>
          <w:rPr>
            <w:noProof/>
            <w:webHidden/>
          </w:rPr>
          <w:fldChar w:fldCharType="separate"/>
        </w:r>
        <w:r w:rsidR="001B6894">
          <w:rPr>
            <w:noProof/>
            <w:webHidden/>
          </w:rPr>
          <w:t>90</w:t>
        </w:r>
        <w:r>
          <w:rPr>
            <w:noProof/>
            <w:webHidden/>
          </w:rPr>
          <w:fldChar w:fldCharType="end"/>
        </w:r>
      </w:hyperlink>
    </w:p>
    <w:p w14:paraId="7FECA309" w14:textId="5A111A5C" w:rsidR="0015790A" w:rsidRDefault="0015790A">
      <w:pPr>
        <w:pStyle w:val="TOC1"/>
        <w:rPr>
          <w:rFonts w:eastAsiaTheme="minorEastAsia"/>
          <w:b w:val="0"/>
          <w:bCs w:val="0"/>
          <w:noProof/>
          <w:kern w:val="2"/>
          <w:sz w:val="24"/>
          <w:szCs w:val="24"/>
          <w14:ligatures w14:val="standardContextual"/>
        </w:rPr>
      </w:pPr>
      <w:hyperlink w:anchor="_Toc176864497" w:history="1">
        <w:r w:rsidRPr="009D7477">
          <w:rPr>
            <w:rStyle w:val="Hyperlink"/>
            <w:smallCaps/>
            <w:noProof/>
          </w:rPr>
          <w:t>VI.</w:t>
        </w:r>
        <w:r>
          <w:rPr>
            <w:rFonts w:eastAsiaTheme="minorEastAsia"/>
            <w:b w:val="0"/>
            <w:bCs w:val="0"/>
            <w:noProof/>
            <w:kern w:val="2"/>
            <w:sz w:val="24"/>
            <w:szCs w:val="24"/>
            <w14:ligatures w14:val="standardContextual"/>
          </w:rPr>
          <w:tab/>
        </w:r>
        <w:r w:rsidRPr="009D7477">
          <w:rPr>
            <w:rStyle w:val="Hyperlink"/>
            <w:noProof/>
          </w:rPr>
          <w:t>Award Administration Information</w:t>
        </w:r>
        <w:r>
          <w:rPr>
            <w:noProof/>
            <w:webHidden/>
          </w:rPr>
          <w:tab/>
        </w:r>
        <w:r>
          <w:rPr>
            <w:noProof/>
            <w:webHidden/>
          </w:rPr>
          <w:fldChar w:fldCharType="begin"/>
        </w:r>
        <w:r>
          <w:rPr>
            <w:noProof/>
            <w:webHidden/>
          </w:rPr>
          <w:instrText xml:space="preserve"> PAGEREF _Toc176864497 \h </w:instrText>
        </w:r>
        <w:r>
          <w:rPr>
            <w:noProof/>
            <w:webHidden/>
          </w:rPr>
        </w:r>
        <w:r>
          <w:rPr>
            <w:noProof/>
            <w:webHidden/>
          </w:rPr>
          <w:fldChar w:fldCharType="separate"/>
        </w:r>
        <w:r w:rsidR="001B6894">
          <w:rPr>
            <w:noProof/>
            <w:webHidden/>
          </w:rPr>
          <w:t>90</w:t>
        </w:r>
        <w:r>
          <w:rPr>
            <w:noProof/>
            <w:webHidden/>
          </w:rPr>
          <w:fldChar w:fldCharType="end"/>
        </w:r>
      </w:hyperlink>
    </w:p>
    <w:p w14:paraId="34378861" w14:textId="24FA43FF" w:rsidR="0015790A" w:rsidRDefault="0015790A">
      <w:pPr>
        <w:pStyle w:val="TOC2"/>
        <w:rPr>
          <w:rFonts w:eastAsiaTheme="minorEastAsia"/>
          <w:noProof/>
          <w:kern w:val="2"/>
          <w:sz w:val="24"/>
          <w:szCs w:val="24"/>
          <w14:ligatures w14:val="standardContextual"/>
        </w:rPr>
      </w:pPr>
      <w:hyperlink w:anchor="_Toc176864498"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Award Notices</w:t>
        </w:r>
        <w:r>
          <w:rPr>
            <w:noProof/>
            <w:webHidden/>
          </w:rPr>
          <w:tab/>
        </w:r>
        <w:r>
          <w:rPr>
            <w:noProof/>
            <w:webHidden/>
          </w:rPr>
          <w:fldChar w:fldCharType="begin"/>
        </w:r>
        <w:r>
          <w:rPr>
            <w:noProof/>
            <w:webHidden/>
          </w:rPr>
          <w:instrText xml:space="preserve"> PAGEREF _Toc176864498 \h </w:instrText>
        </w:r>
        <w:r>
          <w:rPr>
            <w:noProof/>
            <w:webHidden/>
          </w:rPr>
        </w:r>
        <w:r>
          <w:rPr>
            <w:noProof/>
            <w:webHidden/>
          </w:rPr>
          <w:fldChar w:fldCharType="separate"/>
        </w:r>
        <w:r w:rsidR="001B6894">
          <w:rPr>
            <w:noProof/>
            <w:webHidden/>
          </w:rPr>
          <w:t>90</w:t>
        </w:r>
        <w:r>
          <w:rPr>
            <w:noProof/>
            <w:webHidden/>
          </w:rPr>
          <w:fldChar w:fldCharType="end"/>
        </w:r>
      </w:hyperlink>
    </w:p>
    <w:p w14:paraId="5177D1AC" w14:textId="58CB12F5" w:rsidR="0015790A" w:rsidRDefault="0015790A">
      <w:pPr>
        <w:pStyle w:val="TOC3"/>
        <w:rPr>
          <w:rFonts w:asciiTheme="minorHAnsi" w:eastAsiaTheme="minorEastAsia" w:hAnsiTheme="minorHAnsi"/>
          <w:iCs w:val="0"/>
          <w:kern w:val="2"/>
          <w:sz w:val="24"/>
          <w:szCs w:val="24"/>
          <w14:ligatures w14:val="standardContextual"/>
        </w:rPr>
      </w:pPr>
      <w:hyperlink w:anchor="_Toc176864499"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Ineligible Submissions</w:t>
        </w:r>
        <w:r>
          <w:rPr>
            <w:webHidden/>
          </w:rPr>
          <w:tab/>
        </w:r>
        <w:r>
          <w:rPr>
            <w:webHidden/>
          </w:rPr>
          <w:fldChar w:fldCharType="begin"/>
        </w:r>
        <w:r>
          <w:rPr>
            <w:webHidden/>
          </w:rPr>
          <w:instrText xml:space="preserve"> PAGEREF _Toc176864499 \h </w:instrText>
        </w:r>
        <w:r>
          <w:rPr>
            <w:webHidden/>
          </w:rPr>
        </w:r>
        <w:r>
          <w:rPr>
            <w:webHidden/>
          </w:rPr>
          <w:fldChar w:fldCharType="separate"/>
        </w:r>
        <w:r w:rsidR="001B6894">
          <w:rPr>
            <w:webHidden/>
          </w:rPr>
          <w:t>90</w:t>
        </w:r>
        <w:r>
          <w:rPr>
            <w:webHidden/>
          </w:rPr>
          <w:fldChar w:fldCharType="end"/>
        </w:r>
      </w:hyperlink>
    </w:p>
    <w:p w14:paraId="7CB3848E" w14:textId="6CADBB15" w:rsidR="0015790A" w:rsidRDefault="0015790A">
      <w:pPr>
        <w:pStyle w:val="TOC3"/>
        <w:rPr>
          <w:rFonts w:asciiTheme="minorHAnsi" w:eastAsiaTheme="minorEastAsia" w:hAnsiTheme="minorHAnsi"/>
          <w:iCs w:val="0"/>
          <w:kern w:val="2"/>
          <w:sz w:val="24"/>
          <w:szCs w:val="24"/>
          <w14:ligatures w14:val="standardContextual"/>
        </w:rPr>
      </w:pPr>
      <w:hyperlink w:anchor="_Toc176864500"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Concept Paper Notifications</w:t>
        </w:r>
        <w:r>
          <w:rPr>
            <w:webHidden/>
          </w:rPr>
          <w:tab/>
        </w:r>
        <w:r>
          <w:rPr>
            <w:webHidden/>
          </w:rPr>
          <w:fldChar w:fldCharType="begin"/>
        </w:r>
        <w:r>
          <w:rPr>
            <w:webHidden/>
          </w:rPr>
          <w:instrText xml:space="preserve"> PAGEREF _Toc176864500 \h </w:instrText>
        </w:r>
        <w:r>
          <w:rPr>
            <w:webHidden/>
          </w:rPr>
        </w:r>
        <w:r>
          <w:rPr>
            <w:webHidden/>
          </w:rPr>
          <w:fldChar w:fldCharType="separate"/>
        </w:r>
        <w:r w:rsidR="001B6894">
          <w:rPr>
            <w:webHidden/>
          </w:rPr>
          <w:t>90</w:t>
        </w:r>
        <w:r>
          <w:rPr>
            <w:webHidden/>
          </w:rPr>
          <w:fldChar w:fldCharType="end"/>
        </w:r>
      </w:hyperlink>
    </w:p>
    <w:p w14:paraId="0DF129F5" w14:textId="6F642AAA" w:rsidR="0015790A" w:rsidRDefault="0015790A">
      <w:pPr>
        <w:pStyle w:val="TOC3"/>
        <w:rPr>
          <w:rFonts w:asciiTheme="minorHAnsi" w:eastAsiaTheme="minorEastAsia" w:hAnsiTheme="minorHAnsi"/>
          <w:iCs w:val="0"/>
          <w:kern w:val="2"/>
          <w:sz w:val="24"/>
          <w:szCs w:val="24"/>
          <w14:ligatures w14:val="standardContextual"/>
        </w:rPr>
      </w:pPr>
      <w:hyperlink w:anchor="_Toc176864501"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Full Application Notifications</w:t>
        </w:r>
        <w:r>
          <w:rPr>
            <w:webHidden/>
          </w:rPr>
          <w:tab/>
        </w:r>
        <w:r>
          <w:rPr>
            <w:webHidden/>
          </w:rPr>
          <w:fldChar w:fldCharType="begin"/>
        </w:r>
        <w:r>
          <w:rPr>
            <w:webHidden/>
          </w:rPr>
          <w:instrText xml:space="preserve"> PAGEREF _Toc176864501 \h </w:instrText>
        </w:r>
        <w:r>
          <w:rPr>
            <w:webHidden/>
          </w:rPr>
        </w:r>
        <w:r>
          <w:rPr>
            <w:webHidden/>
          </w:rPr>
          <w:fldChar w:fldCharType="separate"/>
        </w:r>
        <w:r w:rsidR="001B6894">
          <w:rPr>
            <w:webHidden/>
          </w:rPr>
          <w:t>91</w:t>
        </w:r>
        <w:r>
          <w:rPr>
            <w:webHidden/>
          </w:rPr>
          <w:fldChar w:fldCharType="end"/>
        </w:r>
      </w:hyperlink>
    </w:p>
    <w:p w14:paraId="77E364E8" w14:textId="6D2779C5" w:rsidR="0015790A" w:rsidRDefault="0015790A">
      <w:pPr>
        <w:pStyle w:val="TOC3"/>
        <w:rPr>
          <w:rFonts w:asciiTheme="minorHAnsi" w:eastAsiaTheme="minorEastAsia" w:hAnsiTheme="minorHAnsi"/>
          <w:iCs w:val="0"/>
          <w:kern w:val="2"/>
          <w:sz w:val="24"/>
          <w:szCs w:val="24"/>
          <w14:ligatures w14:val="standardContextual"/>
        </w:rPr>
      </w:pPr>
      <w:hyperlink w:anchor="_Toc176864502"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Applicants Selected for Award Negotiations</w:t>
        </w:r>
        <w:r>
          <w:rPr>
            <w:webHidden/>
          </w:rPr>
          <w:tab/>
        </w:r>
        <w:r>
          <w:rPr>
            <w:webHidden/>
          </w:rPr>
          <w:fldChar w:fldCharType="begin"/>
        </w:r>
        <w:r>
          <w:rPr>
            <w:webHidden/>
          </w:rPr>
          <w:instrText xml:space="preserve"> PAGEREF _Toc176864502 \h </w:instrText>
        </w:r>
        <w:r>
          <w:rPr>
            <w:webHidden/>
          </w:rPr>
        </w:r>
        <w:r>
          <w:rPr>
            <w:webHidden/>
          </w:rPr>
          <w:fldChar w:fldCharType="separate"/>
        </w:r>
        <w:r w:rsidR="001B6894">
          <w:rPr>
            <w:webHidden/>
          </w:rPr>
          <w:t>91</w:t>
        </w:r>
        <w:r>
          <w:rPr>
            <w:webHidden/>
          </w:rPr>
          <w:fldChar w:fldCharType="end"/>
        </w:r>
      </w:hyperlink>
    </w:p>
    <w:p w14:paraId="69A30E5E" w14:textId="657D4E0A" w:rsidR="0015790A" w:rsidRDefault="0015790A">
      <w:pPr>
        <w:pStyle w:val="TOC3"/>
        <w:rPr>
          <w:rFonts w:asciiTheme="minorHAnsi" w:eastAsiaTheme="minorEastAsia" w:hAnsiTheme="minorHAnsi"/>
          <w:iCs w:val="0"/>
          <w:kern w:val="2"/>
          <w:sz w:val="24"/>
          <w:szCs w:val="24"/>
          <w14:ligatures w14:val="standardContextual"/>
        </w:rPr>
      </w:pPr>
      <w:hyperlink w:anchor="_Toc176864503" w:history="1">
        <w:r w:rsidRPr="009D7477">
          <w:rPr>
            <w:rStyle w:val="Hyperlink"/>
            <w:bCs/>
          </w:rPr>
          <w:t>v.</w:t>
        </w:r>
        <w:r>
          <w:rPr>
            <w:rFonts w:asciiTheme="minorHAnsi" w:eastAsiaTheme="minorEastAsia" w:hAnsiTheme="minorHAnsi"/>
            <w:iCs w:val="0"/>
            <w:kern w:val="2"/>
            <w:sz w:val="24"/>
            <w:szCs w:val="24"/>
            <w14:ligatures w14:val="standardContextual"/>
          </w:rPr>
          <w:tab/>
        </w:r>
        <w:r w:rsidRPr="009D7477">
          <w:rPr>
            <w:rStyle w:val="Hyperlink"/>
          </w:rPr>
          <w:t>Alternate Selection Determinations</w:t>
        </w:r>
        <w:r>
          <w:rPr>
            <w:webHidden/>
          </w:rPr>
          <w:tab/>
        </w:r>
        <w:r>
          <w:rPr>
            <w:webHidden/>
          </w:rPr>
          <w:fldChar w:fldCharType="begin"/>
        </w:r>
        <w:r>
          <w:rPr>
            <w:webHidden/>
          </w:rPr>
          <w:instrText xml:space="preserve"> PAGEREF _Toc176864503 \h </w:instrText>
        </w:r>
        <w:r>
          <w:rPr>
            <w:webHidden/>
          </w:rPr>
        </w:r>
        <w:r>
          <w:rPr>
            <w:webHidden/>
          </w:rPr>
          <w:fldChar w:fldCharType="separate"/>
        </w:r>
        <w:r w:rsidR="001B6894">
          <w:rPr>
            <w:webHidden/>
          </w:rPr>
          <w:t>91</w:t>
        </w:r>
        <w:r>
          <w:rPr>
            <w:webHidden/>
          </w:rPr>
          <w:fldChar w:fldCharType="end"/>
        </w:r>
      </w:hyperlink>
    </w:p>
    <w:p w14:paraId="2F6B102E" w14:textId="7868F9C0" w:rsidR="0015790A" w:rsidRDefault="0015790A">
      <w:pPr>
        <w:pStyle w:val="TOC3"/>
        <w:rPr>
          <w:rFonts w:asciiTheme="minorHAnsi" w:eastAsiaTheme="minorEastAsia" w:hAnsiTheme="minorHAnsi"/>
          <w:iCs w:val="0"/>
          <w:kern w:val="2"/>
          <w:sz w:val="24"/>
          <w:szCs w:val="24"/>
          <w14:ligatures w14:val="standardContextual"/>
        </w:rPr>
      </w:pPr>
      <w:hyperlink w:anchor="_Toc176864504" w:history="1">
        <w:r w:rsidRPr="009D7477">
          <w:rPr>
            <w:rStyle w:val="Hyperlink"/>
            <w:bCs/>
          </w:rPr>
          <w:t>vi.</w:t>
        </w:r>
        <w:r>
          <w:rPr>
            <w:rFonts w:asciiTheme="minorHAnsi" w:eastAsiaTheme="minorEastAsia" w:hAnsiTheme="minorHAnsi"/>
            <w:iCs w:val="0"/>
            <w:kern w:val="2"/>
            <w:sz w:val="24"/>
            <w:szCs w:val="24"/>
            <w14:ligatures w14:val="standardContextual"/>
          </w:rPr>
          <w:tab/>
        </w:r>
        <w:r w:rsidRPr="009D7477">
          <w:rPr>
            <w:rStyle w:val="Hyperlink"/>
          </w:rPr>
          <w:t>Unsuccessful Applicants</w:t>
        </w:r>
        <w:r>
          <w:rPr>
            <w:webHidden/>
          </w:rPr>
          <w:tab/>
        </w:r>
        <w:r>
          <w:rPr>
            <w:webHidden/>
          </w:rPr>
          <w:fldChar w:fldCharType="begin"/>
        </w:r>
        <w:r>
          <w:rPr>
            <w:webHidden/>
          </w:rPr>
          <w:instrText xml:space="preserve"> PAGEREF _Toc176864504 \h </w:instrText>
        </w:r>
        <w:r>
          <w:rPr>
            <w:webHidden/>
          </w:rPr>
        </w:r>
        <w:r>
          <w:rPr>
            <w:webHidden/>
          </w:rPr>
          <w:fldChar w:fldCharType="separate"/>
        </w:r>
        <w:r w:rsidR="001B6894">
          <w:rPr>
            <w:webHidden/>
          </w:rPr>
          <w:t>92</w:t>
        </w:r>
        <w:r>
          <w:rPr>
            <w:webHidden/>
          </w:rPr>
          <w:fldChar w:fldCharType="end"/>
        </w:r>
      </w:hyperlink>
    </w:p>
    <w:p w14:paraId="39587AFF" w14:textId="7C35E752" w:rsidR="0015790A" w:rsidRDefault="0015790A">
      <w:pPr>
        <w:pStyle w:val="TOC2"/>
        <w:rPr>
          <w:rFonts w:eastAsiaTheme="minorEastAsia"/>
          <w:noProof/>
          <w:kern w:val="2"/>
          <w:sz w:val="24"/>
          <w:szCs w:val="24"/>
          <w14:ligatures w14:val="standardContextual"/>
        </w:rPr>
      </w:pPr>
      <w:hyperlink w:anchor="_Toc176864505"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Administrative and National Policy Requirements</w:t>
        </w:r>
        <w:r>
          <w:rPr>
            <w:noProof/>
            <w:webHidden/>
          </w:rPr>
          <w:tab/>
        </w:r>
        <w:r>
          <w:rPr>
            <w:noProof/>
            <w:webHidden/>
          </w:rPr>
          <w:fldChar w:fldCharType="begin"/>
        </w:r>
        <w:r>
          <w:rPr>
            <w:noProof/>
            <w:webHidden/>
          </w:rPr>
          <w:instrText xml:space="preserve"> PAGEREF _Toc176864505 \h </w:instrText>
        </w:r>
        <w:r>
          <w:rPr>
            <w:noProof/>
            <w:webHidden/>
          </w:rPr>
        </w:r>
        <w:r>
          <w:rPr>
            <w:noProof/>
            <w:webHidden/>
          </w:rPr>
          <w:fldChar w:fldCharType="separate"/>
        </w:r>
        <w:r w:rsidR="001B6894">
          <w:rPr>
            <w:noProof/>
            <w:webHidden/>
          </w:rPr>
          <w:t>92</w:t>
        </w:r>
        <w:r>
          <w:rPr>
            <w:noProof/>
            <w:webHidden/>
          </w:rPr>
          <w:fldChar w:fldCharType="end"/>
        </w:r>
      </w:hyperlink>
    </w:p>
    <w:p w14:paraId="12734AA7" w14:textId="5DD3D481" w:rsidR="0015790A" w:rsidRDefault="0015790A">
      <w:pPr>
        <w:pStyle w:val="TOC3"/>
        <w:rPr>
          <w:rFonts w:asciiTheme="minorHAnsi" w:eastAsiaTheme="minorEastAsia" w:hAnsiTheme="minorHAnsi"/>
          <w:iCs w:val="0"/>
          <w:kern w:val="2"/>
          <w:sz w:val="24"/>
          <w:szCs w:val="24"/>
          <w14:ligatures w14:val="standardContextual"/>
        </w:rPr>
      </w:pPr>
      <w:hyperlink w:anchor="_Toc176864506" w:history="1">
        <w:r w:rsidRPr="009D7477">
          <w:rPr>
            <w:rStyle w:val="Hyperlink"/>
            <w:bCs/>
          </w:rPr>
          <w:t>i.</w:t>
        </w:r>
        <w:r>
          <w:rPr>
            <w:rFonts w:asciiTheme="minorHAnsi" w:eastAsiaTheme="minorEastAsia" w:hAnsiTheme="minorHAnsi"/>
            <w:iCs w:val="0"/>
            <w:kern w:val="2"/>
            <w:sz w:val="24"/>
            <w:szCs w:val="24"/>
            <w14:ligatures w14:val="standardContextual"/>
          </w:rPr>
          <w:tab/>
        </w:r>
        <w:r w:rsidRPr="009D7477">
          <w:rPr>
            <w:rStyle w:val="Hyperlink"/>
          </w:rPr>
          <w:t>Registration Requirements</w:t>
        </w:r>
        <w:r>
          <w:rPr>
            <w:webHidden/>
          </w:rPr>
          <w:tab/>
        </w:r>
        <w:r>
          <w:rPr>
            <w:webHidden/>
          </w:rPr>
          <w:fldChar w:fldCharType="begin"/>
        </w:r>
        <w:r>
          <w:rPr>
            <w:webHidden/>
          </w:rPr>
          <w:instrText xml:space="preserve"> PAGEREF _Toc176864506 \h </w:instrText>
        </w:r>
        <w:r>
          <w:rPr>
            <w:webHidden/>
          </w:rPr>
        </w:r>
        <w:r>
          <w:rPr>
            <w:webHidden/>
          </w:rPr>
          <w:fldChar w:fldCharType="separate"/>
        </w:r>
        <w:r w:rsidR="001B6894">
          <w:rPr>
            <w:webHidden/>
          </w:rPr>
          <w:t>92</w:t>
        </w:r>
        <w:r>
          <w:rPr>
            <w:webHidden/>
          </w:rPr>
          <w:fldChar w:fldCharType="end"/>
        </w:r>
      </w:hyperlink>
    </w:p>
    <w:p w14:paraId="6C039D1E" w14:textId="78AA07BD" w:rsidR="0015790A" w:rsidRDefault="0015790A">
      <w:pPr>
        <w:pStyle w:val="TOC3"/>
        <w:rPr>
          <w:rFonts w:asciiTheme="minorHAnsi" w:eastAsiaTheme="minorEastAsia" w:hAnsiTheme="minorHAnsi"/>
          <w:iCs w:val="0"/>
          <w:kern w:val="2"/>
          <w:sz w:val="24"/>
          <w:szCs w:val="24"/>
          <w14:ligatures w14:val="standardContextual"/>
        </w:rPr>
      </w:pPr>
      <w:hyperlink w:anchor="_Toc176864507" w:history="1">
        <w:r w:rsidRPr="009D7477">
          <w:rPr>
            <w:rStyle w:val="Hyperlink"/>
            <w:bCs/>
          </w:rPr>
          <w:t>ii.</w:t>
        </w:r>
        <w:r>
          <w:rPr>
            <w:rFonts w:asciiTheme="minorHAnsi" w:eastAsiaTheme="minorEastAsia" w:hAnsiTheme="minorHAnsi"/>
            <w:iCs w:val="0"/>
            <w:kern w:val="2"/>
            <w:sz w:val="24"/>
            <w:szCs w:val="24"/>
            <w14:ligatures w14:val="standardContextual"/>
          </w:rPr>
          <w:tab/>
        </w:r>
        <w:r w:rsidRPr="009D7477">
          <w:rPr>
            <w:rStyle w:val="Hyperlink"/>
          </w:rPr>
          <w:t>Award Administrative Requirements</w:t>
        </w:r>
        <w:r>
          <w:rPr>
            <w:webHidden/>
          </w:rPr>
          <w:tab/>
        </w:r>
        <w:r>
          <w:rPr>
            <w:webHidden/>
          </w:rPr>
          <w:fldChar w:fldCharType="begin"/>
        </w:r>
        <w:r>
          <w:rPr>
            <w:webHidden/>
          </w:rPr>
          <w:instrText xml:space="preserve"> PAGEREF _Toc176864507 \h </w:instrText>
        </w:r>
        <w:r>
          <w:rPr>
            <w:webHidden/>
          </w:rPr>
        </w:r>
        <w:r>
          <w:rPr>
            <w:webHidden/>
          </w:rPr>
          <w:fldChar w:fldCharType="separate"/>
        </w:r>
        <w:r w:rsidR="001B6894">
          <w:rPr>
            <w:webHidden/>
          </w:rPr>
          <w:t>93</w:t>
        </w:r>
        <w:r>
          <w:rPr>
            <w:webHidden/>
          </w:rPr>
          <w:fldChar w:fldCharType="end"/>
        </w:r>
      </w:hyperlink>
    </w:p>
    <w:p w14:paraId="61AF676E" w14:textId="18971E01" w:rsidR="0015790A" w:rsidRDefault="0015790A">
      <w:pPr>
        <w:pStyle w:val="TOC3"/>
        <w:rPr>
          <w:rFonts w:asciiTheme="minorHAnsi" w:eastAsiaTheme="minorEastAsia" w:hAnsiTheme="minorHAnsi"/>
          <w:iCs w:val="0"/>
          <w:kern w:val="2"/>
          <w:sz w:val="24"/>
          <w:szCs w:val="24"/>
          <w14:ligatures w14:val="standardContextual"/>
        </w:rPr>
      </w:pPr>
      <w:hyperlink w:anchor="_Toc176864508" w:history="1">
        <w:r w:rsidRPr="009D7477">
          <w:rPr>
            <w:rStyle w:val="Hyperlink"/>
            <w:bCs/>
          </w:rPr>
          <w:t>iii.</w:t>
        </w:r>
        <w:r>
          <w:rPr>
            <w:rFonts w:asciiTheme="minorHAnsi" w:eastAsiaTheme="minorEastAsia" w:hAnsiTheme="minorHAnsi"/>
            <w:iCs w:val="0"/>
            <w:kern w:val="2"/>
            <w:sz w:val="24"/>
            <w:szCs w:val="24"/>
            <w14:ligatures w14:val="standardContextual"/>
          </w:rPr>
          <w:tab/>
        </w:r>
        <w:r w:rsidRPr="009D7477">
          <w:rPr>
            <w:rStyle w:val="Hyperlink"/>
          </w:rPr>
          <w:t>Foreign National Participation</w:t>
        </w:r>
        <w:r>
          <w:rPr>
            <w:webHidden/>
          </w:rPr>
          <w:tab/>
        </w:r>
        <w:r>
          <w:rPr>
            <w:webHidden/>
          </w:rPr>
          <w:fldChar w:fldCharType="begin"/>
        </w:r>
        <w:r>
          <w:rPr>
            <w:webHidden/>
          </w:rPr>
          <w:instrText xml:space="preserve"> PAGEREF _Toc176864508 \h </w:instrText>
        </w:r>
        <w:r>
          <w:rPr>
            <w:webHidden/>
          </w:rPr>
        </w:r>
        <w:r>
          <w:rPr>
            <w:webHidden/>
          </w:rPr>
          <w:fldChar w:fldCharType="separate"/>
        </w:r>
        <w:r w:rsidR="001B6894">
          <w:rPr>
            <w:webHidden/>
          </w:rPr>
          <w:t>93</w:t>
        </w:r>
        <w:r>
          <w:rPr>
            <w:webHidden/>
          </w:rPr>
          <w:fldChar w:fldCharType="end"/>
        </w:r>
      </w:hyperlink>
    </w:p>
    <w:p w14:paraId="211FD795" w14:textId="19E00103" w:rsidR="0015790A" w:rsidRDefault="0015790A">
      <w:pPr>
        <w:pStyle w:val="TOC3"/>
        <w:rPr>
          <w:rFonts w:asciiTheme="minorHAnsi" w:eastAsiaTheme="minorEastAsia" w:hAnsiTheme="minorHAnsi"/>
          <w:iCs w:val="0"/>
          <w:kern w:val="2"/>
          <w:sz w:val="24"/>
          <w:szCs w:val="24"/>
          <w14:ligatures w14:val="standardContextual"/>
        </w:rPr>
      </w:pPr>
      <w:hyperlink w:anchor="_Toc176864509" w:history="1">
        <w:r w:rsidRPr="009D7477">
          <w:rPr>
            <w:rStyle w:val="Hyperlink"/>
            <w:bCs/>
          </w:rPr>
          <w:t>iv.</w:t>
        </w:r>
        <w:r>
          <w:rPr>
            <w:rFonts w:asciiTheme="minorHAnsi" w:eastAsiaTheme="minorEastAsia" w:hAnsiTheme="minorHAnsi"/>
            <w:iCs w:val="0"/>
            <w:kern w:val="2"/>
            <w:sz w:val="24"/>
            <w:szCs w:val="24"/>
            <w14:ligatures w14:val="standardContextual"/>
          </w:rPr>
          <w:tab/>
        </w:r>
        <w:r w:rsidRPr="009D7477">
          <w:rPr>
            <w:rStyle w:val="Hyperlink"/>
          </w:rPr>
          <w:t>Subaward and Executive Reporting</w:t>
        </w:r>
        <w:r>
          <w:rPr>
            <w:webHidden/>
          </w:rPr>
          <w:tab/>
        </w:r>
        <w:r>
          <w:rPr>
            <w:webHidden/>
          </w:rPr>
          <w:fldChar w:fldCharType="begin"/>
        </w:r>
        <w:r>
          <w:rPr>
            <w:webHidden/>
          </w:rPr>
          <w:instrText xml:space="preserve"> PAGEREF _Toc176864509 \h </w:instrText>
        </w:r>
        <w:r>
          <w:rPr>
            <w:webHidden/>
          </w:rPr>
        </w:r>
        <w:r>
          <w:rPr>
            <w:webHidden/>
          </w:rPr>
          <w:fldChar w:fldCharType="separate"/>
        </w:r>
        <w:r w:rsidR="001B6894">
          <w:rPr>
            <w:webHidden/>
          </w:rPr>
          <w:t>94</w:t>
        </w:r>
        <w:r>
          <w:rPr>
            <w:webHidden/>
          </w:rPr>
          <w:fldChar w:fldCharType="end"/>
        </w:r>
      </w:hyperlink>
    </w:p>
    <w:p w14:paraId="5D9E22D4" w14:textId="5467551F" w:rsidR="0015790A" w:rsidRDefault="0015790A">
      <w:pPr>
        <w:pStyle w:val="TOC3"/>
        <w:rPr>
          <w:rFonts w:asciiTheme="minorHAnsi" w:eastAsiaTheme="minorEastAsia" w:hAnsiTheme="minorHAnsi"/>
          <w:iCs w:val="0"/>
          <w:kern w:val="2"/>
          <w:sz w:val="24"/>
          <w:szCs w:val="24"/>
          <w14:ligatures w14:val="standardContextual"/>
        </w:rPr>
      </w:pPr>
      <w:hyperlink w:anchor="_Toc176864510" w:history="1">
        <w:r w:rsidRPr="009D7477">
          <w:rPr>
            <w:rStyle w:val="Hyperlink"/>
            <w:bCs/>
          </w:rPr>
          <w:t>v.</w:t>
        </w:r>
        <w:r>
          <w:rPr>
            <w:rFonts w:asciiTheme="minorHAnsi" w:eastAsiaTheme="minorEastAsia" w:hAnsiTheme="minorHAnsi"/>
            <w:iCs w:val="0"/>
            <w:kern w:val="2"/>
            <w:sz w:val="24"/>
            <w:szCs w:val="24"/>
            <w14:ligatures w14:val="standardContextual"/>
          </w:rPr>
          <w:tab/>
        </w:r>
        <w:r w:rsidRPr="009D7477">
          <w:rPr>
            <w:rStyle w:val="Hyperlink"/>
          </w:rPr>
          <w:t>National Policy Requirements</w:t>
        </w:r>
        <w:r>
          <w:rPr>
            <w:webHidden/>
          </w:rPr>
          <w:tab/>
        </w:r>
        <w:r>
          <w:rPr>
            <w:webHidden/>
          </w:rPr>
          <w:fldChar w:fldCharType="begin"/>
        </w:r>
        <w:r>
          <w:rPr>
            <w:webHidden/>
          </w:rPr>
          <w:instrText xml:space="preserve"> PAGEREF _Toc176864510 \h </w:instrText>
        </w:r>
        <w:r>
          <w:rPr>
            <w:webHidden/>
          </w:rPr>
        </w:r>
        <w:r>
          <w:rPr>
            <w:webHidden/>
          </w:rPr>
          <w:fldChar w:fldCharType="separate"/>
        </w:r>
        <w:r w:rsidR="001B6894">
          <w:rPr>
            <w:webHidden/>
          </w:rPr>
          <w:t>94</w:t>
        </w:r>
        <w:r>
          <w:rPr>
            <w:webHidden/>
          </w:rPr>
          <w:fldChar w:fldCharType="end"/>
        </w:r>
      </w:hyperlink>
    </w:p>
    <w:p w14:paraId="16AB0598" w14:textId="04258BBE" w:rsidR="0015790A" w:rsidRDefault="0015790A">
      <w:pPr>
        <w:pStyle w:val="TOC3"/>
        <w:rPr>
          <w:rFonts w:asciiTheme="minorHAnsi" w:eastAsiaTheme="minorEastAsia" w:hAnsiTheme="minorHAnsi"/>
          <w:iCs w:val="0"/>
          <w:kern w:val="2"/>
          <w:sz w:val="24"/>
          <w:szCs w:val="24"/>
          <w14:ligatures w14:val="standardContextual"/>
        </w:rPr>
      </w:pPr>
      <w:hyperlink w:anchor="_Toc176864511" w:history="1">
        <w:r w:rsidRPr="009D7477">
          <w:rPr>
            <w:rStyle w:val="Hyperlink"/>
            <w:bCs/>
          </w:rPr>
          <w:t>vi.</w:t>
        </w:r>
        <w:r>
          <w:rPr>
            <w:rFonts w:asciiTheme="minorHAnsi" w:eastAsiaTheme="minorEastAsia" w:hAnsiTheme="minorHAnsi"/>
            <w:iCs w:val="0"/>
            <w:kern w:val="2"/>
            <w:sz w:val="24"/>
            <w:szCs w:val="24"/>
            <w14:ligatures w14:val="standardContextual"/>
          </w:rPr>
          <w:tab/>
        </w:r>
        <w:r w:rsidRPr="009D7477">
          <w:rPr>
            <w:rStyle w:val="Hyperlink"/>
          </w:rPr>
          <w:t>Environmental Review in Accordance with National Environmental Policy Act (NEPA)</w:t>
        </w:r>
        <w:r>
          <w:rPr>
            <w:webHidden/>
          </w:rPr>
          <w:tab/>
        </w:r>
        <w:r>
          <w:rPr>
            <w:webHidden/>
          </w:rPr>
          <w:fldChar w:fldCharType="begin"/>
        </w:r>
        <w:r>
          <w:rPr>
            <w:webHidden/>
          </w:rPr>
          <w:instrText xml:space="preserve"> PAGEREF _Toc176864511 \h </w:instrText>
        </w:r>
        <w:r>
          <w:rPr>
            <w:webHidden/>
          </w:rPr>
        </w:r>
        <w:r>
          <w:rPr>
            <w:webHidden/>
          </w:rPr>
          <w:fldChar w:fldCharType="separate"/>
        </w:r>
        <w:r w:rsidR="001B6894">
          <w:rPr>
            <w:webHidden/>
          </w:rPr>
          <w:t>94</w:t>
        </w:r>
        <w:r>
          <w:rPr>
            <w:webHidden/>
          </w:rPr>
          <w:fldChar w:fldCharType="end"/>
        </w:r>
      </w:hyperlink>
    </w:p>
    <w:p w14:paraId="3A02653F" w14:textId="4109FDF4" w:rsidR="0015790A" w:rsidRDefault="0015790A">
      <w:pPr>
        <w:pStyle w:val="TOC3"/>
        <w:rPr>
          <w:rFonts w:asciiTheme="minorHAnsi" w:eastAsiaTheme="minorEastAsia" w:hAnsiTheme="minorHAnsi"/>
          <w:iCs w:val="0"/>
          <w:kern w:val="2"/>
          <w:sz w:val="24"/>
          <w:szCs w:val="24"/>
          <w14:ligatures w14:val="standardContextual"/>
        </w:rPr>
      </w:pPr>
      <w:hyperlink w:anchor="_Toc176864512" w:history="1">
        <w:r w:rsidRPr="009D7477">
          <w:rPr>
            <w:rStyle w:val="Hyperlink"/>
            <w:bCs/>
          </w:rPr>
          <w:t>vii.</w:t>
        </w:r>
        <w:r>
          <w:rPr>
            <w:rFonts w:asciiTheme="minorHAnsi" w:eastAsiaTheme="minorEastAsia" w:hAnsiTheme="minorHAnsi"/>
            <w:iCs w:val="0"/>
            <w:kern w:val="2"/>
            <w:sz w:val="24"/>
            <w:szCs w:val="24"/>
            <w14:ligatures w14:val="standardContextual"/>
          </w:rPr>
          <w:tab/>
        </w:r>
        <w:r w:rsidRPr="009D7477">
          <w:rPr>
            <w:rStyle w:val="Hyperlink"/>
          </w:rPr>
          <w:t>Flood Resilience</w:t>
        </w:r>
        <w:r>
          <w:rPr>
            <w:webHidden/>
          </w:rPr>
          <w:tab/>
        </w:r>
        <w:r>
          <w:rPr>
            <w:webHidden/>
          </w:rPr>
          <w:fldChar w:fldCharType="begin"/>
        </w:r>
        <w:r>
          <w:rPr>
            <w:webHidden/>
          </w:rPr>
          <w:instrText xml:space="preserve"> PAGEREF _Toc176864512 \h </w:instrText>
        </w:r>
        <w:r>
          <w:rPr>
            <w:webHidden/>
          </w:rPr>
        </w:r>
        <w:r>
          <w:rPr>
            <w:webHidden/>
          </w:rPr>
          <w:fldChar w:fldCharType="separate"/>
        </w:r>
        <w:r w:rsidR="001B6894">
          <w:rPr>
            <w:webHidden/>
          </w:rPr>
          <w:t>95</w:t>
        </w:r>
        <w:r>
          <w:rPr>
            <w:webHidden/>
          </w:rPr>
          <w:fldChar w:fldCharType="end"/>
        </w:r>
      </w:hyperlink>
    </w:p>
    <w:p w14:paraId="08F2F13D" w14:textId="02E004D9" w:rsidR="0015790A" w:rsidRDefault="0015790A">
      <w:pPr>
        <w:pStyle w:val="TOC3"/>
        <w:rPr>
          <w:rFonts w:asciiTheme="minorHAnsi" w:eastAsiaTheme="minorEastAsia" w:hAnsiTheme="minorHAnsi"/>
          <w:iCs w:val="0"/>
          <w:kern w:val="2"/>
          <w:sz w:val="24"/>
          <w:szCs w:val="24"/>
          <w14:ligatures w14:val="standardContextual"/>
        </w:rPr>
      </w:pPr>
      <w:hyperlink w:anchor="_Toc176864513" w:history="1">
        <w:r w:rsidRPr="009D7477">
          <w:rPr>
            <w:rStyle w:val="Hyperlink"/>
            <w:bCs/>
          </w:rPr>
          <w:t>viii.</w:t>
        </w:r>
        <w:r>
          <w:rPr>
            <w:rFonts w:asciiTheme="minorHAnsi" w:eastAsiaTheme="minorEastAsia" w:hAnsiTheme="minorHAnsi"/>
            <w:iCs w:val="0"/>
            <w:kern w:val="2"/>
            <w:sz w:val="24"/>
            <w:szCs w:val="24"/>
            <w14:ligatures w14:val="standardContextual"/>
          </w:rPr>
          <w:tab/>
        </w:r>
        <w:r w:rsidRPr="009D7477">
          <w:rPr>
            <w:rStyle w:val="Hyperlink"/>
          </w:rPr>
          <w:t>Applicant Representations and Certifications</w:t>
        </w:r>
        <w:r>
          <w:rPr>
            <w:webHidden/>
          </w:rPr>
          <w:tab/>
        </w:r>
        <w:r>
          <w:rPr>
            <w:webHidden/>
          </w:rPr>
          <w:fldChar w:fldCharType="begin"/>
        </w:r>
        <w:r>
          <w:rPr>
            <w:webHidden/>
          </w:rPr>
          <w:instrText xml:space="preserve"> PAGEREF _Toc176864513 \h </w:instrText>
        </w:r>
        <w:r>
          <w:rPr>
            <w:webHidden/>
          </w:rPr>
        </w:r>
        <w:r>
          <w:rPr>
            <w:webHidden/>
          </w:rPr>
          <w:fldChar w:fldCharType="separate"/>
        </w:r>
        <w:r w:rsidR="001B6894">
          <w:rPr>
            <w:webHidden/>
          </w:rPr>
          <w:t>95</w:t>
        </w:r>
        <w:r>
          <w:rPr>
            <w:webHidden/>
          </w:rPr>
          <w:fldChar w:fldCharType="end"/>
        </w:r>
      </w:hyperlink>
    </w:p>
    <w:p w14:paraId="6B1D7258" w14:textId="4EB086C6" w:rsidR="0015790A" w:rsidRDefault="0015790A">
      <w:pPr>
        <w:pStyle w:val="TOC3"/>
        <w:rPr>
          <w:rFonts w:asciiTheme="minorHAnsi" w:eastAsiaTheme="minorEastAsia" w:hAnsiTheme="minorHAnsi"/>
          <w:iCs w:val="0"/>
          <w:kern w:val="2"/>
          <w:sz w:val="24"/>
          <w:szCs w:val="24"/>
          <w14:ligatures w14:val="standardContextual"/>
        </w:rPr>
      </w:pPr>
      <w:hyperlink w:anchor="_Toc176864514" w:history="1">
        <w:r w:rsidRPr="009D7477">
          <w:rPr>
            <w:rStyle w:val="Hyperlink"/>
            <w:bCs/>
          </w:rPr>
          <w:t>ix.</w:t>
        </w:r>
        <w:r>
          <w:rPr>
            <w:rFonts w:asciiTheme="minorHAnsi" w:eastAsiaTheme="minorEastAsia" w:hAnsiTheme="minorHAnsi"/>
            <w:iCs w:val="0"/>
            <w:kern w:val="2"/>
            <w:sz w:val="24"/>
            <w:szCs w:val="24"/>
            <w14:ligatures w14:val="standardContextual"/>
          </w:rPr>
          <w:tab/>
        </w:r>
        <w:r w:rsidRPr="009D7477">
          <w:rPr>
            <w:rStyle w:val="Hyperlink"/>
          </w:rPr>
          <w:t>Statement of Federal Stewardship</w:t>
        </w:r>
        <w:r>
          <w:rPr>
            <w:webHidden/>
          </w:rPr>
          <w:tab/>
        </w:r>
        <w:r>
          <w:rPr>
            <w:webHidden/>
          </w:rPr>
          <w:fldChar w:fldCharType="begin"/>
        </w:r>
        <w:r>
          <w:rPr>
            <w:webHidden/>
          </w:rPr>
          <w:instrText xml:space="preserve"> PAGEREF _Toc176864514 \h </w:instrText>
        </w:r>
        <w:r>
          <w:rPr>
            <w:webHidden/>
          </w:rPr>
        </w:r>
        <w:r>
          <w:rPr>
            <w:webHidden/>
          </w:rPr>
          <w:fldChar w:fldCharType="separate"/>
        </w:r>
        <w:r w:rsidR="001B6894">
          <w:rPr>
            <w:webHidden/>
          </w:rPr>
          <w:t>97</w:t>
        </w:r>
        <w:r>
          <w:rPr>
            <w:webHidden/>
          </w:rPr>
          <w:fldChar w:fldCharType="end"/>
        </w:r>
      </w:hyperlink>
    </w:p>
    <w:p w14:paraId="63B89B38" w14:textId="5FD07381" w:rsidR="0015790A" w:rsidRDefault="0015790A">
      <w:pPr>
        <w:pStyle w:val="TOC3"/>
        <w:rPr>
          <w:rFonts w:asciiTheme="minorHAnsi" w:eastAsiaTheme="minorEastAsia" w:hAnsiTheme="minorHAnsi"/>
          <w:iCs w:val="0"/>
          <w:kern w:val="2"/>
          <w:sz w:val="24"/>
          <w:szCs w:val="24"/>
          <w14:ligatures w14:val="standardContextual"/>
        </w:rPr>
      </w:pPr>
      <w:hyperlink w:anchor="_Toc176864515" w:history="1">
        <w:r w:rsidRPr="009D7477">
          <w:rPr>
            <w:rStyle w:val="Hyperlink"/>
            <w:bCs/>
          </w:rPr>
          <w:t>x.</w:t>
        </w:r>
        <w:r>
          <w:rPr>
            <w:rFonts w:asciiTheme="minorHAnsi" w:eastAsiaTheme="minorEastAsia" w:hAnsiTheme="minorHAnsi"/>
            <w:iCs w:val="0"/>
            <w:kern w:val="2"/>
            <w:sz w:val="24"/>
            <w:szCs w:val="24"/>
            <w14:ligatures w14:val="standardContextual"/>
          </w:rPr>
          <w:tab/>
        </w:r>
        <w:r w:rsidRPr="009D7477">
          <w:rPr>
            <w:rStyle w:val="Hyperlink"/>
          </w:rPr>
          <w:t>Statement of Substantial Involvement</w:t>
        </w:r>
        <w:r>
          <w:rPr>
            <w:webHidden/>
          </w:rPr>
          <w:tab/>
        </w:r>
        <w:r>
          <w:rPr>
            <w:webHidden/>
          </w:rPr>
          <w:fldChar w:fldCharType="begin"/>
        </w:r>
        <w:r>
          <w:rPr>
            <w:webHidden/>
          </w:rPr>
          <w:instrText xml:space="preserve"> PAGEREF _Toc176864515 \h </w:instrText>
        </w:r>
        <w:r>
          <w:rPr>
            <w:webHidden/>
          </w:rPr>
        </w:r>
        <w:r>
          <w:rPr>
            <w:webHidden/>
          </w:rPr>
          <w:fldChar w:fldCharType="separate"/>
        </w:r>
        <w:r w:rsidR="001B6894">
          <w:rPr>
            <w:webHidden/>
          </w:rPr>
          <w:t>97</w:t>
        </w:r>
        <w:r>
          <w:rPr>
            <w:webHidden/>
          </w:rPr>
          <w:fldChar w:fldCharType="end"/>
        </w:r>
      </w:hyperlink>
    </w:p>
    <w:p w14:paraId="3C2799EC" w14:textId="29A82747" w:rsidR="0015790A" w:rsidRDefault="0015790A">
      <w:pPr>
        <w:pStyle w:val="TOC3"/>
        <w:rPr>
          <w:rFonts w:asciiTheme="minorHAnsi" w:eastAsiaTheme="minorEastAsia" w:hAnsiTheme="minorHAnsi"/>
          <w:iCs w:val="0"/>
          <w:kern w:val="2"/>
          <w:sz w:val="24"/>
          <w:szCs w:val="24"/>
          <w14:ligatures w14:val="standardContextual"/>
        </w:rPr>
      </w:pPr>
      <w:hyperlink w:anchor="_Toc176864516" w:history="1">
        <w:r w:rsidRPr="009D7477">
          <w:rPr>
            <w:rStyle w:val="Hyperlink"/>
            <w:bCs/>
          </w:rPr>
          <w:t>xi.</w:t>
        </w:r>
        <w:r>
          <w:rPr>
            <w:rFonts w:asciiTheme="minorHAnsi" w:eastAsiaTheme="minorEastAsia" w:hAnsiTheme="minorHAnsi"/>
            <w:iCs w:val="0"/>
            <w:kern w:val="2"/>
            <w:sz w:val="24"/>
            <w:szCs w:val="24"/>
            <w14:ligatures w14:val="standardContextual"/>
          </w:rPr>
          <w:tab/>
        </w:r>
        <w:r w:rsidRPr="009D7477">
          <w:rPr>
            <w:rStyle w:val="Hyperlink"/>
          </w:rPr>
          <w:t>Intellectual Property Management Plan</w:t>
        </w:r>
        <w:r>
          <w:rPr>
            <w:webHidden/>
          </w:rPr>
          <w:tab/>
        </w:r>
        <w:r>
          <w:rPr>
            <w:webHidden/>
          </w:rPr>
          <w:fldChar w:fldCharType="begin"/>
        </w:r>
        <w:r>
          <w:rPr>
            <w:webHidden/>
          </w:rPr>
          <w:instrText xml:space="preserve"> PAGEREF _Toc176864516 \h </w:instrText>
        </w:r>
        <w:r>
          <w:rPr>
            <w:webHidden/>
          </w:rPr>
        </w:r>
        <w:r>
          <w:rPr>
            <w:webHidden/>
          </w:rPr>
          <w:fldChar w:fldCharType="separate"/>
        </w:r>
        <w:r w:rsidR="001B6894">
          <w:rPr>
            <w:webHidden/>
          </w:rPr>
          <w:t>97</w:t>
        </w:r>
        <w:r>
          <w:rPr>
            <w:webHidden/>
          </w:rPr>
          <w:fldChar w:fldCharType="end"/>
        </w:r>
      </w:hyperlink>
    </w:p>
    <w:p w14:paraId="5648BFC2" w14:textId="62213F9E" w:rsidR="0015790A" w:rsidRDefault="0015790A">
      <w:pPr>
        <w:pStyle w:val="TOC3"/>
        <w:rPr>
          <w:rFonts w:asciiTheme="minorHAnsi" w:eastAsiaTheme="minorEastAsia" w:hAnsiTheme="minorHAnsi"/>
          <w:iCs w:val="0"/>
          <w:kern w:val="2"/>
          <w:sz w:val="24"/>
          <w:szCs w:val="24"/>
          <w14:ligatures w14:val="standardContextual"/>
        </w:rPr>
      </w:pPr>
      <w:hyperlink w:anchor="_Toc176864517" w:history="1">
        <w:r w:rsidRPr="009D7477">
          <w:rPr>
            <w:rStyle w:val="Hyperlink"/>
            <w:bCs/>
          </w:rPr>
          <w:t>xii.</w:t>
        </w:r>
        <w:r>
          <w:rPr>
            <w:rFonts w:asciiTheme="minorHAnsi" w:eastAsiaTheme="minorEastAsia" w:hAnsiTheme="minorHAnsi"/>
            <w:iCs w:val="0"/>
            <w:kern w:val="2"/>
            <w:sz w:val="24"/>
            <w:szCs w:val="24"/>
            <w14:ligatures w14:val="standardContextual"/>
          </w:rPr>
          <w:tab/>
        </w:r>
        <w:r w:rsidRPr="009D7477">
          <w:rPr>
            <w:rStyle w:val="Hyperlink"/>
          </w:rPr>
          <w:t>Subject Invention Utilization Reporting</w:t>
        </w:r>
        <w:r>
          <w:rPr>
            <w:webHidden/>
          </w:rPr>
          <w:tab/>
        </w:r>
        <w:r>
          <w:rPr>
            <w:webHidden/>
          </w:rPr>
          <w:fldChar w:fldCharType="begin"/>
        </w:r>
        <w:r>
          <w:rPr>
            <w:webHidden/>
          </w:rPr>
          <w:instrText xml:space="preserve"> PAGEREF _Toc176864517 \h </w:instrText>
        </w:r>
        <w:r>
          <w:rPr>
            <w:webHidden/>
          </w:rPr>
        </w:r>
        <w:r>
          <w:rPr>
            <w:webHidden/>
          </w:rPr>
          <w:fldChar w:fldCharType="separate"/>
        </w:r>
        <w:r w:rsidR="001B6894">
          <w:rPr>
            <w:webHidden/>
          </w:rPr>
          <w:t>98</w:t>
        </w:r>
        <w:r>
          <w:rPr>
            <w:webHidden/>
          </w:rPr>
          <w:fldChar w:fldCharType="end"/>
        </w:r>
      </w:hyperlink>
    </w:p>
    <w:p w14:paraId="3FF16B30" w14:textId="7D5E482E" w:rsidR="0015790A" w:rsidRDefault="0015790A">
      <w:pPr>
        <w:pStyle w:val="TOC3"/>
        <w:rPr>
          <w:rFonts w:asciiTheme="minorHAnsi" w:eastAsiaTheme="minorEastAsia" w:hAnsiTheme="minorHAnsi"/>
          <w:iCs w:val="0"/>
          <w:kern w:val="2"/>
          <w:sz w:val="24"/>
          <w:szCs w:val="24"/>
          <w14:ligatures w14:val="standardContextual"/>
        </w:rPr>
      </w:pPr>
      <w:hyperlink w:anchor="_Toc176864518" w:history="1">
        <w:r w:rsidRPr="009D7477">
          <w:rPr>
            <w:rStyle w:val="Hyperlink"/>
            <w:bCs/>
          </w:rPr>
          <w:t>xiii.</w:t>
        </w:r>
        <w:r>
          <w:rPr>
            <w:rFonts w:asciiTheme="minorHAnsi" w:eastAsiaTheme="minorEastAsia" w:hAnsiTheme="minorHAnsi"/>
            <w:iCs w:val="0"/>
            <w:kern w:val="2"/>
            <w:sz w:val="24"/>
            <w:szCs w:val="24"/>
            <w14:ligatures w14:val="standardContextual"/>
          </w:rPr>
          <w:tab/>
        </w:r>
        <w:r w:rsidRPr="009D7477">
          <w:rPr>
            <w:rStyle w:val="Hyperlink"/>
          </w:rPr>
          <w:t>Intellectual Property Provisions</w:t>
        </w:r>
        <w:r>
          <w:rPr>
            <w:webHidden/>
          </w:rPr>
          <w:tab/>
        </w:r>
        <w:r>
          <w:rPr>
            <w:webHidden/>
          </w:rPr>
          <w:fldChar w:fldCharType="begin"/>
        </w:r>
        <w:r>
          <w:rPr>
            <w:webHidden/>
          </w:rPr>
          <w:instrText xml:space="preserve"> PAGEREF _Toc176864518 \h </w:instrText>
        </w:r>
        <w:r>
          <w:rPr>
            <w:webHidden/>
          </w:rPr>
        </w:r>
        <w:r>
          <w:rPr>
            <w:webHidden/>
          </w:rPr>
          <w:fldChar w:fldCharType="separate"/>
        </w:r>
        <w:r w:rsidR="001B6894">
          <w:rPr>
            <w:webHidden/>
          </w:rPr>
          <w:t>98</w:t>
        </w:r>
        <w:r>
          <w:rPr>
            <w:webHidden/>
          </w:rPr>
          <w:fldChar w:fldCharType="end"/>
        </w:r>
      </w:hyperlink>
    </w:p>
    <w:p w14:paraId="2BA9F7FD" w14:textId="2761DF7A" w:rsidR="0015790A" w:rsidRDefault="0015790A">
      <w:pPr>
        <w:pStyle w:val="TOC3"/>
        <w:rPr>
          <w:rFonts w:asciiTheme="minorHAnsi" w:eastAsiaTheme="minorEastAsia" w:hAnsiTheme="minorHAnsi"/>
          <w:iCs w:val="0"/>
          <w:kern w:val="2"/>
          <w:sz w:val="24"/>
          <w:szCs w:val="24"/>
          <w14:ligatures w14:val="standardContextual"/>
        </w:rPr>
      </w:pPr>
      <w:hyperlink w:anchor="_Toc176864519" w:history="1">
        <w:r w:rsidRPr="009D7477">
          <w:rPr>
            <w:rStyle w:val="Hyperlink"/>
            <w:bCs/>
          </w:rPr>
          <w:t>xiv.</w:t>
        </w:r>
        <w:r>
          <w:rPr>
            <w:rFonts w:asciiTheme="minorHAnsi" w:eastAsiaTheme="minorEastAsia" w:hAnsiTheme="minorHAnsi"/>
            <w:iCs w:val="0"/>
            <w:kern w:val="2"/>
            <w:sz w:val="24"/>
            <w:szCs w:val="24"/>
            <w14:ligatures w14:val="standardContextual"/>
          </w:rPr>
          <w:tab/>
        </w:r>
        <w:r w:rsidRPr="009D7477">
          <w:rPr>
            <w:rStyle w:val="Hyperlink"/>
          </w:rPr>
          <w:t>Reporting</w:t>
        </w:r>
        <w:r>
          <w:rPr>
            <w:webHidden/>
          </w:rPr>
          <w:tab/>
        </w:r>
        <w:r>
          <w:rPr>
            <w:webHidden/>
          </w:rPr>
          <w:fldChar w:fldCharType="begin"/>
        </w:r>
        <w:r>
          <w:rPr>
            <w:webHidden/>
          </w:rPr>
          <w:instrText xml:space="preserve"> PAGEREF _Toc176864519 \h </w:instrText>
        </w:r>
        <w:r>
          <w:rPr>
            <w:webHidden/>
          </w:rPr>
        </w:r>
        <w:r>
          <w:rPr>
            <w:webHidden/>
          </w:rPr>
          <w:fldChar w:fldCharType="separate"/>
        </w:r>
        <w:r w:rsidR="001B6894">
          <w:rPr>
            <w:webHidden/>
          </w:rPr>
          <w:t>99</w:t>
        </w:r>
        <w:r>
          <w:rPr>
            <w:webHidden/>
          </w:rPr>
          <w:fldChar w:fldCharType="end"/>
        </w:r>
      </w:hyperlink>
    </w:p>
    <w:p w14:paraId="329B7FCD" w14:textId="22458EF1" w:rsidR="0015790A" w:rsidRDefault="0015790A">
      <w:pPr>
        <w:pStyle w:val="TOC3"/>
        <w:rPr>
          <w:rFonts w:asciiTheme="minorHAnsi" w:eastAsiaTheme="minorEastAsia" w:hAnsiTheme="minorHAnsi"/>
          <w:iCs w:val="0"/>
          <w:kern w:val="2"/>
          <w:sz w:val="24"/>
          <w:szCs w:val="24"/>
          <w14:ligatures w14:val="standardContextual"/>
        </w:rPr>
      </w:pPr>
      <w:hyperlink w:anchor="_Toc176864520" w:history="1">
        <w:r w:rsidRPr="009D7477">
          <w:rPr>
            <w:rStyle w:val="Hyperlink"/>
            <w:bCs/>
          </w:rPr>
          <w:t>xv.</w:t>
        </w:r>
        <w:r>
          <w:rPr>
            <w:rFonts w:asciiTheme="minorHAnsi" w:eastAsiaTheme="minorEastAsia" w:hAnsiTheme="minorHAnsi"/>
            <w:iCs w:val="0"/>
            <w:kern w:val="2"/>
            <w:sz w:val="24"/>
            <w:szCs w:val="24"/>
            <w14:ligatures w14:val="standardContextual"/>
          </w:rPr>
          <w:tab/>
        </w:r>
        <w:r w:rsidRPr="009D7477">
          <w:rPr>
            <w:rStyle w:val="Hyperlink"/>
          </w:rPr>
          <w:t>Go/No-Go Review</w:t>
        </w:r>
        <w:r>
          <w:rPr>
            <w:webHidden/>
          </w:rPr>
          <w:tab/>
        </w:r>
        <w:r>
          <w:rPr>
            <w:webHidden/>
          </w:rPr>
          <w:fldChar w:fldCharType="begin"/>
        </w:r>
        <w:r>
          <w:rPr>
            <w:webHidden/>
          </w:rPr>
          <w:instrText xml:space="preserve"> PAGEREF _Toc176864520 \h </w:instrText>
        </w:r>
        <w:r>
          <w:rPr>
            <w:webHidden/>
          </w:rPr>
        </w:r>
        <w:r>
          <w:rPr>
            <w:webHidden/>
          </w:rPr>
          <w:fldChar w:fldCharType="separate"/>
        </w:r>
        <w:r w:rsidR="001B6894">
          <w:rPr>
            <w:webHidden/>
          </w:rPr>
          <w:t>99</w:t>
        </w:r>
        <w:r>
          <w:rPr>
            <w:webHidden/>
          </w:rPr>
          <w:fldChar w:fldCharType="end"/>
        </w:r>
      </w:hyperlink>
    </w:p>
    <w:p w14:paraId="12829B9D" w14:textId="6FE901B6" w:rsidR="0015790A" w:rsidRDefault="0015790A">
      <w:pPr>
        <w:pStyle w:val="TOC3"/>
        <w:rPr>
          <w:rFonts w:asciiTheme="minorHAnsi" w:eastAsiaTheme="minorEastAsia" w:hAnsiTheme="minorHAnsi"/>
          <w:iCs w:val="0"/>
          <w:kern w:val="2"/>
          <w:sz w:val="24"/>
          <w:szCs w:val="24"/>
          <w14:ligatures w14:val="standardContextual"/>
        </w:rPr>
      </w:pPr>
      <w:hyperlink w:anchor="_Toc176864521" w:history="1">
        <w:r w:rsidRPr="009D7477">
          <w:rPr>
            <w:rStyle w:val="Hyperlink"/>
            <w:bCs/>
          </w:rPr>
          <w:t>xvi.</w:t>
        </w:r>
        <w:r>
          <w:rPr>
            <w:rFonts w:asciiTheme="minorHAnsi" w:eastAsiaTheme="minorEastAsia" w:hAnsiTheme="minorHAnsi"/>
            <w:iCs w:val="0"/>
            <w:kern w:val="2"/>
            <w:sz w:val="24"/>
            <w:szCs w:val="24"/>
            <w14:ligatures w14:val="standardContextual"/>
          </w:rPr>
          <w:tab/>
        </w:r>
        <w:r w:rsidRPr="009D7477">
          <w:rPr>
            <w:rStyle w:val="Hyperlink"/>
          </w:rPr>
          <w:t>Conference Spending</w:t>
        </w:r>
        <w:r>
          <w:rPr>
            <w:webHidden/>
          </w:rPr>
          <w:tab/>
        </w:r>
        <w:r>
          <w:rPr>
            <w:webHidden/>
          </w:rPr>
          <w:fldChar w:fldCharType="begin"/>
        </w:r>
        <w:r>
          <w:rPr>
            <w:webHidden/>
          </w:rPr>
          <w:instrText xml:space="preserve"> PAGEREF _Toc176864521 \h </w:instrText>
        </w:r>
        <w:r>
          <w:rPr>
            <w:webHidden/>
          </w:rPr>
        </w:r>
        <w:r>
          <w:rPr>
            <w:webHidden/>
          </w:rPr>
          <w:fldChar w:fldCharType="separate"/>
        </w:r>
        <w:r w:rsidR="001B6894">
          <w:rPr>
            <w:webHidden/>
          </w:rPr>
          <w:t>100</w:t>
        </w:r>
        <w:r>
          <w:rPr>
            <w:webHidden/>
          </w:rPr>
          <w:fldChar w:fldCharType="end"/>
        </w:r>
      </w:hyperlink>
    </w:p>
    <w:p w14:paraId="37989C18" w14:textId="1468E293" w:rsidR="0015790A" w:rsidRDefault="0015790A">
      <w:pPr>
        <w:pStyle w:val="TOC3"/>
        <w:rPr>
          <w:rFonts w:asciiTheme="minorHAnsi" w:eastAsiaTheme="minorEastAsia" w:hAnsiTheme="minorHAnsi"/>
          <w:iCs w:val="0"/>
          <w:kern w:val="2"/>
          <w:sz w:val="24"/>
          <w:szCs w:val="24"/>
          <w14:ligatures w14:val="standardContextual"/>
        </w:rPr>
      </w:pPr>
      <w:hyperlink w:anchor="_Toc176864522" w:history="1">
        <w:r w:rsidRPr="009D7477">
          <w:rPr>
            <w:rStyle w:val="Hyperlink"/>
            <w:bCs/>
          </w:rPr>
          <w:t>xvii.</w:t>
        </w:r>
        <w:r>
          <w:rPr>
            <w:rFonts w:asciiTheme="minorHAnsi" w:eastAsiaTheme="minorEastAsia" w:hAnsiTheme="minorHAnsi"/>
            <w:iCs w:val="0"/>
            <w:kern w:val="2"/>
            <w:sz w:val="24"/>
            <w:szCs w:val="24"/>
            <w14:ligatures w14:val="standardContextual"/>
          </w:rPr>
          <w:tab/>
        </w:r>
        <w:r w:rsidRPr="009D7477">
          <w:rPr>
            <w:rStyle w:val="Hyperlink"/>
          </w:rPr>
          <w:t>Uniform Commercial Code (UCC) Financing Statements</w:t>
        </w:r>
        <w:r>
          <w:rPr>
            <w:webHidden/>
          </w:rPr>
          <w:tab/>
        </w:r>
        <w:r>
          <w:rPr>
            <w:webHidden/>
          </w:rPr>
          <w:fldChar w:fldCharType="begin"/>
        </w:r>
        <w:r>
          <w:rPr>
            <w:webHidden/>
          </w:rPr>
          <w:instrText xml:space="preserve"> PAGEREF _Toc176864522 \h </w:instrText>
        </w:r>
        <w:r>
          <w:rPr>
            <w:webHidden/>
          </w:rPr>
        </w:r>
        <w:r>
          <w:rPr>
            <w:webHidden/>
          </w:rPr>
          <w:fldChar w:fldCharType="separate"/>
        </w:r>
        <w:r w:rsidR="001B6894">
          <w:rPr>
            <w:webHidden/>
          </w:rPr>
          <w:t>100</w:t>
        </w:r>
        <w:r>
          <w:rPr>
            <w:webHidden/>
          </w:rPr>
          <w:fldChar w:fldCharType="end"/>
        </w:r>
      </w:hyperlink>
    </w:p>
    <w:p w14:paraId="74A91830" w14:textId="346D0CF3" w:rsidR="0015790A" w:rsidRDefault="0015790A">
      <w:pPr>
        <w:pStyle w:val="TOC3"/>
        <w:rPr>
          <w:rFonts w:asciiTheme="minorHAnsi" w:eastAsiaTheme="minorEastAsia" w:hAnsiTheme="minorHAnsi"/>
          <w:iCs w:val="0"/>
          <w:kern w:val="2"/>
          <w:sz w:val="24"/>
          <w:szCs w:val="24"/>
          <w14:ligatures w14:val="standardContextual"/>
        </w:rPr>
      </w:pPr>
      <w:hyperlink w:anchor="_Toc176864523" w:history="1">
        <w:r w:rsidRPr="009D7477">
          <w:rPr>
            <w:rStyle w:val="Hyperlink"/>
            <w:bCs/>
          </w:rPr>
          <w:t>xviii.</w:t>
        </w:r>
        <w:r>
          <w:rPr>
            <w:rFonts w:asciiTheme="minorHAnsi" w:eastAsiaTheme="minorEastAsia" w:hAnsiTheme="minorHAnsi"/>
            <w:iCs w:val="0"/>
            <w:kern w:val="2"/>
            <w:sz w:val="24"/>
            <w:szCs w:val="24"/>
            <w14:ligatures w14:val="standardContextual"/>
          </w:rPr>
          <w:tab/>
        </w:r>
        <w:r w:rsidRPr="009D7477">
          <w:rPr>
            <w:rStyle w:val="Hyperlink"/>
          </w:rPr>
          <w:t>Real Property and Equipment</w:t>
        </w:r>
        <w:r>
          <w:rPr>
            <w:webHidden/>
          </w:rPr>
          <w:tab/>
        </w:r>
        <w:r>
          <w:rPr>
            <w:webHidden/>
          </w:rPr>
          <w:fldChar w:fldCharType="begin"/>
        </w:r>
        <w:r>
          <w:rPr>
            <w:webHidden/>
          </w:rPr>
          <w:instrText xml:space="preserve"> PAGEREF _Toc176864523 \h </w:instrText>
        </w:r>
        <w:r>
          <w:rPr>
            <w:webHidden/>
          </w:rPr>
        </w:r>
        <w:r>
          <w:rPr>
            <w:webHidden/>
          </w:rPr>
          <w:fldChar w:fldCharType="separate"/>
        </w:r>
        <w:r w:rsidR="001B6894">
          <w:rPr>
            <w:webHidden/>
          </w:rPr>
          <w:t>100</w:t>
        </w:r>
        <w:r>
          <w:rPr>
            <w:webHidden/>
          </w:rPr>
          <w:fldChar w:fldCharType="end"/>
        </w:r>
      </w:hyperlink>
    </w:p>
    <w:p w14:paraId="1611D09E" w14:textId="6BAECEE3" w:rsidR="0015790A" w:rsidRDefault="0015790A">
      <w:pPr>
        <w:pStyle w:val="TOC3"/>
        <w:rPr>
          <w:rFonts w:asciiTheme="minorHAnsi" w:eastAsiaTheme="minorEastAsia" w:hAnsiTheme="minorHAnsi"/>
          <w:iCs w:val="0"/>
          <w:kern w:val="2"/>
          <w:sz w:val="24"/>
          <w:szCs w:val="24"/>
          <w14:ligatures w14:val="standardContextual"/>
        </w:rPr>
      </w:pPr>
      <w:hyperlink w:anchor="_Toc176864524" w:history="1">
        <w:r w:rsidRPr="009D7477">
          <w:rPr>
            <w:rStyle w:val="Hyperlink"/>
            <w:bCs/>
          </w:rPr>
          <w:t>xix.</w:t>
        </w:r>
        <w:r>
          <w:rPr>
            <w:rFonts w:asciiTheme="minorHAnsi" w:eastAsiaTheme="minorEastAsia" w:hAnsiTheme="minorHAnsi"/>
            <w:iCs w:val="0"/>
            <w:kern w:val="2"/>
            <w:sz w:val="24"/>
            <w:szCs w:val="24"/>
            <w14:ligatures w14:val="standardContextual"/>
          </w:rPr>
          <w:tab/>
        </w:r>
        <w:r w:rsidRPr="009D7477">
          <w:rPr>
            <w:rStyle w:val="Hyperlink"/>
          </w:rPr>
          <w:t>Implementation of Executive Order 13798, Promoting Free Speech and Religious Liberty</w:t>
        </w:r>
        <w:r>
          <w:rPr>
            <w:webHidden/>
          </w:rPr>
          <w:tab/>
        </w:r>
        <w:r>
          <w:rPr>
            <w:webHidden/>
          </w:rPr>
          <w:fldChar w:fldCharType="begin"/>
        </w:r>
        <w:r>
          <w:rPr>
            <w:webHidden/>
          </w:rPr>
          <w:instrText xml:space="preserve"> PAGEREF _Toc176864524 \h </w:instrText>
        </w:r>
        <w:r>
          <w:rPr>
            <w:webHidden/>
          </w:rPr>
        </w:r>
        <w:r>
          <w:rPr>
            <w:webHidden/>
          </w:rPr>
          <w:fldChar w:fldCharType="separate"/>
        </w:r>
        <w:r w:rsidR="001B6894">
          <w:rPr>
            <w:webHidden/>
          </w:rPr>
          <w:t>101</w:t>
        </w:r>
        <w:r>
          <w:rPr>
            <w:webHidden/>
          </w:rPr>
          <w:fldChar w:fldCharType="end"/>
        </w:r>
      </w:hyperlink>
    </w:p>
    <w:p w14:paraId="447CF585" w14:textId="3FCFDEF9" w:rsidR="0015790A" w:rsidRDefault="0015790A">
      <w:pPr>
        <w:pStyle w:val="TOC3"/>
        <w:rPr>
          <w:rFonts w:asciiTheme="minorHAnsi" w:eastAsiaTheme="minorEastAsia" w:hAnsiTheme="minorHAnsi"/>
          <w:iCs w:val="0"/>
          <w:kern w:val="2"/>
          <w:sz w:val="24"/>
          <w:szCs w:val="24"/>
          <w14:ligatures w14:val="standardContextual"/>
        </w:rPr>
      </w:pPr>
      <w:hyperlink w:anchor="_Toc176864525" w:history="1">
        <w:r w:rsidRPr="009D7477">
          <w:rPr>
            <w:rStyle w:val="Hyperlink"/>
            <w:bCs/>
          </w:rPr>
          <w:t>xx.</w:t>
        </w:r>
        <w:r>
          <w:rPr>
            <w:rFonts w:asciiTheme="minorHAnsi" w:eastAsiaTheme="minorEastAsia" w:hAnsiTheme="minorHAnsi"/>
            <w:iCs w:val="0"/>
            <w:kern w:val="2"/>
            <w:sz w:val="24"/>
            <w:szCs w:val="24"/>
            <w14:ligatures w14:val="standardContextual"/>
          </w:rPr>
          <w:tab/>
        </w:r>
        <w:r w:rsidRPr="009D7477">
          <w:rPr>
            <w:rStyle w:val="Hyperlink"/>
          </w:rPr>
          <w:t>Participants and Collaborating Organizations</w:t>
        </w:r>
        <w:r>
          <w:rPr>
            <w:webHidden/>
          </w:rPr>
          <w:tab/>
        </w:r>
        <w:r>
          <w:rPr>
            <w:webHidden/>
          </w:rPr>
          <w:fldChar w:fldCharType="begin"/>
        </w:r>
        <w:r>
          <w:rPr>
            <w:webHidden/>
          </w:rPr>
          <w:instrText xml:space="preserve"> PAGEREF _Toc176864525 \h </w:instrText>
        </w:r>
        <w:r>
          <w:rPr>
            <w:webHidden/>
          </w:rPr>
        </w:r>
        <w:r>
          <w:rPr>
            <w:webHidden/>
          </w:rPr>
          <w:fldChar w:fldCharType="separate"/>
        </w:r>
        <w:r w:rsidR="001B6894">
          <w:rPr>
            <w:webHidden/>
          </w:rPr>
          <w:t>101</w:t>
        </w:r>
        <w:r>
          <w:rPr>
            <w:webHidden/>
          </w:rPr>
          <w:fldChar w:fldCharType="end"/>
        </w:r>
      </w:hyperlink>
    </w:p>
    <w:p w14:paraId="08E3CB08" w14:textId="20867258" w:rsidR="0015790A" w:rsidRDefault="0015790A">
      <w:pPr>
        <w:pStyle w:val="TOC3"/>
        <w:rPr>
          <w:rFonts w:asciiTheme="minorHAnsi" w:eastAsiaTheme="minorEastAsia" w:hAnsiTheme="minorHAnsi"/>
          <w:iCs w:val="0"/>
          <w:kern w:val="2"/>
          <w:sz w:val="24"/>
          <w:szCs w:val="24"/>
          <w14:ligatures w14:val="standardContextual"/>
        </w:rPr>
      </w:pPr>
      <w:hyperlink w:anchor="_Toc176864526" w:history="1">
        <w:r w:rsidRPr="009D7477">
          <w:rPr>
            <w:rStyle w:val="Hyperlink"/>
            <w:bCs/>
          </w:rPr>
          <w:t>xxi.</w:t>
        </w:r>
        <w:r>
          <w:rPr>
            <w:rFonts w:asciiTheme="minorHAnsi" w:eastAsiaTheme="minorEastAsia" w:hAnsiTheme="minorHAnsi"/>
            <w:iCs w:val="0"/>
            <w:kern w:val="2"/>
            <w:sz w:val="24"/>
            <w:szCs w:val="24"/>
            <w14:ligatures w14:val="standardContextual"/>
          </w:rPr>
          <w:tab/>
        </w:r>
        <w:r w:rsidRPr="009D7477">
          <w:rPr>
            <w:rStyle w:val="Hyperlink"/>
          </w:rPr>
          <w:t>Current and Pending Support</w:t>
        </w:r>
        <w:r>
          <w:rPr>
            <w:webHidden/>
          </w:rPr>
          <w:tab/>
        </w:r>
        <w:r>
          <w:rPr>
            <w:webHidden/>
          </w:rPr>
          <w:fldChar w:fldCharType="begin"/>
        </w:r>
        <w:r>
          <w:rPr>
            <w:webHidden/>
          </w:rPr>
          <w:instrText xml:space="preserve"> PAGEREF _Toc176864526 \h </w:instrText>
        </w:r>
        <w:r>
          <w:rPr>
            <w:webHidden/>
          </w:rPr>
        </w:r>
        <w:r>
          <w:rPr>
            <w:webHidden/>
          </w:rPr>
          <w:fldChar w:fldCharType="separate"/>
        </w:r>
        <w:r w:rsidR="001B6894">
          <w:rPr>
            <w:webHidden/>
          </w:rPr>
          <w:t>101</w:t>
        </w:r>
        <w:r>
          <w:rPr>
            <w:webHidden/>
          </w:rPr>
          <w:fldChar w:fldCharType="end"/>
        </w:r>
      </w:hyperlink>
    </w:p>
    <w:p w14:paraId="25F0B1F9" w14:textId="29C2089B" w:rsidR="0015790A" w:rsidRDefault="0015790A">
      <w:pPr>
        <w:pStyle w:val="TOC3"/>
        <w:rPr>
          <w:rFonts w:asciiTheme="minorHAnsi" w:eastAsiaTheme="minorEastAsia" w:hAnsiTheme="minorHAnsi"/>
          <w:iCs w:val="0"/>
          <w:kern w:val="2"/>
          <w:sz w:val="24"/>
          <w:szCs w:val="24"/>
          <w14:ligatures w14:val="standardContextual"/>
        </w:rPr>
      </w:pPr>
      <w:hyperlink w:anchor="_Toc176864527" w:history="1">
        <w:r w:rsidRPr="009D7477">
          <w:rPr>
            <w:rStyle w:val="Hyperlink"/>
            <w:bCs/>
          </w:rPr>
          <w:t>xxii.</w:t>
        </w:r>
        <w:r>
          <w:rPr>
            <w:rFonts w:asciiTheme="minorHAnsi" w:eastAsiaTheme="minorEastAsia" w:hAnsiTheme="minorHAnsi"/>
            <w:iCs w:val="0"/>
            <w:kern w:val="2"/>
            <w:sz w:val="24"/>
            <w:szCs w:val="24"/>
            <w14:ligatures w14:val="standardContextual"/>
          </w:rPr>
          <w:tab/>
        </w:r>
        <w:r w:rsidRPr="009D7477">
          <w:rPr>
            <w:rStyle w:val="Hyperlink"/>
          </w:rPr>
          <w:t>U.S. Manufacturing Commitments</w:t>
        </w:r>
        <w:r>
          <w:rPr>
            <w:webHidden/>
          </w:rPr>
          <w:tab/>
        </w:r>
        <w:r>
          <w:rPr>
            <w:webHidden/>
          </w:rPr>
          <w:fldChar w:fldCharType="begin"/>
        </w:r>
        <w:r>
          <w:rPr>
            <w:webHidden/>
          </w:rPr>
          <w:instrText xml:space="preserve"> PAGEREF _Toc176864527 \h </w:instrText>
        </w:r>
        <w:r>
          <w:rPr>
            <w:webHidden/>
          </w:rPr>
        </w:r>
        <w:r>
          <w:rPr>
            <w:webHidden/>
          </w:rPr>
          <w:fldChar w:fldCharType="separate"/>
        </w:r>
        <w:r w:rsidR="001B6894">
          <w:rPr>
            <w:webHidden/>
          </w:rPr>
          <w:t>102</w:t>
        </w:r>
        <w:r>
          <w:rPr>
            <w:webHidden/>
          </w:rPr>
          <w:fldChar w:fldCharType="end"/>
        </w:r>
      </w:hyperlink>
    </w:p>
    <w:p w14:paraId="1DE85C8D" w14:textId="52D935D0" w:rsidR="0015790A" w:rsidRDefault="0015790A">
      <w:pPr>
        <w:pStyle w:val="TOC3"/>
        <w:rPr>
          <w:rFonts w:asciiTheme="minorHAnsi" w:eastAsiaTheme="minorEastAsia" w:hAnsiTheme="minorHAnsi"/>
          <w:iCs w:val="0"/>
          <w:kern w:val="2"/>
          <w:sz w:val="24"/>
          <w:szCs w:val="24"/>
          <w14:ligatures w14:val="standardContextual"/>
        </w:rPr>
      </w:pPr>
      <w:hyperlink w:anchor="_Toc176864528" w:history="1">
        <w:r w:rsidRPr="009D7477">
          <w:rPr>
            <w:rStyle w:val="Hyperlink"/>
            <w:bCs/>
          </w:rPr>
          <w:t>xxiii.</w:t>
        </w:r>
        <w:r>
          <w:rPr>
            <w:rFonts w:asciiTheme="minorHAnsi" w:eastAsiaTheme="minorEastAsia" w:hAnsiTheme="minorHAnsi"/>
            <w:iCs w:val="0"/>
            <w:kern w:val="2"/>
            <w:sz w:val="24"/>
            <w:szCs w:val="24"/>
            <w14:ligatures w14:val="standardContextual"/>
          </w:rPr>
          <w:tab/>
        </w:r>
        <w:r w:rsidRPr="009D7477">
          <w:rPr>
            <w:rStyle w:val="Hyperlink"/>
          </w:rPr>
          <w:t>Interim Conflict of Interest Policy for Financial Assistance</w:t>
        </w:r>
        <w:r>
          <w:rPr>
            <w:webHidden/>
          </w:rPr>
          <w:tab/>
        </w:r>
        <w:r>
          <w:rPr>
            <w:webHidden/>
          </w:rPr>
          <w:fldChar w:fldCharType="begin"/>
        </w:r>
        <w:r>
          <w:rPr>
            <w:webHidden/>
          </w:rPr>
          <w:instrText xml:space="preserve"> PAGEREF _Toc176864528 \h </w:instrText>
        </w:r>
        <w:r>
          <w:rPr>
            <w:webHidden/>
          </w:rPr>
        </w:r>
        <w:r>
          <w:rPr>
            <w:webHidden/>
          </w:rPr>
          <w:fldChar w:fldCharType="separate"/>
        </w:r>
        <w:r w:rsidR="001B6894">
          <w:rPr>
            <w:webHidden/>
          </w:rPr>
          <w:t>103</w:t>
        </w:r>
        <w:r>
          <w:rPr>
            <w:webHidden/>
          </w:rPr>
          <w:fldChar w:fldCharType="end"/>
        </w:r>
      </w:hyperlink>
    </w:p>
    <w:p w14:paraId="76333E73" w14:textId="77F67E67" w:rsidR="0015790A" w:rsidRDefault="0015790A">
      <w:pPr>
        <w:pStyle w:val="TOC3"/>
        <w:rPr>
          <w:rFonts w:asciiTheme="minorHAnsi" w:eastAsiaTheme="minorEastAsia" w:hAnsiTheme="minorHAnsi"/>
          <w:iCs w:val="0"/>
          <w:kern w:val="2"/>
          <w:sz w:val="24"/>
          <w:szCs w:val="24"/>
          <w14:ligatures w14:val="standardContextual"/>
        </w:rPr>
      </w:pPr>
      <w:hyperlink w:anchor="_Toc176864529" w:history="1">
        <w:r w:rsidRPr="009D7477">
          <w:rPr>
            <w:rStyle w:val="Hyperlink"/>
            <w:bCs/>
          </w:rPr>
          <w:t>xxiv.</w:t>
        </w:r>
        <w:r>
          <w:rPr>
            <w:rFonts w:asciiTheme="minorHAnsi" w:eastAsiaTheme="minorEastAsia" w:hAnsiTheme="minorHAnsi"/>
            <w:iCs w:val="0"/>
            <w:kern w:val="2"/>
            <w:sz w:val="24"/>
            <w:szCs w:val="24"/>
            <w14:ligatures w14:val="standardContextual"/>
          </w:rPr>
          <w:tab/>
        </w:r>
        <w:r w:rsidRPr="009D7477">
          <w:rPr>
            <w:rStyle w:val="Hyperlink"/>
          </w:rPr>
          <w:t>Data Management Plan</w:t>
        </w:r>
        <w:r>
          <w:rPr>
            <w:webHidden/>
          </w:rPr>
          <w:tab/>
        </w:r>
        <w:r>
          <w:rPr>
            <w:webHidden/>
          </w:rPr>
          <w:fldChar w:fldCharType="begin"/>
        </w:r>
        <w:r>
          <w:rPr>
            <w:webHidden/>
          </w:rPr>
          <w:instrText xml:space="preserve"> PAGEREF _Toc176864529 \h </w:instrText>
        </w:r>
        <w:r>
          <w:rPr>
            <w:webHidden/>
          </w:rPr>
        </w:r>
        <w:r>
          <w:rPr>
            <w:webHidden/>
          </w:rPr>
          <w:fldChar w:fldCharType="separate"/>
        </w:r>
        <w:r w:rsidR="001B6894">
          <w:rPr>
            <w:webHidden/>
          </w:rPr>
          <w:t>104</w:t>
        </w:r>
        <w:r>
          <w:rPr>
            <w:webHidden/>
          </w:rPr>
          <w:fldChar w:fldCharType="end"/>
        </w:r>
      </w:hyperlink>
    </w:p>
    <w:p w14:paraId="26EFA895" w14:textId="5B455DB7" w:rsidR="0015790A" w:rsidRDefault="0015790A">
      <w:pPr>
        <w:pStyle w:val="TOC3"/>
        <w:rPr>
          <w:rFonts w:asciiTheme="minorHAnsi" w:eastAsiaTheme="minorEastAsia" w:hAnsiTheme="minorHAnsi"/>
          <w:iCs w:val="0"/>
          <w:kern w:val="2"/>
          <w:sz w:val="24"/>
          <w:szCs w:val="24"/>
          <w14:ligatures w14:val="standardContextual"/>
        </w:rPr>
      </w:pPr>
      <w:hyperlink w:anchor="_Toc176864530" w:history="1">
        <w:r w:rsidRPr="009D7477">
          <w:rPr>
            <w:rStyle w:val="Hyperlink"/>
            <w:bCs/>
          </w:rPr>
          <w:t>xxv.</w:t>
        </w:r>
        <w:r>
          <w:rPr>
            <w:rFonts w:asciiTheme="minorHAnsi" w:eastAsiaTheme="minorEastAsia" w:hAnsiTheme="minorHAnsi"/>
            <w:iCs w:val="0"/>
            <w:kern w:val="2"/>
            <w:sz w:val="24"/>
            <w:szCs w:val="24"/>
            <w14:ligatures w14:val="standardContextual"/>
          </w:rPr>
          <w:tab/>
        </w:r>
        <w:r w:rsidRPr="009D7477">
          <w:rPr>
            <w:rStyle w:val="Hyperlink"/>
          </w:rPr>
          <w:t>Fraud, Waste, and Abuse</w:t>
        </w:r>
        <w:r>
          <w:rPr>
            <w:webHidden/>
          </w:rPr>
          <w:tab/>
        </w:r>
        <w:r>
          <w:rPr>
            <w:webHidden/>
          </w:rPr>
          <w:fldChar w:fldCharType="begin"/>
        </w:r>
        <w:r>
          <w:rPr>
            <w:webHidden/>
          </w:rPr>
          <w:instrText xml:space="preserve"> PAGEREF _Toc176864530 \h </w:instrText>
        </w:r>
        <w:r>
          <w:rPr>
            <w:webHidden/>
          </w:rPr>
        </w:r>
        <w:r>
          <w:rPr>
            <w:webHidden/>
          </w:rPr>
          <w:fldChar w:fldCharType="separate"/>
        </w:r>
        <w:r w:rsidR="001B6894">
          <w:rPr>
            <w:webHidden/>
          </w:rPr>
          <w:t>104</w:t>
        </w:r>
        <w:r>
          <w:rPr>
            <w:webHidden/>
          </w:rPr>
          <w:fldChar w:fldCharType="end"/>
        </w:r>
      </w:hyperlink>
    </w:p>
    <w:p w14:paraId="532317B2" w14:textId="34773763" w:rsidR="0015790A" w:rsidRDefault="0015790A">
      <w:pPr>
        <w:pStyle w:val="TOC3"/>
        <w:rPr>
          <w:rFonts w:asciiTheme="minorHAnsi" w:eastAsiaTheme="minorEastAsia" w:hAnsiTheme="minorHAnsi"/>
          <w:iCs w:val="0"/>
          <w:kern w:val="2"/>
          <w:sz w:val="24"/>
          <w:szCs w:val="24"/>
          <w14:ligatures w14:val="standardContextual"/>
        </w:rPr>
      </w:pPr>
      <w:hyperlink w:anchor="_Toc176864531" w:history="1">
        <w:r w:rsidRPr="009D7477">
          <w:rPr>
            <w:rStyle w:val="Hyperlink"/>
            <w:bCs/>
          </w:rPr>
          <w:t>xxvi.</w:t>
        </w:r>
        <w:r>
          <w:rPr>
            <w:rFonts w:asciiTheme="minorHAnsi" w:eastAsiaTheme="minorEastAsia" w:hAnsiTheme="minorHAnsi"/>
            <w:iCs w:val="0"/>
            <w:kern w:val="2"/>
            <w:sz w:val="24"/>
            <w:szCs w:val="24"/>
            <w14:ligatures w14:val="standardContextual"/>
          </w:rPr>
          <w:tab/>
        </w:r>
        <w:r w:rsidRPr="009D7477">
          <w:rPr>
            <w:rStyle w:val="Hyperlink"/>
          </w:rPr>
          <w:t>Human Subjects Research</w:t>
        </w:r>
        <w:r>
          <w:rPr>
            <w:webHidden/>
          </w:rPr>
          <w:tab/>
        </w:r>
        <w:r>
          <w:rPr>
            <w:webHidden/>
          </w:rPr>
          <w:fldChar w:fldCharType="begin"/>
        </w:r>
        <w:r>
          <w:rPr>
            <w:webHidden/>
          </w:rPr>
          <w:instrText xml:space="preserve"> PAGEREF _Toc176864531 \h </w:instrText>
        </w:r>
        <w:r>
          <w:rPr>
            <w:webHidden/>
          </w:rPr>
        </w:r>
        <w:r>
          <w:rPr>
            <w:webHidden/>
          </w:rPr>
          <w:fldChar w:fldCharType="separate"/>
        </w:r>
        <w:r w:rsidR="001B6894">
          <w:rPr>
            <w:webHidden/>
          </w:rPr>
          <w:t>105</w:t>
        </w:r>
        <w:r>
          <w:rPr>
            <w:webHidden/>
          </w:rPr>
          <w:fldChar w:fldCharType="end"/>
        </w:r>
      </w:hyperlink>
    </w:p>
    <w:p w14:paraId="0450F104" w14:textId="4AF6FA36" w:rsidR="0015790A" w:rsidRDefault="0015790A">
      <w:pPr>
        <w:pStyle w:val="TOC2"/>
        <w:rPr>
          <w:rFonts w:eastAsiaTheme="minorEastAsia"/>
          <w:noProof/>
          <w:kern w:val="2"/>
          <w:sz w:val="24"/>
          <w:szCs w:val="24"/>
          <w14:ligatures w14:val="standardContextual"/>
        </w:rPr>
      </w:pPr>
      <w:hyperlink w:anchor="_Toc176864532"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Program Down-Select</w:t>
        </w:r>
        <w:r>
          <w:rPr>
            <w:noProof/>
            <w:webHidden/>
          </w:rPr>
          <w:tab/>
        </w:r>
        <w:r>
          <w:rPr>
            <w:noProof/>
            <w:webHidden/>
          </w:rPr>
          <w:fldChar w:fldCharType="begin"/>
        </w:r>
        <w:r>
          <w:rPr>
            <w:noProof/>
            <w:webHidden/>
          </w:rPr>
          <w:instrText xml:space="preserve"> PAGEREF _Toc176864532 \h </w:instrText>
        </w:r>
        <w:r>
          <w:rPr>
            <w:noProof/>
            <w:webHidden/>
          </w:rPr>
        </w:r>
        <w:r>
          <w:rPr>
            <w:noProof/>
            <w:webHidden/>
          </w:rPr>
          <w:fldChar w:fldCharType="separate"/>
        </w:r>
        <w:r w:rsidR="001B6894">
          <w:rPr>
            <w:noProof/>
            <w:webHidden/>
          </w:rPr>
          <w:t>105</w:t>
        </w:r>
        <w:r>
          <w:rPr>
            <w:noProof/>
            <w:webHidden/>
          </w:rPr>
          <w:fldChar w:fldCharType="end"/>
        </w:r>
      </w:hyperlink>
    </w:p>
    <w:p w14:paraId="303AE8C4" w14:textId="45CB5360" w:rsidR="0015790A" w:rsidRDefault="0015790A">
      <w:pPr>
        <w:pStyle w:val="TOC1"/>
        <w:rPr>
          <w:rFonts w:eastAsiaTheme="minorEastAsia"/>
          <w:b w:val="0"/>
          <w:bCs w:val="0"/>
          <w:noProof/>
          <w:kern w:val="2"/>
          <w:sz w:val="24"/>
          <w:szCs w:val="24"/>
          <w14:ligatures w14:val="standardContextual"/>
        </w:rPr>
      </w:pPr>
      <w:hyperlink w:anchor="_Toc176864533" w:history="1">
        <w:r w:rsidRPr="009D7477">
          <w:rPr>
            <w:rStyle w:val="Hyperlink"/>
            <w:smallCaps/>
            <w:noProof/>
          </w:rPr>
          <w:t>VII.</w:t>
        </w:r>
        <w:r>
          <w:rPr>
            <w:rFonts w:eastAsiaTheme="minorEastAsia"/>
            <w:b w:val="0"/>
            <w:bCs w:val="0"/>
            <w:noProof/>
            <w:kern w:val="2"/>
            <w:sz w:val="24"/>
            <w:szCs w:val="24"/>
            <w14:ligatures w14:val="standardContextual"/>
          </w:rPr>
          <w:tab/>
        </w:r>
        <w:r w:rsidRPr="009D7477">
          <w:rPr>
            <w:rStyle w:val="Hyperlink"/>
            <w:noProof/>
          </w:rPr>
          <w:t>Questions/Agency Contacts</w:t>
        </w:r>
        <w:r>
          <w:rPr>
            <w:noProof/>
            <w:webHidden/>
          </w:rPr>
          <w:tab/>
        </w:r>
        <w:r>
          <w:rPr>
            <w:noProof/>
            <w:webHidden/>
          </w:rPr>
          <w:fldChar w:fldCharType="begin"/>
        </w:r>
        <w:r>
          <w:rPr>
            <w:noProof/>
            <w:webHidden/>
          </w:rPr>
          <w:instrText xml:space="preserve"> PAGEREF _Toc176864533 \h </w:instrText>
        </w:r>
        <w:r>
          <w:rPr>
            <w:noProof/>
            <w:webHidden/>
          </w:rPr>
        </w:r>
        <w:r>
          <w:rPr>
            <w:noProof/>
            <w:webHidden/>
          </w:rPr>
          <w:fldChar w:fldCharType="separate"/>
        </w:r>
        <w:r w:rsidR="001B6894">
          <w:rPr>
            <w:noProof/>
            <w:webHidden/>
          </w:rPr>
          <w:t>106</w:t>
        </w:r>
        <w:r>
          <w:rPr>
            <w:noProof/>
            <w:webHidden/>
          </w:rPr>
          <w:fldChar w:fldCharType="end"/>
        </w:r>
      </w:hyperlink>
    </w:p>
    <w:p w14:paraId="5F007786" w14:textId="53D2014F" w:rsidR="0015790A" w:rsidRDefault="0015790A">
      <w:pPr>
        <w:pStyle w:val="TOC1"/>
        <w:rPr>
          <w:rFonts w:eastAsiaTheme="minorEastAsia"/>
          <w:b w:val="0"/>
          <w:bCs w:val="0"/>
          <w:noProof/>
          <w:kern w:val="2"/>
          <w:sz w:val="24"/>
          <w:szCs w:val="24"/>
          <w14:ligatures w14:val="standardContextual"/>
        </w:rPr>
      </w:pPr>
      <w:hyperlink w:anchor="_Toc176864534" w:history="1">
        <w:r w:rsidRPr="009D7477">
          <w:rPr>
            <w:rStyle w:val="Hyperlink"/>
            <w:smallCaps/>
            <w:noProof/>
          </w:rPr>
          <w:t>VIII.</w:t>
        </w:r>
        <w:r>
          <w:rPr>
            <w:rFonts w:eastAsiaTheme="minorEastAsia"/>
            <w:b w:val="0"/>
            <w:bCs w:val="0"/>
            <w:noProof/>
            <w:kern w:val="2"/>
            <w:sz w:val="24"/>
            <w:szCs w:val="24"/>
            <w14:ligatures w14:val="standardContextual"/>
          </w:rPr>
          <w:tab/>
        </w:r>
        <w:r w:rsidRPr="009D7477">
          <w:rPr>
            <w:rStyle w:val="Hyperlink"/>
            <w:noProof/>
          </w:rPr>
          <w:t>Other Information</w:t>
        </w:r>
        <w:r>
          <w:rPr>
            <w:noProof/>
            <w:webHidden/>
          </w:rPr>
          <w:tab/>
        </w:r>
        <w:r>
          <w:rPr>
            <w:noProof/>
            <w:webHidden/>
          </w:rPr>
          <w:fldChar w:fldCharType="begin"/>
        </w:r>
        <w:r>
          <w:rPr>
            <w:noProof/>
            <w:webHidden/>
          </w:rPr>
          <w:instrText xml:space="preserve"> PAGEREF _Toc176864534 \h </w:instrText>
        </w:r>
        <w:r>
          <w:rPr>
            <w:noProof/>
            <w:webHidden/>
          </w:rPr>
        </w:r>
        <w:r>
          <w:rPr>
            <w:noProof/>
            <w:webHidden/>
          </w:rPr>
          <w:fldChar w:fldCharType="separate"/>
        </w:r>
        <w:r w:rsidR="001B6894">
          <w:rPr>
            <w:noProof/>
            <w:webHidden/>
          </w:rPr>
          <w:t>106</w:t>
        </w:r>
        <w:r>
          <w:rPr>
            <w:noProof/>
            <w:webHidden/>
          </w:rPr>
          <w:fldChar w:fldCharType="end"/>
        </w:r>
      </w:hyperlink>
    </w:p>
    <w:p w14:paraId="2FF64518" w14:textId="3757B31D" w:rsidR="0015790A" w:rsidRDefault="0015790A">
      <w:pPr>
        <w:pStyle w:val="TOC2"/>
        <w:rPr>
          <w:rFonts w:eastAsiaTheme="minorEastAsia"/>
          <w:noProof/>
          <w:kern w:val="2"/>
          <w:sz w:val="24"/>
          <w:szCs w:val="24"/>
          <w14:ligatures w14:val="standardContextual"/>
        </w:rPr>
      </w:pPr>
      <w:hyperlink w:anchor="_Toc176864535" w:history="1">
        <w:r w:rsidRPr="009D7477">
          <w:rPr>
            <w:rStyle w:val="Hyperlink"/>
            <w:noProof/>
          </w:rPr>
          <w:t>A.</w:t>
        </w:r>
        <w:r>
          <w:rPr>
            <w:rFonts w:eastAsiaTheme="minorEastAsia"/>
            <w:noProof/>
            <w:kern w:val="2"/>
            <w:sz w:val="24"/>
            <w:szCs w:val="24"/>
            <w14:ligatures w14:val="standardContextual"/>
          </w:rPr>
          <w:tab/>
        </w:r>
        <w:r w:rsidRPr="009D7477">
          <w:rPr>
            <w:rStyle w:val="Hyperlink"/>
            <w:noProof/>
          </w:rPr>
          <w:t>FOA Modifications</w:t>
        </w:r>
        <w:r>
          <w:rPr>
            <w:noProof/>
            <w:webHidden/>
          </w:rPr>
          <w:tab/>
        </w:r>
        <w:r>
          <w:rPr>
            <w:noProof/>
            <w:webHidden/>
          </w:rPr>
          <w:fldChar w:fldCharType="begin"/>
        </w:r>
        <w:r>
          <w:rPr>
            <w:noProof/>
            <w:webHidden/>
          </w:rPr>
          <w:instrText xml:space="preserve"> PAGEREF _Toc176864535 \h </w:instrText>
        </w:r>
        <w:r>
          <w:rPr>
            <w:noProof/>
            <w:webHidden/>
          </w:rPr>
        </w:r>
        <w:r>
          <w:rPr>
            <w:noProof/>
            <w:webHidden/>
          </w:rPr>
          <w:fldChar w:fldCharType="separate"/>
        </w:r>
        <w:r w:rsidR="001B6894">
          <w:rPr>
            <w:noProof/>
            <w:webHidden/>
          </w:rPr>
          <w:t>106</w:t>
        </w:r>
        <w:r>
          <w:rPr>
            <w:noProof/>
            <w:webHidden/>
          </w:rPr>
          <w:fldChar w:fldCharType="end"/>
        </w:r>
      </w:hyperlink>
    </w:p>
    <w:p w14:paraId="15C57566" w14:textId="3F4A1838" w:rsidR="0015790A" w:rsidRDefault="0015790A">
      <w:pPr>
        <w:pStyle w:val="TOC2"/>
        <w:rPr>
          <w:rFonts w:eastAsiaTheme="minorEastAsia"/>
          <w:noProof/>
          <w:kern w:val="2"/>
          <w:sz w:val="24"/>
          <w:szCs w:val="24"/>
          <w14:ligatures w14:val="standardContextual"/>
        </w:rPr>
      </w:pPr>
      <w:hyperlink w:anchor="_Toc176864536" w:history="1">
        <w:r w:rsidRPr="009D7477">
          <w:rPr>
            <w:rStyle w:val="Hyperlink"/>
            <w:noProof/>
          </w:rPr>
          <w:t>B.</w:t>
        </w:r>
        <w:r>
          <w:rPr>
            <w:rFonts w:eastAsiaTheme="minorEastAsia"/>
            <w:noProof/>
            <w:kern w:val="2"/>
            <w:sz w:val="24"/>
            <w:szCs w:val="24"/>
            <w14:ligatures w14:val="standardContextual"/>
          </w:rPr>
          <w:tab/>
        </w:r>
        <w:r w:rsidRPr="009D7477">
          <w:rPr>
            <w:rStyle w:val="Hyperlink"/>
            <w:noProof/>
          </w:rPr>
          <w:t>Government Right to Reject or Negotiate</w:t>
        </w:r>
        <w:r>
          <w:rPr>
            <w:noProof/>
            <w:webHidden/>
          </w:rPr>
          <w:tab/>
        </w:r>
        <w:r>
          <w:rPr>
            <w:noProof/>
            <w:webHidden/>
          </w:rPr>
          <w:fldChar w:fldCharType="begin"/>
        </w:r>
        <w:r>
          <w:rPr>
            <w:noProof/>
            <w:webHidden/>
          </w:rPr>
          <w:instrText xml:space="preserve"> PAGEREF _Toc176864536 \h </w:instrText>
        </w:r>
        <w:r>
          <w:rPr>
            <w:noProof/>
            <w:webHidden/>
          </w:rPr>
        </w:r>
        <w:r>
          <w:rPr>
            <w:noProof/>
            <w:webHidden/>
          </w:rPr>
          <w:fldChar w:fldCharType="separate"/>
        </w:r>
        <w:r w:rsidR="001B6894">
          <w:rPr>
            <w:noProof/>
            <w:webHidden/>
          </w:rPr>
          <w:t>106</w:t>
        </w:r>
        <w:r>
          <w:rPr>
            <w:noProof/>
            <w:webHidden/>
          </w:rPr>
          <w:fldChar w:fldCharType="end"/>
        </w:r>
      </w:hyperlink>
    </w:p>
    <w:p w14:paraId="53358F10" w14:textId="638E55A5" w:rsidR="0015790A" w:rsidRDefault="0015790A">
      <w:pPr>
        <w:pStyle w:val="TOC2"/>
        <w:rPr>
          <w:rFonts w:eastAsiaTheme="minorEastAsia"/>
          <w:noProof/>
          <w:kern w:val="2"/>
          <w:sz w:val="24"/>
          <w:szCs w:val="24"/>
          <w14:ligatures w14:val="standardContextual"/>
        </w:rPr>
      </w:pPr>
      <w:hyperlink w:anchor="_Toc176864537" w:history="1">
        <w:r w:rsidRPr="009D7477">
          <w:rPr>
            <w:rStyle w:val="Hyperlink"/>
            <w:noProof/>
          </w:rPr>
          <w:t>C.</w:t>
        </w:r>
        <w:r>
          <w:rPr>
            <w:rFonts w:eastAsiaTheme="minorEastAsia"/>
            <w:noProof/>
            <w:kern w:val="2"/>
            <w:sz w:val="24"/>
            <w:szCs w:val="24"/>
            <w14:ligatures w14:val="standardContextual"/>
          </w:rPr>
          <w:tab/>
        </w:r>
        <w:r w:rsidRPr="009D7477">
          <w:rPr>
            <w:rStyle w:val="Hyperlink"/>
            <w:noProof/>
          </w:rPr>
          <w:t>Commitment of Public Funds</w:t>
        </w:r>
        <w:r>
          <w:rPr>
            <w:noProof/>
            <w:webHidden/>
          </w:rPr>
          <w:tab/>
        </w:r>
        <w:r>
          <w:rPr>
            <w:noProof/>
            <w:webHidden/>
          </w:rPr>
          <w:fldChar w:fldCharType="begin"/>
        </w:r>
        <w:r>
          <w:rPr>
            <w:noProof/>
            <w:webHidden/>
          </w:rPr>
          <w:instrText xml:space="preserve"> PAGEREF _Toc176864537 \h </w:instrText>
        </w:r>
        <w:r>
          <w:rPr>
            <w:noProof/>
            <w:webHidden/>
          </w:rPr>
        </w:r>
        <w:r>
          <w:rPr>
            <w:noProof/>
            <w:webHidden/>
          </w:rPr>
          <w:fldChar w:fldCharType="separate"/>
        </w:r>
        <w:r w:rsidR="001B6894">
          <w:rPr>
            <w:noProof/>
            <w:webHidden/>
          </w:rPr>
          <w:t>107</w:t>
        </w:r>
        <w:r>
          <w:rPr>
            <w:noProof/>
            <w:webHidden/>
          </w:rPr>
          <w:fldChar w:fldCharType="end"/>
        </w:r>
      </w:hyperlink>
    </w:p>
    <w:p w14:paraId="48BE3DD1" w14:textId="380D9858" w:rsidR="0015790A" w:rsidRDefault="0015790A">
      <w:pPr>
        <w:pStyle w:val="TOC2"/>
        <w:rPr>
          <w:rFonts w:eastAsiaTheme="minorEastAsia"/>
          <w:noProof/>
          <w:kern w:val="2"/>
          <w:sz w:val="24"/>
          <w:szCs w:val="24"/>
          <w14:ligatures w14:val="standardContextual"/>
        </w:rPr>
      </w:pPr>
      <w:hyperlink w:anchor="_Toc176864538" w:history="1">
        <w:r w:rsidRPr="009D7477">
          <w:rPr>
            <w:rStyle w:val="Hyperlink"/>
            <w:noProof/>
          </w:rPr>
          <w:t>D.</w:t>
        </w:r>
        <w:r>
          <w:rPr>
            <w:rFonts w:eastAsiaTheme="minorEastAsia"/>
            <w:noProof/>
            <w:kern w:val="2"/>
            <w:sz w:val="24"/>
            <w:szCs w:val="24"/>
            <w14:ligatures w14:val="standardContextual"/>
          </w:rPr>
          <w:tab/>
        </w:r>
        <w:r w:rsidRPr="009D7477">
          <w:rPr>
            <w:rStyle w:val="Hyperlink"/>
            <w:noProof/>
          </w:rPr>
          <w:t>Treatment of Application Information</w:t>
        </w:r>
        <w:r>
          <w:rPr>
            <w:noProof/>
            <w:webHidden/>
          </w:rPr>
          <w:tab/>
        </w:r>
        <w:r>
          <w:rPr>
            <w:noProof/>
            <w:webHidden/>
          </w:rPr>
          <w:fldChar w:fldCharType="begin"/>
        </w:r>
        <w:r>
          <w:rPr>
            <w:noProof/>
            <w:webHidden/>
          </w:rPr>
          <w:instrText xml:space="preserve"> PAGEREF _Toc176864538 \h </w:instrText>
        </w:r>
        <w:r>
          <w:rPr>
            <w:noProof/>
            <w:webHidden/>
          </w:rPr>
        </w:r>
        <w:r>
          <w:rPr>
            <w:noProof/>
            <w:webHidden/>
          </w:rPr>
          <w:fldChar w:fldCharType="separate"/>
        </w:r>
        <w:r w:rsidR="001B6894">
          <w:rPr>
            <w:noProof/>
            <w:webHidden/>
          </w:rPr>
          <w:t>107</w:t>
        </w:r>
        <w:r>
          <w:rPr>
            <w:noProof/>
            <w:webHidden/>
          </w:rPr>
          <w:fldChar w:fldCharType="end"/>
        </w:r>
      </w:hyperlink>
    </w:p>
    <w:p w14:paraId="45564F12" w14:textId="434905FA" w:rsidR="0015790A" w:rsidRDefault="0015790A">
      <w:pPr>
        <w:pStyle w:val="TOC2"/>
        <w:rPr>
          <w:rFonts w:eastAsiaTheme="minorEastAsia"/>
          <w:noProof/>
          <w:kern w:val="2"/>
          <w:sz w:val="24"/>
          <w:szCs w:val="24"/>
          <w14:ligatures w14:val="standardContextual"/>
        </w:rPr>
      </w:pPr>
      <w:hyperlink w:anchor="_Toc176864539" w:history="1">
        <w:r w:rsidRPr="009D7477">
          <w:rPr>
            <w:rStyle w:val="Hyperlink"/>
            <w:noProof/>
          </w:rPr>
          <w:t>E.</w:t>
        </w:r>
        <w:r>
          <w:rPr>
            <w:rFonts w:eastAsiaTheme="minorEastAsia"/>
            <w:noProof/>
            <w:kern w:val="2"/>
            <w:sz w:val="24"/>
            <w:szCs w:val="24"/>
            <w14:ligatures w14:val="standardContextual"/>
          </w:rPr>
          <w:tab/>
        </w:r>
        <w:r w:rsidRPr="009D7477">
          <w:rPr>
            <w:rStyle w:val="Hyperlink"/>
            <w:noProof/>
          </w:rPr>
          <w:t>Evaluation and Administration by Non-Federal Personnel</w:t>
        </w:r>
        <w:r>
          <w:rPr>
            <w:noProof/>
            <w:webHidden/>
          </w:rPr>
          <w:tab/>
        </w:r>
        <w:r>
          <w:rPr>
            <w:noProof/>
            <w:webHidden/>
          </w:rPr>
          <w:fldChar w:fldCharType="begin"/>
        </w:r>
        <w:r>
          <w:rPr>
            <w:noProof/>
            <w:webHidden/>
          </w:rPr>
          <w:instrText xml:space="preserve"> PAGEREF _Toc176864539 \h </w:instrText>
        </w:r>
        <w:r>
          <w:rPr>
            <w:noProof/>
            <w:webHidden/>
          </w:rPr>
        </w:r>
        <w:r>
          <w:rPr>
            <w:noProof/>
            <w:webHidden/>
          </w:rPr>
          <w:fldChar w:fldCharType="separate"/>
        </w:r>
        <w:r w:rsidR="001B6894">
          <w:rPr>
            <w:noProof/>
            <w:webHidden/>
          </w:rPr>
          <w:t>108</w:t>
        </w:r>
        <w:r>
          <w:rPr>
            <w:noProof/>
            <w:webHidden/>
          </w:rPr>
          <w:fldChar w:fldCharType="end"/>
        </w:r>
      </w:hyperlink>
    </w:p>
    <w:p w14:paraId="1B243EB5" w14:textId="6C811FFF" w:rsidR="0015790A" w:rsidRDefault="0015790A">
      <w:pPr>
        <w:pStyle w:val="TOC2"/>
        <w:rPr>
          <w:rFonts w:eastAsiaTheme="minorEastAsia"/>
          <w:noProof/>
          <w:kern w:val="2"/>
          <w:sz w:val="24"/>
          <w:szCs w:val="24"/>
          <w14:ligatures w14:val="standardContextual"/>
        </w:rPr>
      </w:pPr>
      <w:hyperlink w:anchor="_Toc176864540" w:history="1">
        <w:r w:rsidRPr="009D7477">
          <w:rPr>
            <w:rStyle w:val="Hyperlink"/>
            <w:noProof/>
          </w:rPr>
          <w:t>F.</w:t>
        </w:r>
        <w:r>
          <w:rPr>
            <w:rFonts w:eastAsiaTheme="minorEastAsia"/>
            <w:noProof/>
            <w:kern w:val="2"/>
            <w:sz w:val="24"/>
            <w:szCs w:val="24"/>
            <w14:ligatures w14:val="standardContextual"/>
          </w:rPr>
          <w:tab/>
        </w:r>
        <w:r w:rsidRPr="009D7477">
          <w:rPr>
            <w:rStyle w:val="Hyperlink"/>
            <w:noProof/>
          </w:rPr>
          <w:t>Notice Regarding Eligible/Ineligible Activities</w:t>
        </w:r>
        <w:r>
          <w:rPr>
            <w:noProof/>
            <w:webHidden/>
          </w:rPr>
          <w:tab/>
        </w:r>
        <w:r>
          <w:rPr>
            <w:noProof/>
            <w:webHidden/>
          </w:rPr>
          <w:fldChar w:fldCharType="begin"/>
        </w:r>
        <w:r>
          <w:rPr>
            <w:noProof/>
            <w:webHidden/>
          </w:rPr>
          <w:instrText xml:space="preserve"> PAGEREF _Toc176864540 \h </w:instrText>
        </w:r>
        <w:r>
          <w:rPr>
            <w:noProof/>
            <w:webHidden/>
          </w:rPr>
        </w:r>
        <w:r>
          <w:rPr>
            <w:noProof/>
            <w:webHidden/>
          </w:rPr>
          <w:fldChar w:fldCharType="separate"/>
        </w:r>
        <w:r w:rsidR="001B6894">
          <w:rPr>
            <w:noProof/>
            <w:webHidden/>
          </w:rPr>
          <w:t>108</w:t>
        </w:r>
        <w:r>
          <w:rPr>
            <w:noProof/>
            <w:webHidden/>
          </w:rPr>
          <w:fldChar w:fldCharType="end"/>
        </w:r>
      </w:hyperlink>
    </w:p>
    <w:p w14:paraId="58865F13" w14:textId="38DCEF39" w:rsidR="0015790A" w:rsidRDefault="0015790A">
      <w:pPr>
        <w:pStyle w:val="TOC2"/>
        <w:rPr>
          <w:rFonts w:eastAsiaTheme="minorEastAsia"/>
          <w:noProof/>
          <w:kern w:val="2"/>
          <w:sz w:val="24"/>
          <w:szCs w:val="24"/>
          <w14:ligatures w14:val="standardContextual"/>
        </w:rPr>
      </w:pPr>
      <w:hyperlink w:anchor="_Toc176864541" w:history="1">
        <w:r w:rsidRPr="009D7477">
          <w:rPr>
            <w:rStyle w:val="Hyperlink"/>
            <w:noProof/>
          </w:rPr>
          <w:t>G.</w:t>
        </w:r>
        <w:r>
          <w:rPr>
            <w:rFonts w:eastAsiaTheme="minorEastAsia"/>
            <w:noProof/>
            <w:kern w:val="2"/>
            <w:sz w:val="24"/>
            <w:szCs w:val="24"/>
            <w14:ligatures w14:val="standardContextual"/>
          </w:rPr>
          <w:tab/>
        </w:r>
        <w:r w:rsidRPr="009D7477">
          <w:rPr>
            <w:rStyle w:val="Hyperlink"/>
            <w:noProof/>
          </w:rPr>
          <w:t>Notice of Right to Conduct a Review of Financial Capability</w:t>
        </w:r>
        <w:r>
          <w:rPr>
            <w:noProof/>
            <w:webHidden/>
          </w:rPr>
          <w:tab/>
        </w:r>
        <w:r>
          <w:rPr>
            <w:noProof/>
            <w:webHidden/>
          </w:rPr>
          <w:fldChar w:fldCharType="begin"/>
        </w:r>
        <w:r>
          <w:rPr>
            <w:noProof/>
            <w:webHidden/>
          </w:rPr>
          <w:instrText xml:space="preserve"> PAGEREF _Toc176864541 \h </w:instrText>
        </w:r>
        <w:r>
          <w:rPr>
            <w:noProof/>
            <w:webHidden/>
          </w:rPr>
        </w:r>
        <w:r>
          <w:rPr>
            <w:noProof/>
            <w:webHidden/>
          </w:rPr>
          <w:fldChar w:fldCharType="separate"/>
        </w:r>
        <w:r w:rsidR="001B6894">
          <w:rPr>
            <w:noProof/>
            <w:webHidden/>
          </w:rPr>
          <w:t>108</w:t>
        </w:r>
        <w:r>
          <w:rPr>
            <w:noProof/>
            <w:webHidden/>
          </w:rPr>
          <w:fldChar w:fldCharType="end"/>
        </w:r>
      </w:hyperlink>
    </w:p>
    <w:p w14:paraId="35FA3405" w14:textId="2DE6D2DB" w:rsidR="0015790A" w:rsidRDefault="0015790A">
      <w:pPr>
        <w:pStyle w:val="TOC2"/>
        <w:rPr>
          <w:rFonts w:eastAsiaTheme="minorEastAsia"/>
          <w:noProof/>
          <w:kern w:val="2"/>
          <w:sz w:val="24"/>
          <w:szCs w:val="24"/>
          <w14:ligatures w14:val="standardContextual"/>
        </w:rPr>
      </w:pPr>
      <w:hyperlink w:anchor="_Toc176864542" w:history="1">
        <w:r w:rsidRPr="009D7477">
          <w:rPr>
            <w:rStyle w:val="Hyperlink"/>
            <w:noProof/>
          </w:rPr>
          <w:t>H.</w:t>
        </w:r>
        <w:r>
          <w:rPr>
            <w:rFonts w:eastAsiaTheme="minorEastAsia"/>
            <w:noProof/>
            <w:kern w:val="2"/>
            <w:sz w:val="24"/>
            <w:szCs w:val="24"/>
            <w14:ligatures w14:val="standardContextual"/>
          </w:rPr>
          <w:tab/>
        </w:r>
        <w:r w:rsidRPr="009D7477">
          <w:rPr>
            <w:rStyle w:val="Hyperlink"/>
            <w:noProof/>
          </w:rPr>
          <w:t>Requirement for Full and Complete Disclosure</w:t>
        </w:r>
        <w:r>
          <w:rPr>
            <w:noProof/>
            <w:webHidden/>
          </w:rPr>
          <w:tab/>
        </w:r>
        <w:r>
          <w:rPr>
            <w:noProof/>
            <w:webHidden/>
          </w:rPr>
          <w:fldChar w:fldCharType="begin"/>
        </w:r>
        <w:r>
          <w:rPr>
            <w:noProof/>
            <w:webHidden/>
          </w:rPr>
          <w:instrText xml:space="preserve"> PAGEREF _Toc176864542 \h </w:instrText>
        </w:r>
        <w:r>
          <w:rPr>
            <w:noProof/>
            <w:webHidden/>
          </w:rPr>
        </w:r>
        <w:r>
          <w:rPr>
            <w:noProof/>
            <w:webHidden/>
          </w:rPr>
          <w:fldChar w:fldCharType="separate"/>
        </w:r>
        <w:r w:rsidR="001B6894">
          <w:rPr>
            <w:noProof/>
            <w:webHidden/>
          </w:rPr>
          <w:t>108</w:t>
        </w:r>
        <w:r>
          <w:rPr>
            <w:noProof/>
            <w:webHidden/>
          </w:rPr>
          <w:fldChar w:fldCharType="end"/>
        </w:r>
      </w:hyperlink>
    </w:p>
    <w:p w14:paraId="5AAA6EAB" w14:textId="6334BD68" w:rsidR="0015790A" w:rsidRDefault="0015790A">
      <w:pPr>
        <w:pStyle w:val="TOC2"/>
        <w:rPr>
          <w:rFonts w:eastAsiaTheme="minorEastAsia"/>
          <w:noProof/>
          <w:kern w:val="2"/>
          <w:sz w:val="24"/>
          <w:szCs w:val="24"/>
          <w14:ligatures w14:val="standardContextual"/>
        </w:rPr>
      </w:pPr>
      <w:hyperlink w:anchor="_Toc176864543" w:history="1">
        <w:r w:rsidRPr="009D7477">
          <w:rPr>
            <w:rStyle w:val="Hyperlink"/>
            <w:noProof/>
          </w:rPr>
          <w:t>I.</w:t>
        </w:r>
        <w:r>
          <w:rPr>
            <w:rFonts w:eastAsiaTheme="minorEastAsia"/>
            <w:noProof/>
            <w:kern w:val="2"/>
            <w:sz w:val="24"/>
            <w:szCs w:val="24"/>
            <w14:ligatures w14:val="standardContextual"/>
          </w:rPr>
          <w:tab/>
        </w:r>
        <w:r w:rsidRPr="009D7477">
          <w:rPr>
            <w:rStyle w:val="Hyperlink"/>
            <w:noProof/>
          </w:rPr>
          <w:t>Retention of Submissions</w:t>
        </w:r>
        <w:r>
          <w:rPr>
            <w:noProof/>
            <w:webHidden/>
          </w:rPr>
          <w:tab/>
        </w:r>
        <w:r>
          <w:rPr>
            <w:noProof/>
            <w:webHidden/>
          </w:rPr>
          <w:fldChar w:fldCharType="begin"/>
        </w:r>
        <w:r>
          <w:rPr>
            <w:noProof/>
            <w:webHidden/>
          </w:rPr>
          <w:instrText xml:space="preserve"> PAGEREF _Toc176864543 \h </w:instrText>
        </w:r>
        <w:r>
          <w:rPr>
            <w:noProof/>
            <w:webHidden/>
          </w:rPr>
        </w:r>
        <w:r>
          <w:rPr>
            <w:noProof/>
            <w:webHidden/>
          </w:rPr>
          <w:fldChar w:fldCharType="separate"/>
        </w:r>
        <w:r w:rsidR="001B6894">
          <w:rPr>
            <w:noProof/>
            <w:webHidden/>
          </w:rPr>
          <w:t>109</w:t>
        </w:r>
        <w:r>
          <w:rPr>
            <w:noProof/>
            <w:webHidden/>
          </w:rPr>
          <w:fldChar w:fldCharType="end"/>
        </w:r>
      </w:hyperlink>
    </w:p>
    <w:p w14:paraId="57648191" w14:textId="061AA3F6" w:rsidR="0015790A" w:rsidRDefault="0015790A">
      <w:pPr>
        <w:pStyle w:val="TOC2"/>
        <w:rPr>
          <w:rFonts w:eastAsiaTheme="minorEastAsia"/>
          <w:noProof/>
          <w:kern w:val="2"/>
          <w:sz w:val="24"/>
          <w:szCs w:val="24"/>
          <w14:ligatures w14:val="standardContextual"/>
        </w:rPr>
      </w:pPr>
      <w:hyperlink w:anchor="_Toc176864544" w:history="1">
        <w:r w:rsidRPr="009D7477">
          <w:rPr>
            <w:rStyle w:val="Hyperlink"/>
            <w:noProof/>
          </w:rPr>
          <w:t>J.</w:t>
        </w:r>
        <w:r>
          <w:rPr>
            <w:rFonts w:eastAsiaTheme="minorEastAsia"/>
            <w:noProof/>
            <w:kern w:val="2"/>
            <w:sz w:val="24"/>
            <w:szCs w:val="24"/>
            <w14:ligatures w14:val="standardContextual"/>
          </w:rPr>
          <w:tab/>
        </w:r>
        <w:r w:rsidRPr="009D7477">
          <w:rPr>
            <w:rStyle w:val="Hyperlink"/>
            <w:noProof/>
          </w:rPr>
          <w:t>Title to Subject Inventions</w:t>
        </w:r>
        <w:r>
          <w:rPr>
            <w:noProof/>
            <w:webHidden/>
          </w:rPr>
          <w:tab/>
        </w:r>
        <w:r>
          <w:rPr>
            <w:noProof/>
            <w:webHidden/>
          </w:rPr>
          <w:fldChar w:fldCharType="begin"/>
        </w:r>
        <w:r>
          <w:rPr>
            <w:noProof/>
            <w:webHidden/>
          </w:rPr>
          <w:instrText xml:space="preserve"> PAGEREF _Toc176864544 \h </w:instrText>
        </w:r>
        <w:r>
          <w:rPr>
            <w:noProof/>
            <w:webHidden/>
          </w:rPr>
        </w:r>
        <w:r>
          <w:rPr>
            <w:noProof/>
            <w:webHidden/>
          </w:rPr>
          <w:fldChar w:fldCharType="separate"/>
        </w:r>
        <w:r w:rsidR="001B6894">
          <w:rPr>
            <w:noProof/>
            <w:webHidden/>
          </w:rPr>
          <w:t>109</w:t>
        </w:r>
        <w:r>
          <w:rPr>
            <w:noProof/>
            <w:webHidden/>
          </w:rPr>
          <w:fldChar w:fldCharType="end"/>
        </w:r>
      </w:hyperlink>
    </w:p>
    <w:p w14:paraId="45CB83A6" w14:textId="68D28685" w:rsidR="0015790A" w:rsidRDefault="0015790A">
      <w:pPr>
        <w:pStyle w:val="TOC2"/>
        <w:rPr>
          <w:rFonts w:eastAsiaTheme="minorEastAsia"/>
          <w:noProof/>
          <w:kern w:val="2"/>
          <w:sz w:val="24"/>
          <w:szCs w:val="24"/>
          <w14:ligatures w14:val="standardContextual"/>
        </w:rPr>
      </w:pPr>
      <w:hyperlink w:anchor="_Toc176864545" w:history="1">
        <w:r w:rsidRPr="009D7477">
          <w:rPr>
            <w:rStyle w:val="Hyperlink"/>
            <w:noProof/>
          </w:rPr>
          <w:t>K.</w:t>
        </w:r>
        <w:r>
          <w:rPr>
            <w:rFonts w:eastAsiaTheme="minorEastAsia"/>
            <w:noProof/>
            <w:kern w:val="2"/>
            <w:sz w:val="24"/>
            <w:szCs w:val="24"/>
            <w14:ligatures w14:val="standardContextual"/>
          </w:rPr>
          <w:tab/>
        </w:r>
        <w:r w:rsidRPr="009D7477">
          <w:rPr>
            <w:rStyle w:val="Hyperlink"/>
            <w:noProof/>
          </w:rPr>
          <w:t>Government Rights in Subject Inventions</w:t>
        </w:r>
        <w:r>
          <w:rPr>
            <w:noProof/>
            <w:webHidden/>
          </w:rPr>
          <w:tab/>
        </w:r>
        <w:r>
          <w:rPr>
            <w:noProof/>
            <w:webHidden/>
          </w:rPr>
          <w:fldChar w:fldCharType="begin"/>
        </w:r>
        <w:r>
          <w:rPr>
            <w:noProof/>
            <w:webHidden/>
          </w:rPr>
          <w:instrText xml:space="preserve"> PAGEREF _Toc176864545 \h </w:instrText>
        </w:r>
        <w:r>
          <w:rPr>
            <w:noProof/>
            <w:webHidden/>
          </w:rPr>
        </w:r>
        <w:r>
          <w:rPr>
            <w:noProof/>
            <w:webHidden/>
          </w:rPr>
          <w:fldChar w:fldCharType="separate"/>
        </w:r>
        <w:r w:rsidR="001B6894">
          <w:rPr>
            <w:noProof/>
            <w:webHidden/>
          </w:rPr>
          <w:t>110</w:t>
        </w:r>
        <w:r>
          <w:rPr>
            <w:noProof/>
            <w:webHidden/>
          </w:rPr>
          <w:fldChar w:fldCharType="end"/>
        </w:r>
      </w:hyperlink>
    </w:p>
    <w:p w14:paraId="2B864754" w14:textId="0A6E50FB" w:rsidR="0015790A" w:rsidRDefault="0015790A">
      <w:pPr>
        <w:pStyle w:val="TOC2"/>
        <w:rPr>
          <w:rFonts w:eastAsiaTheme="minorEastAsia"/>
          <w:noProof/>
          <w:kern w:val="2"/>
          <w:sz w:val="24"/>
          <w:szCs w:val="24"/>
          <w14:ligatures w14:val="standardContextual"/>
        </w:rPr>
      </w:pPr>
      <w:hyperlink w:anchor="_Toc176864546" w:history="1">
        <w:r w:rsidRPr="009D7477">
          <w:rPr>
            <w:rStyle w:val="Hyperlink"/>
            <w:noProof/>
          </w:rPr>
          <w:t>L.</w:t>
        </w:r>
        <w:r>
          <w:rPr>
            <w:rFonts w:eastAsiaTheme="minorEastAsia"/>
            <w:noProof/>
            <w:kern w:val="2"/>
            <w:sz w:val="24"/>
            <w:szCs w:val="24"/>
            <w14:ligatures w14:val="standardContextual"/>
          </w:rPr>
          <w:tab/>
        </w:r>
        <w:r w:rsidRPr="009D7477">
          <w:rPr>
            <w:rStyle w:val="Hyperlink"/>
            <w:noProof/>
          </w:rPr>
          <w:t>Rights in Technical Data</w:t>
        </w:r>
        <w:r>
          <w:rPr>
            <w:noProof/>
            <w:webHidden/>
          </w:rPr>
          <w:tab/>
        </w:r>
        <w:r>
          <w:rPr>
            <w:noProof/>
            <w:webHidden/>
          </w:rPr>
          <w:fldChar w:fldCharType="begin"/>
        </w:r>
        <w:r>
          <w:rPr>
            <w:noProof/>
            <w:webHidden/>
          </w:rPr>
          <w:instrText xml:space="preserve"> PAGEREF _Toc176864546 \h </w:instrText>
        </w:r>
        <w:r>
          <w:rPr>
            <w:noProof/>
            <w:webHidden/>
          </w:rPr>
        </w:r>
        <w:r>
          <w:rPr>
            <w:noProof/>
            <w:webHidden/>
          </w:rPr>
          <w:fldChar w:fldCharType="separate"/>
        </w:r>
        <w:r w:rsidR="001B6894">
          <w:rPr>
            <w:noProof/>
            <w:webHidden/>
          </w:rPr>
          <w:t>111</w:t>
        </w:r>
        <w:r>
          <w:rPr>
            <w:noProof/>
            <w:webHidden/>
          </w:rPr>
          <w:fldChar w:fldCharType="end"/>
        </w:r>
      </w:hyperlink>
    </w:p>
    <w:p w14:paraId="596B3B0E" w14:textId="44509835" w:rsidR="0015790A" w:rsidRDefault="0015790A">
      <w:pPr>
        <w:pStyle w:val="TOC2"/>
        <w:rPr>
          <w:rFonts w:eastAsiaTheme="minorEastAsia"/>
          <w:noProof/>
          <w:kern w:val="2"/>
          <w:sz w:val="24"/>
          <w:szCs w:val="24"/>
          <w14:ligatures w14:val="standardContextual"/>
        </w:rPr>
      </w:pPr>
      <w:hyperlink w:anchor="_Toc176864547" w:history="1">
        <w:r w:rsidRPr="009D7477">
          <w:rPr>
            <w:rStyle w:val="Hyperlink"/>
            <w:noProof/>
          </w:rPr>
          <w:t>M.</w:t>
        </w:r>
        <w:r>
          <w:rPr>
            <w:rFonts w:eastAsiaTheme="minorEastAsia"/>
            <w:noProof/>
            <w:kern w:val="2"/>
            <w:sz w:val="24"/>
            <w:szCs w:val="24"/>
            <w14:ligatures w14:val="standardContextual"/>
          </w:rPr>
          <w:tab/>
        </w:r>
        <w:r w:rsidRPr="009D7477">
          <w:rPr>
            <w:rStyle w:val="Hyperlink"/>
            <w:noProof/>
          </w:rPr>
          <w:t>Copyright</w:t>
        </w:r>
        <w:r>
          <w:rPr>
            <w:noProof/>
            <w:webHidden/>
          </w:rPr>
          <w:tab/>
        </w:r>
        <w:r>
          <w:rPr>
            <w:noProof/>
            <w:webHidden/>
          </w:rPr>
          <w:fldChar w:fldCharType="begin"/>
        </w:r>
        <w:r>
          <w:rPr>
            <w:noProof/>
            <w:webHidden/>
          </w:rPr>
          <w:instrText xml:space="preserve"> PAGEREF _Toc176864547 \h </w:instrText>
        </w:r>
        <w:r>
          <w:rPr>
            <w:noProof/>
            <w:webHidden/>
          </w:rPr>
        </w:r>
        <w:r>
          <w:rPr>
            <w:noProof/>
            <w:webHidden/>
          </w:rPr>
          <w:fldChar w:fldCharType="separate"/>
        </w:r>
        <w:r w:rsidR="001B6894">
          <w:rPr>
            <w:noProof/>
            <w:webHidden/>
          </w:rPr>
          <w:t>111</w:t>
        </w:r>
        <w:r>
          <w:rPr>
            <w:noProof/>
            <w:webHidden/>
          </w:rPr>
          <w:fldChar w:fldCharType="end"/>
        </w:r>
      </w:hyperlink>
    </w:p>
    <w:p w14:paraId="01C56440" w14:textId="1298C8E5" w:rsidR="0015790A" w:rsidRDefault="0015790A">
      <w:pPr>
        <w:pStyle w:val="TOC2"/>
        <w:rPr>
          <w:rFonts w:eastAsiaTheme="minorEastAsia"/>
          <w:noProof/>
          <w:kern w:val="2"/>
          <w:sz w:val="24"/>
          <w:szCs w:val="24"/>
          <w14:ligatures w14:val="standardContextual"/>
        </w:rPr>
      </w:pPr>
      <w:hyperlink w:anchor="_Toc176864548" w:history="1">
        <w:r w:rsidRPr="009D7477">
          <w:rPr>
            <w:rStyle w:val="Hyperlink"/>
            <w:noProof/>
          </w:rPr>
          <w:t>N.</w:t>
        </w:r>
        <w:r>
          <w:rPr>
            <w:rFonts w:eastAsiaTheme="minorEastAsia"/>
            <w:noProof/>
            <w:kern w:val="2"/>
            <w:sz w:val="24"/>
            <w:szCs w:val="24"/>
            <w14:ligatures w14:val="standardContextual"/>
          </w:rPr>
          <w:tab/>
        </w:r>
        <w:r w:rsidRPr="009D7477">
          <w:rPr>
            <w:rStyle w:val="Hyperlink"/>
            <w:noProof/>
          </w:rPr>
          <w:t>Export Control</w:t>
        </w:r>
        <w:r>
          <w:rPr>
            <w:noProof/>
            <w:webHidden/>
          </w:rPr>
          <w:tab/>
        </w:r>
        <w:r>
          <w:rPr>
            <w:noProof/>
            <w:webHidden/>
          </w:rPr>
          <w:fldChar w:fldCharType="begin"/>
        </w:r>
        <w:r>
          <w:rPr>
            <w:noProof/>
            <w:webHidden/>
          </w:rPr>
          <w:instrText xml:space="preserve"> PAGEREF _Toc176864548 \h </w:instrText>
        </w:r>
        <w:r>
          <w:rPr>
            <w:noProof/>
            <w:webHidden/>
          </w:rPr>
        </w:r>
        <w:r>
          <w:rPr>
            <w:noProof/>
            <w:webHidden/>
          </w:rPr>
          <w:fldChar w:fldCharType="separate"/>
        </w:r>
        <w:r w:rsidR="001B6894">
          <w:rPr>
            <w:noProof/>
            <w:webHidden/>
          </w:rPr>
          <w:t>111</w:t>
        </w:r>
        <w:r>
          <w:rPr>
            <w:noProof/>
            <w:webHidden/>
          </w:rPr>
          <w:fldChar w:fldCharType="end"/>
        </w:r>
      </w:hyperlink>
    </w:p>
    <w:p w14:paraId="0CA3AEC4" w14:textId="14B1DF50" w:rsidR="0015790A" w:rsidRDefault="0015790A">
      <w:pPr>
        <w:pStyle w:val="TOC2"/>
        <w:rPr>
          <w:rFonts w:eastAsiaTheme="minorEastAsia"/>
          <w:noProof/>
          <w:kern w:val="2"/>
          <w:sz w:val="24"/>
          <w:szCs w:val="24"/>
          <w14:ligatures w14:val="standardContextual"/>
        </w:rPr>
      </w:pPr>
      <w:hyperlink w:anchor="_Toc176864549" w:history="1">
        <w:r w:rsidRPr="009D7477">
          <w:rPr>
            <w:rStyle w:val="Hyperlink"/>
            <w:noProof/>
          </w:rPr>
          <w:t>O.</w:t>
        </w:r>
        <w:r>
          <w:rPr>
            <w:rFonts w:eastAsiaTheme="minorEastAsia"/>
            <w:noProof/>
            <w:kern w:val="2"/>
            <w:sz w:val="24"/>
            <w:szCs w:val="24"/>
            <w14:ligatures w14:val="standardContextual"/>
          </w:rPr>
          <w:tab/>
        </w:r>
        <w:r w:rsidRPr="009D7477">
          <w:rPr>
            <w:rStyle w:val="Hyperlink"/>
            <w:noProof/>
          </w:rPr>
          <w:t>Prohibition on Certain Telecommunications and Video Surveillance Services or Equipment</w:t>
        </w:r>
        <w:r>
          <w:rPr>
            <w:noProof/>
            <w:webHidden/>
          </w:rPr>
          <w:tab/>
        </w:r>
        <w:r>
          <w:rPr>
            <w:noProof/>
            <w:webHidden/>
          </w:rPr>
          <w:fldChar w:fldCharType="begin"/>
        </w:r>
        <w:r>
          <w:rPr>
            <w:noProof/>
            <w:webHidden/>
          </w:rPr>
          <w:instrText xml:space="preserve"> PAGEREF _Toc176864549 \h </w:instrText>
        </w:r>
        <w:r>
          <w:rPr>
            <w:noProof/>
            <w:webHidden/>
          </w:rPr>
        </w:r>
        <w:r>
          <w:rPr>
            <w:noProof/>
            <w:webHidden/>
          </w:rPr>
          <w:fldChar w:fldCharType="separate"/>
        </w:r>
        <w:r w:rsidR="001B6894">
          <w:rPr>
            <w:noProof/>
            <w:webHidden/>
          </w:rPr>
          <w:t>112</w:t>
        </w:r>
        <w:r>
          <w:rPr>
            <w:noProof/>
            <w:webHidden/>
          </w:rPr>
          <w:fldChar w:fldCharType="end"/>
        </w:r>
      </w:hyperlink>
    </w:p>
    <w:p w14:paraId="7E743B91" w14:textId="0F4549A7" w:rsidR="0015790A" w:rsidRDefault="0015790A">
      <w:pPr>
        <w:pStyle w:val="TOC2"/>
        <w:rPr>
          <w:rFonts w:eastAsiaTheme="minorEastAsia"/>
          <w:noProof/>
          <w:kern w:val="2"/>
          <w:sz w:val="24"/>
          <w:szCs w:val="24"/>
          <w14:ligatures w14:val="standardContextual"/>
        </w:rPr>
      </w:pPr>
      <w:hyperlink w:anchor="_Toc176864550" w:history="1">
        <w:r w:rsidRPr="009D7477">
          <w:rPr>
            <w:rStyle w:val="Hyperlink"/>
            <w:noProof/>
          </w:rPr>
          <w:t>P.</w:t>
        </w:r>
        <w:r>
          <w:rPr>
            <w:rFonts w:eastAsiaTheme="minorEastAsia"/>
            <w:noProof/>
            <w:kern w:val="2"/>
            <w:sz w:val="24"/>
            <w:szCs w:val="24"/>
            <w14:ligatures w14:val="standardContextual"/>
          </w:rPr>
          <w:tab/>
        </w:r>
        <w:r w:rsidRPr="009D7477">
          <w:rPr>
            <w:rStyle w:val="Hyperlink"/>
            <w:noProof/>
          </w:rPr>
          <w:t>Personally Identifiable Information (PII)</w:t>
        </w:r>
        <w:r>
          <w:rPr>
            <w:noProof/>
            <w:webHidden/>
          </w:rPr>
          <w:tab/>
        </w:r>
        <w:r>
          <w:rPr>
            <w:noProof/>
            <w:webHidden/>
          </w:rPr>
          <w:fldChar w:fldCharType="begin"/>
        </w:r>
        <w:r>
          <w:rPr>
            <w:noProof/>
            <w:webHidden/>
          </w:rPr>
          <w:instrText xml:space="preserve"> PAGEREF _Toc176864550 \h </w:instrText>
        </w:r>
        <w:r>
          <w:rPr>
            <w:noProof/>
            <w:webHidden/>
          </w:rPr>
        </w:r>
        <w:r>
          <w:rPr>
            <w:noProof/>
            <w:webHidden/>
          </w:rPr>
          <w:fldChar w:fldCharType="separate"/>
        </w:r>
        <w:r w:rsidR="001B6894">
          <w:rPr>
            <w:noProof/>
            <w:webHidden/>
          </w:rPr>
          <w:t>112</w:t>
        </w:r>
        <w:r>
          <w:rPr>
            <w:noProof/>
            <w:webHidden/>
          </w:rPr>
          <w:fldChar w:fldCharType="end"/>
        </w:r>
      </w:hyperlink>
    </w:p>
    <w:p w14:paraId="4C1E1A82" w14:textId="2EB3A8D6" w:rsidR="0015790A" w:rsidRDefault="0015790A">
      <w:pPr>
        <w:pStyle w:val="TOC2"/>
        <w:rPr>
          <w:rFonts w:eastAsiaTheme="minorEastAsia"/>
          <w:noProof/>
          <w:kern w:val="2"/>
          <w:sz w:val="24"/>
          <w:szCs w:val="24"/>
          <w14:ligatures w14:val="standardContextual"/>
        </w:rPr>
      </w:pPr>
      <w:hyperlink w:anchor="_Toc176864551" w:history="1">
        <w:r w:rsidRPr="009D7477">
          <w:rPr>
            <w:rStyle w:val="Hyperlink"/>
            <w:noProof/>
          </w:rPr>
          <w:t>Q.</w:t>
        </w:r>
        <w:r>
          <w:rPr>
            <w:rFonts w:eastAsiaTheme="minorEastAsia"/>
            <w:noProof/>
            <w:kern w:val="2"/>
            <w:sz w:val="24"/>
            <w:szCs w:val="24"/>
            <w14:ligatures w14:val="standardContextual"/>
          </w:rPr>
          <w:tab/>
        </w:r>
        <w:r w:rsidRPr="009D7477">
          <w:rPr>
            <w:rStyle w:val="Hyperlink"/>
            <w:noProof/>
          </w:rPr>
          <w:t>Annual Independent Audits</w:t>
        </w:r>
        <w:r>
          <w:rPr>
            <w:noProof/>
            <w:webHidden/>
          </w:rPr>
          <w:tab/>
        </w:r>
        <w:r>
          <w:rPr>
            <w:noProof/>
            <w:webHidden/>
          </w:rPr>
          <w:fldChar w:fldCharType="begin"/>
        </w:r>
        <w:r>
          <w:rPr>
            <w:noProof/>
            <w:webHidden/>
          </w:rPr>
          <w:instrText xml:space="preserve"> PAGEREF _Toc176864551 \h </w:instrText>
        </w:r>
        <w:r>
          <w:rPr>
            <w:noProof/>
            <w:webHidden/>
          </w:rPr>
        </w:r>
        <w:r>
          <w:rPr>
            <w:noProof/>
            <w:webHidden/>
          </w:rPr>
          <w:fldChar w:fldCharType="separate"/>
        </w:r>
        <w:r w:rsidR="001B6894">
          <w:rPr>
            <w:noProof/>
            <w:webHidden/>
          </w:rPr>
          <w:t>112</w:t>
        </w:r>
        <w:r>
          <w:rPr>
            <w:noProof/>
            <w:webHidden/>
          </w:rPr>
          <w:fldChar w:fldCharType="end"/>
        </w:r>
      </w:hyperlink>
    </w:p>
    <w:p w14:paraId="39EBCD0F" w14:textId="49738390" w:rsidR="0015790A" w:rsidRDefault="0015790A">
      <w:pPr>
        <w:pStyle w:val="TOC2"/>
        <w:rPr>
          <w:rFonts w:eastAsiaTheme="minorEastAsia"/>
          <w:noProof/>
          <w:kern w:val="2"/>
          <w:sz w:val="24"/>
          <w:szCs w:val="24"/>
          <w14:ligatures w14:val="standardContextual"/>
        </w:rPr>
      </w:pPr>
      <w:hyperlink w:anchor="_Toc176864552" w:history="1">
        <w:r w:rsidRPr="009D7477">
          <w:rPr>
            <w:rStyle w:val="Hyperlink"/>
            <w:noProof/>
          </w:rPr>
          <w:t>R.</w:t>
        </w:r>
        <w:r>
          <w:rPr>
            <w:rFonts w:eastAsiaTheme="minorEastAsia"/>
            <w:noProof/>
            <w:kern w:val="2"/>
            <w:sz w:val="24"/>
            <w:szCs w:val="24"/>
            <w14:ligatures w14:val="standardContextual"/>
          </w:rPr>
          <w:tab/>
        </w:r>
        <w:r w:rsidRPr="009D7477">
          <w:rPr>
            <w:rStyle w:val="Hyperlink"/>
            <w:noProof/>
          </w:rPr>
          <w:t>Informational Webinar</w:t>
        </w:r>
        <w:r>
          <w:rPr>
            <w:noProof/>
            <w:webHidden/>
          </w:rPr>
          <w:tab/>
        </w:r>
        <w:r>
          <w:rPr>
            <w:noProof/>
            <w:webHidden/>
          </w:rPr>
          <w:fldChar w:fldCharType="begin"/>
        </w:r>
        <w:r>
          <w:rPr>
            <w:noProof/>
            <w:webHidden/>
          </w:rPr>
          <w:instrText xml:space="preserve"> PAGEREF _Toc176864552 \h </w:instrText>
        </w:r>
        <w:r>
          <w:rPr>
            <w:noProof/>
            <w:webHidden/>
          </w:rPr>
        </w:r>
        <w:r>
          <w:rPr>
            <w:noProof/>
            <w:webHidden/>
          </w:rPr>
          <w:fldChar w:fldCharType="separate"/>
        </w:r>
        <w:r w:rsidR="001B6894">
          <w:rPr>
            <w:noProof/>
            <w:webHidden/>
          </w:rPr>
          <w:t>113</w:t>
        </w:r>
        <w:r>
          <w:rPr>
            <w:noProof/>
            <w:webHidden/>
          </w:rPr>
          <w:fldChar w:fldCharType="end"/>
        </w:r>
      </w:hyperlink>
    </w:p>
    <w:p w14:paraId="26269E81" w14:textId="42B641D3" w:rsidR="0015790A" w:rsidRDefault="0015790A">
      <w:pPr>
        <w:pStyle w:val="TOC1"/>
        <w:rPr>
          <w:rFonts w:eastAsiaTheme="minorEastAsia"/>
          <w:b w:val="0"/>
          <w:bCs w:val="0"/>
          <w:noProof/>
          <w:kern w:val="2"/>
          <w:sz w:val="24"/>
          <w:szCs w:val="24"/>
          <w14:ligatures w14:val="standardContextual"/>
        </w:rPr>
      </w:pPr>
      <w:hyperlink w:anchor="_Toc176864553" w:history="1">
        <w:r w:rsidRPr="009D7477">
          <w:rPr>
            <w:rStyle w:val="Hyperlink"/>
            <w:noProof/>
          </w:rPr>
          <w:t>Appendix A – Cost Share Information</w:t>
        </w:r>
        <w:r>
          <w:rPr>
            <w:noProof/>
            <w:webHidden/>
          </w:rPr>
          <w:tab/>
        </w:r>
        <w:r>
          <w:rPr>
            <w:noProof/>
            <w:webHidden/>
          </w:rPr>
          <w:fldChar w:fldCharType="begin"/>
        </w:r>
        <w:r>
          <w:rPr>
            <w:noProof/>
            <w:webHidden/>
          </w:rPr>
          <w:instrText xml:space="preserve"> PAGEREF _Toc176864553 \h </w:instrText>
        </w:r>
        <w:r>
          <w:rPr>
            <w:noProof/>
            <w:webHidden/>
          </w:rPr>
        </w:r>
        <w:r>
          <w:rPr>
            <w:noProof/>
            <w:webHidden/>
          </w:rPr>
          <w:fldChar w:fldCharType="separate"/>
        </w:r>
        <w:r w:rsidR="001B6894">
          <w:rPr>
            <w:noProof/>
            <w:webHidden/>
          </w:rPr>
          <w:t>114</w:t>
        </w:r>
        <w:r>
          <w:rPr>
            <w:noProof/>
            <w:webHidden/>
          </w:rPr>
          <w:fldChar w:fldCharType="end"/>
        </w:r>
      </w:hyperlink>
    </w:p>
    <w:p w14:paraId="329B7D7A" w14:textId="00F6E26B" w:rsidR="0015790A" w:rsidRDefault="0015790A">
      <w:pPr>
        <w:pStyle w:val="TOC1"/>
        <w:rPr>
          <w:rFonts w:eastAsiaTheme="minorEastAsia"/>
          <w:b w:val="0"/>
          <w:bCs w:val="0"/>
          <w:noProof/>
          <w:kern w:val="2"/>
          <w:sz w:val="24"/>
          <w:szCs w:val="24"/>
          <w14:ligatures w14:val="standardContextual"/>
        </w:rPr>
      </w:pPr>
      <w:hyperlink w:anchor="_Toc176864554" w:history="1">
        <w:r w:rsidRPr="009D7477">
          <w:rPr>
            <w:rStyle w:val="Hyperlink"/>
            <w:noProof/>
          </w:rPr>
          <w:t>Appendix B – Sample Cost Share Calculation for Blended Cost Share Percentage</w:t>
        </w:r>
        <w:r>
          <w:rPr>
            <w:noProof/>
            <w:webHidden/>
          </w:rPr>
          <w:tab/>
        </w:r>
        <w:r>
          <w:rPr>
            <w:noProof/>
            <w:webHidden/>
          </w:rPr>
          <w:fldChar w:fldCharType="begin"/>
        </w:r>
        <w:r>
          <w:rPr>
            <w:noProof/>
            <w:webHidden/>
          </w:rPr>
          <w:instrText xml:space="preserve"> PAGEREF _Toc176864554 \h </w:instrText>
        </w:r>
        <w:r>
          <w:rPr>
            <w:noProof/>
            <w:webHidden/>
          </w:rPr>
        </w:r>
        <w:r>
          <w:rPr>
            <w:noProof/>
            <w:webHidden/>
          </w:rPr>
          <w:fldChar w:fldCharType="separate"/>
        </w:r>
        <w:r w:rsidR="001B6894">
          <w:rPr>
            <w:noProof/>
            <w:webHidden/>
          </w:rPr>
          <w:t>119</w:t>
        </w:r>
        <w:r>
          <w:rPr>
            <w:noProof/>
            <w:webHidden/>
          </w:rPr>
          <w:fldChar w:fldCharType="end"/>
        </w:r>
      </w:hyperlink>
    </w:p>
    <w:p w14:paraId="12297728" w14:textId="5AC8412A" w:rsidR="0015790A" w:rsidRDefault="0015790A">
      <w:pPr>
        <w:pStyle w:val="TOC1"/>
        <w:rPr>
          <w:rFonts w:eastAsiaTheme="minorEastAsia"/>
          <w:b w:val="0"/>
          <w:bCs w:val="0"/>
          <w:noProof/>
          <w:kern w:val="2"/>
          <w:sz w:val="24"/>
          <w:szCs w:val="24"/>
          <w14:ligatures w14:val="standardContextual"/>
        </w:rPr>
      </w:pPr>
      <w:hyperlink w:anchor="_Toc176864555" w:history="1">
        <w:r w:rsidRPr="009D7477">
          <w:rPr>
            <w:rStyle w:val="Hyperlink"/>
            <w:noProof/>
          </w:rPr>
          <w:t>Appendix C – Waiver Requests For: 1. Foreign Entity Participation; and 2. Foreign Work</w:t>
        </w:r>
        <w:r>
          <w:rPr>
            <w:noProof/>
            <w:webHidden/>
          </w:rPr>
          <w:tab/>
        </w:r>
        <w:r>
          <w:rPr>
            <w:noProof/>
            <w:webHidden/>
          </w:rPr>
          <w:fldChar w:fldCharType="begin"/>
        </w:r>
        <w:r>
          <w:rPr>
            <w:noProof/>
            <w:webHidden/>
          </w:rPr>
          <w:instrText xml:space="preserve"> PAGEREF _Toc176864555 \h </w:instrText>
        </w:r>
        <w:r>
          <w:rPr>
            <w:noProof/>
            <w:webHidden/>
          </w:rPr>
        </w:r>
        <w:r>
          <w:rPr>
            <w:noProof/>
            <w:webHidden/>
          </w:rPr>
          <w:fldChar w:fldCharType="separate"/>
        </w:r>
        <w:r w:rsidR="001B6894">
          <w:rPr>
            <w:noProof/>
            <w:webHidden/>
          </w:rPr>
          <w:t>121</w:t>
        </w:r>
        <w:r>
          <w:rPr>
            <w:noProof/>
            <w:webHidden/>
          </w:rPr>
          <w:fldChar w:fldCharType="end"/>
        </w:r>
      </w:hyperlink>
    </w:p>
    <w:p w14:paraId="5BCCF818" w14:textId="65D964F1" w:rsidR="0015790A" w:rsidRDefault="0015790A">
      <w:pPr>
        <w:pStyle w:val="TOC1"/>
        <w:rPr>
          <w:rFonts w:eastAsiaTheme="minorEastAsia"/>
          <w:b w:val="0"/>
          <w:bCs w:val="0"/>
          <w:noProof/>
          <w:kern w:val="2"/>
          <w:sz w:val="24"/>
          <w:szCs w:val="24"/>
          <w14:ligatures w14:val="standardContextual"/>
        </w:rPr>
      </w:pPr>
      <w:hyperlink w:anchor="_Toc176864556" w:history="1">
        <w:r w:rsidRPr="009D7477">
          <w:rPr>
            <w:rStyle w:val="Hyperlink"/>
            <w:noProof/>
          </w:rPr>
          <w:t>Appendix D – Required Use of American Iron, Steel, Manufactured Products, and Construction Materials Buy America Requirements for Infrastructure Projects</w:t>
        </w:r>
        <w:r>
          <w:rPr>
            <w:noProof/>
            <w:webHidden/>
          </w:rPr>
          <w:tab/>
        </w:r>
        <w:r>
          <w:rPr>
            <w:noProof/>
            <w:webHidden/>
          </w:rPr>
          <w:fldChar w:fldCharType="begin"/>
        </w:r>
        <w:r>
          <w:rPr>
            <w:noProof/>
            <w:webHidden/>
          </w:rPr>
          <w:instrText xml:space="preserve"> PAGEREF _Toc176864556 \h </w:instrText>
        </w:r>
        <w:r>
          <w:rPr>
            <w:noProof/>
            <w:webHidden/>
          </w:rPr>
        </w:r>
        <w:r>
          <w:rPr>
            <w:noProof/>
            <w:webHidden/>
          </w:rPr>
          <w:fldChar w:fldCharType="separate"/>
        </w:r>
        <w:r w:rsidR="001B6894">
          <w:rPr>
            <w:noProof/>
            <w:webHidden/>
          </w:rPr>
          <w:t>124</w:t>
        </w:r>
        <w:r>
          <w:rPr>
            <w:noProof/>
            <w:webHidden/>
          </w:rPr>
          <w:fldChar w:fldCharType="end"/>
        </w:r>
      </w:hyperlink>
    </w:p>
    <w:p w14:paraId="6156A442" w14:textId="56042B1E" w:rsidR="0015790A" w:rsidRDefault="0015790A">
      <w:pPr>
        <w:pStyle w:val="TOC1"/>
        <w:rPr>
          <w:rFonts w:eastAsiaTheme="minorEastAsia"/>
          <w:b w:val="0"/>
          <w:bCs w:val="0"/>
          <w:noProof/>
          <w:kern w:val="2"/>
          <w:sz w:val="24"/>
          <w:szCs w:val="24"/>
          <w14:ligatures w14:val="standardContextual"/>
        </w:rPr>
      </w:pPr>
      <w:hyperlink w:anchor="_Toc176864557" w:history="1">
        <w:r w:rsidRPr="009D7477">
          <w:rPr>
            <w:rStyle w:val="Hyperlink"/>
            <w:noProof/>
          </w:rPr>
          <w:t>Appendix E – Acceptable Feedstocks</w:t>
        </w:r>
        <w:r>
          <w:rPr>
            <w:noProof/>
            <w:webHidden/>
          </w:rPr>
          <w:tab/>
        </w:r>
        <w:r>
          <w:rPr>
            <w:noProof/>
            <w:webHidden/>
          </w:rPr>
          <w:fldChar w:fldCharType="begin"/>
        </w:r>
        <w:r>
          <w:rPr>
            <w:noProof/>
            <w:webHidden/>
          </w:rPr>
          <w:instrText xml:space="preserve"> PAGEREF _Toc176864557 \h </w:instrText>
        </w:r>
        <w:r>
          <w:rPr>
            <w:noProof/>
            <w:webHidden/>
          </w:rPr>
        </w:r>
        <w:r>
          <w:rPr>
            <w:noProof/>
            <w:webHidden/>
          </w:rPr>
          <w:fldChar w:fldCharType="separate"/>
        </w:r>
        <w:r w:rsidR="001B6894">
          <w:rPr>
            <w:noProof/>
            <w:webHidden/>
          </w:rPr>
          <w:t>128</w:t>
        </w:r>
        <w:r>
          <w:rPr>
            <w:noProof/>
            <w:webHidden/>
          </w:rPr>
          <w:fldChar w:fldCharType="end"/>
        </w:r>
      </w:hyperlink>
    </w:p>
    <w:p w14:paraId="53E85543" w14:textId="34A4E9AE" w:rsidR="0015790A" w:rsidRDefault="0015790A">
      <w:pPr>
        <w:pStyle w:val="TOC1"/>
        <w:rPr>
          <w:rFonts w:eastAsiaTheme="minorEastAsia"/>
          <w:b w:val="0"/>
          <w:bCs w:val="0"/>
          <w:noProof/>
          <w:kern w:val="2"/>
          <w:sz w:val="24"/>
          <w:szCs w:val="24"/>
          <w14:ligatures w14:val="standardContextual"/>
        </w:rPr>
      </w:pPr>
      <w:hyperlink w:anchor="_Toc176864558" w:history="1">
        <w:r w:rsidRPr="009D7477">
          <w:rPr>
            <w:rStyle w:val="Hyperlink"/>
            <w:noProof/>
          </w:rPr>
          <w:t>Appendix F – Definition of Technology Readiness Levels</w:t>
        </w:r>
        <w:r>
          <w:rPr>
            <w:noProof/>
            <w:webHidden/>
          </w:rPr>
          <w:tab/>
        </w:r>
        <w:r>
          <w:rPr>
            <w:noProof/>
            <w:webHidden/>
          </w:rPr>
          <w:fldChar w:fldCharType="begin"/>
        </w:r>
        <w:r>
          <w:rPr>
            <w:noProof/>
            <w:webHidden/>
          </w:rPr>
          <w:instrText xml:space="preserve"> PAGEREF _Toc176864558 \h </w:instrText>
        </w:r>
        <w:r>
          <w:rPr>
            <w:noProof/>
            <w:webHidden/>
          </w:rPr>
        </w:r>
        <w:r>
          <w:rPr>
            <w:noProof/>
            <w:webHidden/>
          </w:rPr>
          <w:fldChar w:fldCharType="separate"/>
        </w:r>
        <w:r w:rsidR="001B6894">
          <w:rPr>
            <w:noProof/>
            <w:webHidden/>
          </w:rPr>
          <w:t>132</w:t>
        </w:r>
        <w:r>
          <w:rPr>
            <w:noProof/>
            <w:webHidden/>
          </w:rPr>
          <w:fldChar w:fldCharType="end"/>
        </w:r>
      </w:hyperlink>
    </w:p>
    <w:p w14:paraId="131BCAA7" w14:textId="297F69D0" w:rsidR="0015790A" w:rsidRDefault="0015790A">
      <w:pPr>
        <w:pStyle w:val="TOC1"/>
        <w:rPr>
          <w:rFonts w:eastAsiaTheme="minorEastAsia"/>
          <w:b w:val="0"/>
          <w:bCs w:val="0"/>
          <w:noProof/>
          <w:kern w:val="2"/>
          <w:sz w:val="24"/>
          <w:szCs w:val="24"/>
          <w14:ligatures w14:val="standardContextual"/>
        </w:rPr>
      </w:pPr>
      <w:hyperlink w:anchor="_Toc176864559" w:history="1">
        <w:r w:rsidRPr="009D7477">
          <w:rPr>
            <w:rStyle w:val="Hyperlink"/>
            <w:noProof/>
          </w:rPr>
          <w:t>Appendix G – List of Acronyms</w:t>
        </w:r>
        <w:r>
          <w:rPr>
            <w:noProof/>
            <w:webHidden/>
          </w:rPr>
          <w:tab/>
        </w:r>
        <w:r>
          <w:rPr>
            <w:noProof/>
            <w:webHidden/>
          </w:rPr>
          <w:fldChar w:fldCharType="begin"/>
        </w:r>
        <w:r>
          <w:rPr>
            <w:noProof/>
            <w:webHidden/>
          </w:rPr>
          <w:instrText xml:space="preserve"> PAGEREF _Toc176864559 \h </w:instrText>
        </w:r>
        <w:r>
          <w:rPr>
            <w:noProof/>
            <w:webHidden/>
          </w:rPr>
        </w:r>
        <w:r>
          <w:rPr>
            <w:noProof/>
            <w:webHidden/>
          </w:rPr>
          <w:fldChar w:fldCharType="separate"/>
        </w:r>
        <w:r w:rsidR="001B6894">
          <w:rPr>
            <w:noProof/>
            <w:webHidden/>
          </w:rPr>
          <w:t>133</w:t>
        </w:r>
        <w:r>
          <w:rPr>
            <w:noProof/>
            <w:webHidden/>
          </w:rPr>
          <w:fldChar w:fldCharType="end"/>
        </w:r>
      </w:hyperlink>
    </w:p>
    <w:p w14:paraId="2C3A1DF2" w14:textId="7E07D2DD" w:rsidR="0015790A" w:rsidRDefault="0015790A">
      <w:pPr>
        <w:pStyle w:val="TOC1"/>
        <w:rPr>
          <w:rFonts w:eastAsiaTheme="minorEastAsia"/>
          <w:b w:val="0"/>
          <w:bCs w:val="0"/>
          <w:noProof/>
          <w:kern w:val="2"/>
          <w:sz w:val="24"/>
          <w:szCs w:val="24"/>
          <w14:ligatures w14:val="standardContextual"/>
        </w:rPr>
      </w:pPr>
      <w:hyperlink w:anchor="_Toc176864560" w:history="1">
        <w:r w:rsidRPr="009D7477">
          <w:rPr>
            <w:rStyle w:val="Hyperlink"/>
            <w:noProof/>
          </w:rPr>
          <w:t>Appendix H – Supplemental Content Requirements &amp; Instructions</w:t>
        </w:r>
        <w:r>
          <w:rPr>
            <w:noProof/>
            <w:webHidden/>
          </w:rPr>
          <w:tab/>
        </w:r>
        <w:r>
          <w:rPr>
            <w:noProof/>
            <w:webHidden/>
          </w:rPr>
          <w:fldChar w:fldCharType="begin"/>
        </w:r>
        <w:r>
          <w:rPr>
            <w:noProof/>
            <w:webHidden/>
          </w:rPr>
          <w:instrText xml:space="preserve"> PAGEREF _Toc176864560 \h </w:instrText>
        </w:r>
        <w:r>
          <w:rPr>
            <w:noProof/>
            <w:webHidden/>
          </w:rPr>
        </w:r>
        <w:r>
          <w:rPr>
            <w:noProof/>
            <w:webHidden/>
          </w:rPr>
          <w:fldChar w:fldCharType="separate"/>
        </w:r>
        <w:r w:rsidR="001B6894">
          <w:rPr>
            <w:noProof/>
            <w:webHidden/>
          </w:rPr>
          <w:t>136</w:t>
        </w:r>
        <w:r>
          <w:rPr>
            <w:noProof/>
            <w:webHidden/>
          </w:rPr>
          <w:fldChar w:fldCharType="end"/>
        </w:r>
      </w:hyperlink>
    </w:p>
    <w:p w14:paraId="4C9B8602" w14:textId="3C0C4EF3" w:rsidR="0015790A" w:rsidRDefault="0015790A">
      <w:pPr>
        <w:pStyle w:val="TOC1"/>
        <w:rPr>
          <w:rFonts w:eastAsiaTheme="minorEastAsia"/>
          <w:b w:val="0"/>
          <w:bCs w:val="0"/>
          <w:noProof/>
          <w:kern w:val="2"/>
          <w:sz w:val="24"/>
          <w:szCs w:val="24"/>
          <w14:ligatures w14:val="standardContextual"/>
        </w:rPr>
      </w:pPr>
      <w:hyperlink w:anchor="_Toc176864561" w:history="1">
        <w:r w:rsidRPr="009D7477">
          <w:rPr>
            <w:rStyle w:val="Hyperlink"/>
            <w:noProof/>
          </w:rPr>
          <w:t>Appendix I – Preliminary Design Requirements</w:t>
        </w:r>
        <w:r>
          <w:rPr>
            <w:noProof/>
            <w:webHidden/>
          </w:rPr>
          <w:tab/>
        </w:r>
        <w:r>
          <w:rPr>
            <w:noProof/>
            <w:webHidden/>
          </w:rPr>
          <w:fldChar w:fldCharType="begin"/>
        </w:r>
        <w:r>
          <w:rPr>
            <w:noProof/>
            <w:webHidden/>
          </w:rPr>
          <w:instrText xml:space="preserve"> PAGEREF _Toc176864561 \h </w:instrText>
        </w:r>
        <w:r>
          <w:rPr>
            <w:noProof/>
            <w:webHidden/>
          </w:rPr>
        </w:r>
        <w:r>
          <w:rPr>
            <w:noProof/>
            <w:webHidden/>
          </w:rPr>
          <w:fldChar w:fldCharType="separate"/>
        </w:r>
        <w:r w:rsidR="001B6894">
          <w:rPr>
            <w:noProof/>
            <w:webHidden/>
          </w:rPr>
          <w:t>138</w:t>
        </w:r>
        <w:r>
          <w:rPr>
            <w:noProof/>
            <w:webHidden/>
          </w:rPr>
          <w:fldChar w:fldCharType="end"/>
        </w:r>
      </w:hyperlink>
    </w:p>
    <w:p w14:paraId="0570E44E" w14:textId="396261AA" w:rsidR="0015790A" w:rsidRDefault="0015790A">
      <w:pPr>
        <w:pStyle w:val="TOC1"/>
        <w:rPr>
          <w:rFonts w:eastAsiaTheme="minorEastAsia"/>
          <w:b w:val="0"/>
          <w:bCs w:val="0"/>
          <w:noProof/>
          <w:kern w:val="2"/>
          <w:sz w:val="24"/>
          <w:szCs w:val="24"/>
          <w14:ligatures w14:val="standardContextual"/>
        </w:rPr>
      </w:pPr>
      <w:hyperlink w:anchor="_Toc176864562" w:history="1">
        <w:r w:rsidRPr="009D7477">
          <w:rPr>
            <w:rStyle w:val="Hyperlink"/>
            <w:noProof/>
          </w:rPr>
          <w:t>Appendix J – Glossary</w:t>
        </w:r>
        <w:r>
          <w:rPr>
            <w:noProof/>
            <w:webHidden/>
          </w:rPr>
          <w:tab/>
        </w:r>
        <w:r>
          <w:rPr>
            <w:noProof/>
            <w:webHidden/>
          </w:rPr>
          <w:fldChar w:fldCharType="begin"/>
        </w:r>
        <w:r>
          <w:rPr>
            <w:noProof/>
            <w:webHidden/>
          </w:rPr>
          <w:instrText xml:space="preserve"> PAGEREF _Toc176864562 \h </w:instrText>
        </w:r>
        <w:r>
          <w:rPr>
            <w:noProof/>
            <w:webHidden/>
          </w:rPr>
        </w:r>
        <w:r>
          <w:rPr>
            <w:noProof/>
            <w:webHidden/>
          </w:rPr>
          <w:fldChar w:fldCharType="separate"/>
        </w:r>
        <w:r w:rsidR="001B6894">
          <w:rPr>
            <w:noProof/>
            <w:webHidden/>
          </w:rPr>
          <w:t>141</w:t>
        </w:r>
        <w:r>
          <w:rPr>
            <w:noProof/>
            <w:webHidden/>
          </w:rPr>
          <w:fldChar w:fldCharType="end"/>
        </w:r>
      </w:hyperlink>
    </w:p>
    <w:p w14:paraId="6AF606B8" w14:textId="56F33530" w:rsidR="00BF65D1" w:rsidRDefault="004E672B" w:rsidP="00D07031">
      <w:pPr>
        <w:rPr>
          <w:b/>
          <w:bCs/>
          <w:noProof/>
        </w:rPr>
      </w:pPr>
      <w:r>
        <w:rPr>
          <w:b/>
          <w:bCs/>
          <w:noProof/>
        </w:rPr>
        <w:fldChar w:fldCharType="end"/>
      </w:r>
    </w:p>
    <w:p w14:paraId="72EB2E80" w14:textId="77777777" w:rsidR="00D07031" w:rsidRDefault="00D07031" w:rsidP="00D07031">
      <w:pPr>
        <w:sectPr w:rsidR="00D07031" w:rsidSect="002B6C14">
          <w:headerReference w:type="default" r:id="rId21"/>
          <w:footerReference w:type="default" r:id="rId22"/>
          <w:pgSz w:w="12240" w:h="15840" w:code="1"/>
          <w:pgMar w:top="1440" w:right="1440" w:bottom="1440" w:left="1440" w:header="720" w:footer="432" w:gutter="0"/>
          <w:pgNumType w:fmt="lowerRoman" w:start="1"/>
          <w:cols w:space="720"/>
          <w:docGrid w:linePitch="360"/>
        </w:sectPr>
      </w:pPr>
    </w:p>
    <w:p w14:paraId="6935AB8D" w14:textId="77777777" w:rsidR="00D07031" w:rsidRPr="00126FBB" w:rsidRDefault="004E672B" w:rsidP="00B159B5">
      <w:pPr>
        <w:pStyle w:val="FOAHeading1"/>
      </w:pPr>
      <w:bookmarkStart w:id="5" w:name="_Toc517798889"/>
      <w:bookmarkStart w:id="6" w:name="_Toc519602221"/>
      <w:bookmarkStart w:id="7" w:name="_Toc519602302"/>
      <w:bookmarkStart w:id="8" w:name="_Toc176864398"/>
      <w:r w:rsidRPr="00126FBB">
        <w:lastRenderedPageBreak/>
        <w:t>Funding Opportunity Description</w:t>
      </w:r>
      <w:bookmarkEnd w:id="5"/>
      <w:bookmarkEnd w:id="6"/>
      <w:bookmarkEnd w:id="7"/>
      <w:bookmarkEnd w:id="8"/>
    </w:p>
    <w:p w14:paraId="4B032C92" w14:textId="77777777" w:rsidR="00D07031" w:rsidRPr="00161071" w:rsidRDefault="00D07031" w:rsidP="00D07031"/>
    <w:p w14:paraId="53D1A98A" w14:textId="77777777" w:rsidR="00D07031" w:rsidRPr="00872882" w:rsidRDefault="004E672B" w:rsidP="001612A1">
      <w:pPr>
        <w:pStyle w:val="FOAHeading2"/>
      </w:pPr>
      <w:bookmarkStart w:id="9" w:name="_Toc517798890"/>
      <w:bookmarkStart w:id="10" w:name="_Toc519602222"/>
      <w:bookmarkStart w:id="11" w:name="_Toc519602303"/>
      <w:bookmarkStart w:id="12" w:name="_Toc176864399"/>
      <w:r w:rsidRPr="003B7075">
        <w:t>Background</w:t>
      </w:r>
      <w:bookmarkEnd w:id="9"/>
      <w:bookmarkEnd w:id="10"/>
      <w:bookmarkEnd w:id="11"/>
      <w:r>
        <w:t xml:space="preserve"> and Context</w:t>
      </w:r>
      <w:bookmarkEnd w:id="12"/>
    </w:p>
    <w:p w14:paraId="2D61FE6E" w14:textId="77777777" w:rsidR="00D07031" w:rsidRDefault="00D07031" w:rsidP="00D07031">
      <w:pPr>
        <w:ind w:left="1080"/>
      </w:pPr>
    </w:p>
    <w:p w14:paraId="236A9FFF" w14:textId="77777777" w:rsidR="00D07031" w:rsidRDefault="004E672B" w:rsidP="00D07031">
      <w:pPr>
        <w:pStyle w:val="FOAHeading3"/>
        <w:ind w:left="1440"/>
        <w:contextualSpacing w:val="0"/>
        <w:outlineLvl w:val="2"/>
      </w:pPr>
      <w:bookmarkStart w:id="13" w:name="_Toc176864400"/>
      <w:r>
        <w:t>Background and Purpose</w:t>
      </w:r>
      <w:bookmarkEnd w:id="13"/>
    </w:p>
    <w:p w14:paraId="56831FE9" w14:textId="671D299A" w:rsidR="00AD1184" w:rsidRDefault="00AD1184" w:rsidP="00FC3AF0">
      <w:pPr>
        <w:ind w:left="1440"/>
        <w:rPr>
          <w:highlight w:val="lightGray"/>
        </w:rPr>
      </w:pPr>
    </w:p>
    <w:p w14:paraId="323BBEA0" w14:textId="183D2342" w:rsidR="00FC0DE0" w:rsidRDefault="00FC0DE0" w:rsidP="00FC0DE0">
      <w:pPr>
        <w:ind w:left="1440"/>
        <w:rPr>
          <w:color w:val="000000"/>
        </w:rPr>
      </w:pPr>
      <w:r w:rsidRPr="00F51A4A">
        <w:rPr>
          <w:color w:val="000000"/>
        </w:rPr>
        <w:t xml:space="preserve">Building a clean and equitable energy economy and addressing the climate crisis is a top priority of the Biden Administration. </w:t>
      </w:r>
      <w:r w:rsidRPr="0050639F">
        <w:t>This</w:t>
      </w:r>
      <w:r>
        <w:t xml:space="preserve"> Funding Opportunity Announcement (</w:t>
      </w:r>
      <w:r w:rsidRPr="0050639F">
        <w:t>FOA</w:t>
      </w:r>
      <w:r>
        <w:t>)</w:t>
      </w:r>
      <w:r w:rsidRPr="0050639F">
        <w:t xml:space="preserve"> will advance the Biden Administration’s goals to achieve carbon pollution-free electricity by 2035 and to “deliver an equitable, clean energy future, and put the United States on a path to achieve net-zero emissions, economy-wide, by no later than 2050“</w:t>
      </w:r>
      <w:r>
        <w:t xml:space="preserve"> </w:t>
      </w:r>
      <w:r w:rsidRPr="0050639F">
        <w:t>to the benefit of all Americans.</w:t>
      </w:r>
      <w:r w:rsidRPr="0050639F">
        <w:rPr>
          <w:rStyle w:val="FootnoteReference"/>
        </w:rPr>
        <w:footnoteReference w:id="2"/>
      </w:r>
      <w:r w:rsidRPr="0050639F">
        <w:t xml:space="preserve">  </w:t>
      </w:r>
      <w:r w:rsidRPr="00F51A4A">
        <w:rPr>
          <w:color w:val="000000"/>
        </w:rPr>
        <w:t xml:space="preserve">The Department of Energy </w:t>
      </w:r>
      <w:r w:rsidR="00913BF0">
        <w:rPr>
          <w:color w:val="000000"/>
        </w:rPr>
        <w:t xml:space="preserve">(DOE) </w:t>
      </w:r>
      <w:r w:rsidRPr="00F51A4A">
        <w:rPr>
          <w:color w:val="000000"/>
        </w:rPr>
        <w:t>is committed to pushing the frontiers of science and engineering, catalyzing clean energy jobs through research, development, demonstration, and deployment (RDD&amp;D), and ensuring environmental justice and inclusion of underserved communities.</w:t>
      </w:r>
    </w:p>
    <w:p w14:paraId="390CBF97" w14:textId="77777777" w:rsidR="00FC0DE0" w:rsidRDefault="00FC0DE0" w:rsidP="00FC0DE0">
      <w:pPr>
        <w:ind w:left="1440"/>
        <w:rPr>
          <w:color w:val="000000"/>
        </w:rPr>
      </w:pPr>
    </w:p>
    <w:p w14:paraId="633FB86C" w14:textId="1EA9015C" w:rsidR="00FC0DE0" w:rsidRDefault="00FC0DE0" w:rsidP="00FC0DE0">
      <w:pPr>
        <w:ind w:left="1440"/>
        <w:rPr>
          <w:rFonts w:eastAsiaTheme="minorEastAsia"/>
          <w:color w:val="000000"/>
          <w:szCs w:val="24"/>
        </w:rPr>
      </w:pPr>
      <w:r w:rsidRPr="00442998">
        <w:t>In support of these Administration priorities</w:t>
      </w:r>
      <w:r>
        <w:t>,</w:t>
      </w:r>
      <w:r w:rsidRPr="004C496C">
        <w:rPr>
          <w:rFonts w:eastAsiaTheme="minorEastAsia"/>
          <w:szCs w:val="24"/>
        </w:rPr>
        <w:t xml:space="preserve"> </w:t>
      </w:r>
      <w:r>
        <w:rPr>
          <w:rFonts w:eastAsiaTheme="minorEastAsia"/>
          <w:szCs w:val="24"/>
        </w:rPr>
        <w:t>t</w:t>
      </w:r>
      <w:r w:rsidRPr="004C496C">
        <w:rPr>
          <w:rFonts w:eastAsiaTheme="minorEastAsia"/>
          <w:szCs w:val="24"/>
        </w:rPr>
        <w:t>he Bioenergy Technologies Office (BETO) conducts</w:t>
      </w:r>
      <w:r w:rsidR="00D56D92">
        <w:rPr>
          <w:rFonts w:eastAsiaTheme="minorEastAsia"/>
          <w:szCs w:val="24"/>
        </w:rPr>
        <w:t xml:space="preserve"> </w:t>
      </w:r>
      <w:r w:rsidR="00AF61D9">
        <w:rPr>
          <w:rFonts w:eastAsiaTheme="minorEastAsia"/>
          <w:szCs w:val="24"/>
        </w:rPr>
        <w:t>research, development and demonstration (</w:t>
      </w:r>
      <w:r w:rsidR="00D56D92">
        <w:rPr>
          <w:rFonts w:eastAsiaTheme="minorEastAsia"/>
          <w:szCs w:val="24"/>
        </w:rPr>
        <w:t>RD&amp;D</w:t>
      </w:r>
      <w:r w:rsidR="00AF61D9">
        <w:rPr>
          <w:rFonts w:eastAsiaTheme="minorEastAsia"/>
          <w:szCs w:val="24"/>
        </w:rPr>
        <w:t>)</w:t>
      </w:r>
      <w:r w:rsidRPr="004C496C">
        <w:rPr>
          <w:rFonts w:eastAsiaTheme="minorEastAsia"/>
          <w:szCs w:val="24"/>
        </w:rPr>
        <w:t xml:space="preserve"> activities to enable a diverse supply of renewable waste streams and biomass as well as cost-effective conversion technologies nationwide</w:t>
      </w:r>
      <w:r>
        <w:rPr>
          <w:rFonts w:eastAsiaTheme="minorEastAsia"/>
          <w:szCs w:val="24"/>
        </w:rPr>
        <w:t>,</w:t>
      </w:r>
      <w:r w:rsidRPr="004C496C">
        <w:rPr>
          <w:rFonts w:eastAsiaTheme="minorEastAsia"/>
          <w:szCs w:val="24"/>
        </w:rPr>
        <w:t xml:space="preserve"> emphasizing later</w:t>
      </w:r>
      <w:r>
        <w:rPr>
          <w:rFonts w:eastAsiaTheme="minorEastAsia"/>
          <w:szCs w:val="24"/>
        </w:rPr>
        <w:t>-</w:t>
      </w:r>
      <w:r w:rsidRPr="004C496C">
        <w:rPr>
          <w:rFonts w:eastAsiaTheme="minorEastAsia"/>
          <w:szCs w:val="24"/>
        </w:rPr>
        <w:t xml:space="preserve">stage demonstration to accelerate deployment of biofuels and bioproducts. As part of a comprehensive strategy to decarbonize all modes of transportation, BETO is primarily focused on </w:t>
      </w:r>
      <w:r w:rsidRPr="004C496C" w:rsidDel="00836081">
        <w:rPr>
          <w:rFonts w:eastAsiaTheme="minorEastAsia"/>
          <w:szCs w:val="24"/>
        </w:rPr>
        <w:t xml:space="preserve">production of “drop-in” biofuels that </w:t>
      </w:r>
      <w:r w:rsidRPr="004C496C">
        <w:rPr>
          <w:rFonts w:eastAsiaTheme="minorEastAsia"/>
          <w:szCs w:val="24"/>
        </w:rPr>
        <w:t>serve</w:t>
      </w:r>
      <w:r w:rsidRPr="004C496C">
        <w:rPr>
          <w:rFonts w:ascii="Calibri" w:eastAsia="Calibri" w:hAnsi="Calibri" w:cs="Calibri"/>
          <w:szCs w:val="24"/>
        </w:rPr>
        <w:t xml:space="preserve"> hard-to-electrify </w:t>
      </w:r>
      <w:r w:rsidR="000605B8">
        <w:rPr>
          <w:rFonts w:ascii="Calibri" w:eastAsia="Calibri" w:hAnsi="Calibri" w:cs="Calibri"/>
          <w:szCs w:val="24"/>
        </w:rPr>
        <w:t xml:space="preserve">transportation </w:t>
      </w:r>
      <w:r w:rsidRPr="004C496C">
        <w:rPr>
          <w:rFonts w:ascii="Calibri" w:eastAsia="Calibri" w:hAnsi="Calibri" w:cs="Calibri"/>
          <w:szCs w:val="24"/>
        </w:rPr>
        <w:t>modes such as aviation</w:t>
      </w:r>
      <w:r>
        <w:rPr>
          <w:rFonts w:ascii="Calibri" w:eastAsia="Calibri" w:hAnsi="Calibri" w:cs="Calibri"/>
          <w:szCs w:val="24"/>
        </w:rPr>
        <w:t>,</w:t>
      </w:r>
      <w:r w:rsidRPr="004C496C">
        <w:rPr>
          <w:rFonts w:ascii="Calibri" w:eastAsia="Calibri" w:hAnsi="Calibri" w:cs="Calibri"/>
          <w:szCs w:val="24"/>
        </w:rPr>
        <w:t xml:space="preserve"> marine</w:t>
      </w:r>
      <w:r>
        <w:rPr>
          <w:rFonts w:eastAsiaTheme="minorEastAsia"/>
          <w:szCs w:val="24"/>
        </w:rPr>
        <w:t>, rail</w:t>
      </w:r>
      <w:r w:rsidR="00214518">
        <w:rPr>
          <w:rFonts w:eastAsiaTheme="minorEastAsia"/>
          <w:szCs w:val="24"/>
        </w:rPr>
        <w:t>, off-road,</w:t>
      </w:r>
      <w:r>
        <w:rPr>
          <w:rFonts w:eastAsiaTheme="minorEastAsia"/>
          <w:szCs w:val="24"/>
        </w:rPr>
        <w:t xml:space="preserve"> and heavy</w:t>
      </w:r>
      <w:r w:rsidR="008A182F">
        <w:rPr>
          <w:rFonts w:eastAsiaTheme="minorEastAsia"/>
          <w:szCs w:val="24"/>
        </w:rPr>
        <w:t>-</w:t>
      </w:r>
      <w:r>
        <w:rPr>
          <w:rFonts w:eastAsiaTheme="minorEastAsia"/>
          <w:szCs w:val="24"/>
        </w:rPr>
        <w:t>duty</w:t>
      </w:r>
      <w:r w:rsidR="00DC6CCD">
        <w:rPr>
          <w:rFonts w:eastAsiaTheme="minorEastAsia"/>
          <w:szCs w:val="24"/>
        </w:rPr>
        <w:t xml:space="preserve"> truck</w:t>
      </w:r>
      <w:r w:rsidR="000605B8">
        <w:rPr>
          <w:rFonts w:eastAsiaTheme="minorEastAsia"/>
          <w:szCs w:val="24"/>
        </w:rPr>
        <w:t>s</w:t>
      </w:r>
      <w:r>
        <w:rPr>
          <w:rFonts w:eastAsiaTheme="minorEastAsia"/>
          <w:szCs w:val="24"/>
        </w:rPr>
        <w:t>.</w:t>
      </w:r>
      <w:r w:rsidRPr="005D172A">
        <w:rPr>
          <w:rFonts w:eastAsiaTheme="minorEastAsia"/>
          <w:szCs w:val="24"/>
        </w:rPr>
        <w:t xml:space="preserve">  </w:t>
      </w:r>
      <w:r w:rsidRPr="005D172A">
        <w:rPr>
          <w:rFonts w:eastAsiaTheme="minorEastAsia"/>
          <w:color w:val="000000"/>
          <w:szCs w:val="24"/>
        </w:rPr>
        <w:t>The U.S. transportation sector overwhelmingly relies on petroleum, which supplies over 90 percent of its energy needs.</w:t>
      </w:r>
      <w:r w:rsidRPr="005D172A">
        <w:rPr>
          <w:rStyle w:val="FootnoteReference"/>
          <w:rFonts w:eastAsiaTheme="minorEastAsia"/>
          <w:color w:val="000000"/>
          <w:szCs w:val="24"/>
        </w:rPr>
        <w:footnoteReference w:id="3"/>
      </w:r>
      <w:r w:rsidRPr="005D172A">
        <w:rPr>
          <w:rFonts w:eastAsiaTheme="minorEastAsia"/>
          <w:color w:val="000000"/>
          <w:szCs w:val="24"/>
        </w:rPr>
        <w:t xml:space="preserve"> Aviation, marine, and heavy-duty vehicles account for 37 percent of transportation energy use.</w:t>
      </w:r>
      <w:r w:rsidRPr="005D172A">
        <w:rPr>
          <w:rStyle w:val="FootnoteReference"/>
          <w:rFonts w:eastAsiaTheme="minorEastAsia"/>
          <w:color w:val="000000"/>
          <w:szCs w:val="24"/>
        </w:rPr>
        <w:footnoteReference w:id="4"/>
      </w:r>
      <w:r w:rsidRPr="005D172A">
        <w:rPr>
          <w:rFonts w:eastAsiaTheme="minorEastAsia"/>
          <w:color w:val="000000"/>
          <w:szCs w:val="24"/>
        </w:rPr>
        <w:t xml:space="preserve"> These modes are projected to grow considerably faster than other modes and are more difficult to electrify, making drop-in biofuels a near-term option to reduce petroleum use and </w:t>
      </w:r>
      <w:r w:rsidRPr="005D172A">
        <w:rPr>
          <w:rFonts w:eastAsiaTheme="minorEastAsia"/>
          <w:szCs w:val="24"/>
        </w:rPr>
        <w:t>carbon-dioxide (</w:t>
      </w:r>
      <w:r w:rsidRPr="005D172A">
        <w:rPr>
          <w:rFonts w:eastAsiaTheme="minorEastAsia"/>
          <w:color w:val="000000"/>
          <w:szCs w:val="24"/>
        </w:rPr>
        <w:t>CO</w:t>
      </w:r>
      <w:r w:rsidRPr="005D172A">
        <w:rPr>
          <w:rFonts w:eastAsiaTheme="minorEastAsia"/>
          <w:color w:val="000000"/>
          <w:szCs w:val="24"/>
          <w:vertAlign w:val="subscript"/>
        </w:rPr>
        <w:t>2</w:t>
      </w:r>
      <w:r w:rsidRPr="005D172A">
        <w:rPr>
          <w:rFonts w:eastAsiaTheme="minorEastAsia"/>
          <w:color w:val="000000"/>
          <w:szCs w:val="24"/>
        </w:rPr>
        <w:t>) emissions.</w:t>
      </w:r>
    </w:p>
    <w:p w14:paraId="62E982A6" w14:textId="77777777" w:rsidR="00FC0DE0" w:rsidRDefault="00FC0DE0" w:rsidP="00FC0DE0">
      <w:pPr>
        <w:ind w:left="1440"/>
        <w:rPr>
          <w:highlight w:val="lightGray"/>
        </w:rPr>
      </w:pPr>
    </w:p>
    <w:p w14:paraId="2130825F" w14:textId="751BFC9B" w:rsidR="00FC0DE0" w:rsidRDefault="00FC0DE0" w:rsidP="00FC0DE0">
      <w:pPr>
        <w:ind w:left="1440"/>
      </w:pPr>
      <w:r>
        <w:t xml:space="preserve">This FOA supports high-impact technology RD&amp;D to accelerate the bioeconomy </w:t>
      </w:r>
      <w:r w:rsidR="004753A5">
        <w:t>via</w:t>
      </w:r>
      <w:r>
        <w:t xml:space="preserve"> the production of low-carbon fuels for the aviation, marine, rail, and heavy-duty industries</w:t>
      </w:r>
      <w:r w:rsidR="004753A5">
        <w:t xml:space="preserve">, and renewable chemical production </w:t>
      </w:r>
      <w:r w:rsidR="00D26656">
        <w:t>with dramatically reduced lifecycle greenhouse gas (GHG) emissions</w:t>
      </w:r>
      <w:r w:rsidR="00040127">
        <w:t xml:space="preserve"> compared to the petroleum incumbent</w:t>
      </w:r>
      <w:r w:rsidR="00D872A9">
        <w:t>.</w:t>
      </w:r>
      <w:r>
        <w:t xml:space="preserve"> BETO is focused on</w:t>
      </w:r>
      <w:r w:rsidR="009D443B">
        <w:t xml:space="preserve"> </w:t>
      </w:r>
      <w:r>
        <w:t xml:space="preserve">RD&amp;D to improve the performance and reduce </w:t>
      </w:r>
      <w:r>
        <w:lastRenderedPageBreak/>
        <w:t xml:space="preserve">cost of biofuel </w:t>
      </w:r>
      <w:r w:rsidR="007E5C2C">
        <w:t xml:space="preserve">and renewable chemical </w:t>
      </w:r>
      <w:r>
        <w:t xml:space="preserve">production technologies and scale-up production systems in partnership with industry. By reducing cost and technical risk, BETO can help pave the way for industry to deploy commercial-scale integrated biorefineries and reduce greenhouse gas emissions from hard-to-decarbonize sectors, such as the aviation industry. </w:t>
      </w:r>
      <w:r w:rsidRPr="00136BAA">
        <w:t>Under the current BETO vision</w:t>
      </w:r>
      <w:r>
        <w:t>,</w:t>
      </w:r>
      <w:r w:rsidRPr="00136BAA">
        <w:t xml:space="preserve"> these biomass feedstocks will be developed for use in the production of </w:t>
      </w:r>
      <w:r w:rsidR="004D7A29">
        <w:t>renewable</w:t>
      </w:r>
      <w:r w:rsidRPr="00136BAA">
        <w:t xml:space="preserve"> fuel</w:t>
      </w:r>
      <w:r w:rsidR="004D7A29">
        <w:t>s and chemicals</w:t>
      </w:r>
      <w:r w:rsidRPr="00136BAA">
        <w:t xml:space="preserve"> through a variety of conversion technologies. </w:t>
      </w:r>
      <w:r>
        <w:t xml:space="preserve">BETO is focused on developing and demonstrating technologies that are capable of producing low-carbon, cost-effective biofuels and products by 2030, </w:t>
      </w:r>
      <w:r w:rsidR="000275E8">
        <w:t>via</w:t>
      </w:r>
      <w:r>
        <w:t xml:space="preserve"> production pathways that can deliver </w:t>
      </w:r>
      <w:r w:rsidRPr="000F70BF">
        <w:t>at least 70% lower lifecycle</w:t>
      </w:r>
      <w:r>
        <w:t xml:space="preserve"> </w:t>
      </w:r>
      <w:r w:rsidR="002A3184">
        <w:t>GHG</w:t>
      </w:r>
      <w:r>
        <w:t xml:space="preserve"> emissions than petroleum.  </w:t>
      </w:r>
      <w:r w:rsidRPr="00665440">
        <w:t xml:space="preserve">BETO </w:t>
      </w:r>
      <w:r>
        <w:t xml:space="preserve">further </w:t>
      </w:r>
      <w:r w:rsidRPr="001E2912">
        <w:t>aims to support the demonstration of</w:t>
      </w:r>
      <w:r>
        <w:t xml:space="preserve"> 4-5 fully integrated biorefineries, thereby increasing the number of proven pathways to produce sustainable aviation fuels, as well as sustainable marine, heavy</w:t>
      </w:r>
      <w:r w:rsidR="00C515AC">
        <w:t>-</w:t>
      </w:r>
      <w:r>
        <w:t xml:space="preserve">duty </w:t>
      </w:r>
      <w:r w:rsidR="001C3807">
        <w:t>truck</w:t>
      </w:r>
      <w:r>
        <w:t xml:space="preserve">, </w:t>
      </w:r>
      <w:r w:rsidR="002A3184">
        <w:t xml:space="preserve">off-road vehicle, </w:t>
      </w:r>
      <w:r>
        <w:t>and rail fuels, by 2030.</w:t>
      </w:r>
    </w:p>
    <w:p w14:paraId="38234C6C" w14:textId="77777777" w:rsidR="00FC0DE0" w:rsidRDefault="00FC0DE0" w:rsidP="00FC0DE0">
      <w:pPr>
        <w:ind w:left="1440"/>
      </w:pPr>
    </w:p>
    <w:p w14:paraId="37753565" w14:textId="7AF56F18" w:rsidR="00FC0DE0" w:rsidRDefault="00FC0DE0" w:rsidP="00FC0DE0">
      <w:pPr>
        <w:ind w:left="1440"/>
        <w:rPr>
          <w:highlight w:val="lightGray"/>
        </w:rPr>
      </w:pPr>
      <w:r>
        <w:rPr>
          <w:rFonts w:eastAsia="Segoe UI"/>
        </w:rPr>
        <w:t xml:space="preserve">This FOA continues BETO’s multi-year biorefinery scale-up strategy to fill the </w:t>
      </w:r>
      <w:r w:rsidR="00BA1BF6">
        <w:rPr>
          <w:rFonts w:eastAsia="Segoe UI"/>
        </w:rPr>
        <w:t>RD&amp;D</w:t>
      </w:r>
      <w:r>
        <w:rPr>
          <w:rFonts w:eastAsia="Segoe UI"/>
        </w:rPr>
        <w:t>-to-industry pipeline as technologies are ready to scale, ultimately demonstrating feedstock conversion or production pathways to support commercialization of sustainable transportation fuels</w:t>
      </w:r>
      <w:r w:rsidR="00A83FFC">
        <w:rPr>
          <w:rFonts w:eastAsia="Segoe UI"/>
        </w:rPr>
        <w:t xml:space="preserve"> and renewable chemicals</w:t>
      </w:r>
      <w:r>
        <w:rPr>
          <w:rFonts w:eastAsia="Segoe UI"/>
        </w:rPr>
        <w:t xml:space="preserve">.  The scale-up strategy utilizes a phased approach with a </w:t>
      </w:r>
      <w:r w:rsidRPr="00EA0977">
        <w:rPr>
          <w:rFonts w:eastAsia="Segoe UI"/>
        </w:rPr>
        <w:t>down-select</w:t>
      </w:r>
      <w:r>
        <w:rPr>
          <w:rFonts w:eastAsia="Segoe UI"/>
        </w:rPr>
        <w:t xml:space="preserve"> between Phase 1: Verification and Design Basis Definition and Phase 2: Detailed Design, Construction and Operation of pilot- or demonstration-scale biorefineries.  </w:t>
      </w:r>
    </w:p>
    <w:p w14:paraId="64D1D674" w14:textId="77777777" w:rsidR="00EC6CAB" w:rsidRPr="0050639F" w:rsidRDefault="00EC6CAB" w:rsidP="00FC3AF0">
      <w:pPr>
        <w:ind w:left="1440"/>
      </w:pPr>
    </w:p>
    <w:p w14:paraId="0FA2F9F6" w14:textId="77777777" w:rsidR="00D07031" w:rsidRDefault="004E672B" w:rsidP="00D07031">
      <w:pPr>
        <w:pStyle w:val="FOAHeading3"/>
        <w:ind w:left="1440"/>
        <w:outlineLvl w:val="2"/>
      </w:pPr>
      <w:bookmarkStart w:id="14" w:name="_Hlk146925535"/>
      <w:bookmarkStart w:id="15" w:name="_Toc176864401"/>
      <w:r>
        <w:t>Technology Space and Strategic Goals</w:t>
      </w:r>
      <w:bookmarkEnd w:id="15"/>
    </w:p>
    <w:bookmarkEnd w:id="14"/>
    <w:p w14:paraId="363736F0" w14:textId="25DEF069" w:rsidR="00C4199A" w:rsidRDefault="00C4199A" w:rsidP="00DB7176">
      <w:pPr>
        <w:ind w:left="1440"/>
        <w:rPr>
          <w:highlight w:val="lightGray"/>
        </w:rPr>
      </w:pPr>
    </w:p>
    <w:p w14:paraId="27877598" w14:textId="3D50ED85" w:rsidR="00FC0DE0" w:rsidRDefault="00FC0DE0" w:rsidP="00FC0DE0">
      <w:pPr>
        <w:tabs>
          <w:tab w:val="left" w:pos="3690"/>
        </w:tabs>
        <w:ind w:left="1440"/>
        <w:contextualSpacing/>
        <w:rPr>
          <w:rFonts w:eastAsiaTheme="minorEastAsia"/>
          <w:color w:val="000000"/>
          <w:szCs w:val="24"/>
        </w:rPr>
      </w:pPr>
      <w:r w:rsidRPr="009804E1">
        <w:rPr>
          <w:rFonts w:eastAsiaTheme="minorEastAsia"/>
          <w:color w:val="000000"/>
          <w:szCs w:val="24"/>
        </w:rPr>
        <w:t>The U.S. has the potential to sustainably produce enough renewable carbon resources to meet the demand for S</w:t>
      </w:r>
      <w:r>
        <w:rPr>
          <w:rFonts w:eastAsiaTheme="minorEastAsia"/>
          <w:color w:val="000000"/>
          <w:szCs w:val="24"/>
        </w:rPr>
        <w:t xml:space="preserve">ustainable </w:t>
      </w:r>
      <w:r w:rsidRPr="009804E1">
        <w:rPr>
          <w:rFonts w:eastAsiaTheme="minorEastAsia"/>
          <w:color w:val="000000"/>
          <w:szCs w:val="24"/>
        </w:rPr>
        <w:t>A</w:t>
      </w:r>
      <w:r>
        <w:rPr>
          <w:rFonts w:eastAsiaTheme="minorEastAsia"/>
          <w:color w:val="000000"/>
          <w:szCs w:val="24"/>
        </w:rPr>
        <w:t xml:space="preserve">viation </w:t>
      </w:r>
      <w:r w:rsidRPr="009804E1">
        <w:rPr>
          <w:rFonts w:eastAsiaTheme="minorEastAsia"/>
          <w:color w:val="000000"/>
          <w:szCs w:val="24"/>
        </w:rPr>
        <w:t>F</w:t>
      </w:r>
      <w:r>
        <w:rPr>
          <w:rFonts w:eastAsiaTheme="minorEastAsia"/>
          <w:color w:val="000000"/>
          <w:szCs w:val="24"/>
        </w:rPr>
        <w:t>uel (SAF</w:t>
      </w:r>
      <w:r w:rsidR="00DA0061">
        <w:rPr>
          <w:rFonts w:eastAsiaTheme="minorEastAsia"/>
          <w:color w:val="000000"/>
          <w:szCs w:val="24"/>
        </w:rPr>
        <w:t xml:space="preserve">), provide renewable alternatives for </w:t>
      </w:r>
      <w:r w:rsidR="00E55DEE">
        <w:rPr>
          <w:rFonts w:eastAsiaTheme="minorEastAsia"/>
          <w:color w:val="000000"/>
          <w:szCs w:val="24"/>
        </w:rPr>
        <w:t>other hard to electrify modes, including marine, and</w:t>
      </w:r>
      <w:r w:rsidRPr="009804E1">
        <w:rPr>
          <w:rFonts w:eastAsiaTheme="minorEastAsia"/>
          <w:color w:val="000000"/>
          <w:szCs w:val="24"/>
        </w:rPr>
        <w:t xml:space="preserve"> a variety of carbon-based chemicals</w:t>
      </w:r>
      <w:r w:rsidR="00835349">
        <w:rPr>
          <w:rFonts w:eastAsiaTheme="minorEastAsia"/>
          <w:color w:val="000000"/>
          <w:szCs w:val="24"/>
        </w:rPr>
        <w:t>.</w:t>
      </w:r>
      <w:r w:rsidR="00E1448D">
        <w:rPr>
          <w:rStyle w:val="FootnoteReference"/>
          <w:rFonts w:eastAsiaTheme="minorEastAsia"/>
          <w:color w:val="000000"/>
          <w:szCs w:val="24"/>
        </w:rPr>
        <w:footnoteReference w:id="5"/>
      </w:r>
      <w:r w:rsidRPr="009804E1">
        <w:rPr>
          <w:rFonts w:eastAsiaTheme="minorEastAsia"/>
          <w:color w:val="000000"/>
          <w:szCs w:val="24"/>
        </w:rPr>
        <w:t xml:space="preserve"> The availability and cost of renewable carbon resources vary geographically</w:t>
      </w:r>
      <w:r>
        <w:rPr>
          <w:rFonts w:eastAsiaTheme="minorEastAsia"/>
          <w:color w:val="000000"/>
          <w:szCs w:val="24"/>
        </w:rPr>
        <w:t xml:space="preserve">; </w:t>
      </w:r>
      <w:r w:rsidRPr="009804E1">
        <w:rPr>
          <w:rFonts w:eastAsiaTheme="minorEastAsia"/>
          <w:color w:val="000000"/>
          <w:szCs w:val="24"/>
        </w:rPr>
        <w:t>each resource type, such as agricultural waste, forestry waste, municipal solid waste, and purpose-grown energy crops, has its own unique technology challenges, market barriers and opportunities. BETO manages its R</w:t>
      </w:r>
      <w:r w:rsidR="00981844">
        <w:rPr>
          <w:rFonts w:eastAsiaTheme="minorEastAsia"/>
          <w:color w:val="000000"/>
          <w:szCs w:val="24"/>
        </w:rPr>
        <w:t>D&amp;D</w:t>
      </w:r>
      <w:r w:rsidRPr="009804E1">
        <w:rPr>
          <w:rFonts w:eastAsiaTheme="minorEastAsia"/>
          <w:color w:val="000000"/>
          <w:szCs w:val="24"/>
        </w:rPr>
        <w:t xml:space="preserve"> portfolio </w:t>
      </w:r>
      <w:r>
        <w:rPr>
          <w:rFonts w:eastAsiaTheme="minorEastAsia"/>
          <w:color w:val="000000"/>
          <w:szCs w:val="24"/>
        </w:rPr>
        <w:t>with the goal of enabling</w:t>
      </w:r>
      <w:r w:rsidRPr="009804E1">
        <w:rPr>
          <w:rFonts w:eastAsiaTheme="minorEastAsia"/>
          <w:color w:val="000000"/>
          <w:szCs w:val="24"/>
        </w:rPr>
        <w:t xml:space="preserve"> the production of biofuels and bioproducts from the entire range of renewable carbon resources—demonstrating and supporting scale-up of the most viable, commercially-ready production systems, while continuing </w:t>
      </w:r>
      <w:r w:rsidR="00BA1BF6">
        <w:rPr>
          <w:rFonts w:eastAsiaTheme="minorEastAsia"/>
          <w:color w:val="000000"/>
          <w:szCs w:val="24"/>
        </w:rPr>
        <w:t>RD&amp;D</w:t>
      </w:r>
      <w:r w:rsidRPr="009804E1">
        <w:rPr>
          <w:rFonts w:eastAsiaTheme="minorEastAsia"/>
          <w:color w:val="000000"/>
          <w:szCs w:val="24"/>
        </w:rPr>
        <w:t xml:space="preserve"> on new production pathways that will be essential to meeting long-term decarbonization goals. </w:t>
      </w:r>
    </w:p>
    <w:p w14:paraId="12B7127A" w14:textId="77777777" w:rsidR="00FC0DE0" w:rsidRDefault="00FC0DE0" w:rsidP="00FC0DE0">
      <w:pPr>
        <w:tabs>
          <w:tab w:val="left" w:pos="3690"/>
        </w:tabs>
        <w:ind w:left="1440"/>
        <w:contextualSpacing/>
        <w:rPr>
          <w:rFonts w:eastAsiaTheme="minorEastAsia"/>
          <w:color w:val="000000"/>
          <w:szCs w:val="24"/>
        </w:rPr>
      </w:pPr>
    </w:p>
    <w:p w14:paraId="144C8606" w14:textId="0A96088D" w:rsidR="00FC0DE0" w:rsidRDefault="00FC0DE0" w:rsidP="00EC5681">
      <w:pPr>
        <w:tabs>
          <w:tab w:val="left" w:pos="3690"/>
        </w:tabs>
        <w:ind w:left="1440"/>
        <w:contextualSpacing/>
        <w:rPr>
          <w:rFonts w:eastAsiaTheme="minorEastAsia"/>
        </w:rPr>
      </w:pPr>
      <w:r w:rsidRPr="00F51A4A">
        <w:rPr>
          <w:color w:val="000000"/>
        </w:rPr>
        <w:lastRenderedPageBreak/>
        <w:t>This FOA seeks</w:t>
      </w:r>
      <w:r w:rsidRPr="00E70375">
        <w:t xml:space="preserve"> </w:t>
      </w:r>
      <w:r w:rsidRPr="00F51A4A">
        <w:rPr>
          <w:color w:val="000000"/>
        </w:rPr>
        <w:t>applications to address</w:t>
      </w:r>
      <w:r>
        <w:rPr>
          <w:color w:val="000000"/>
        </w:rPr>
        <w:t xml:space="preserve"> </w:t>
      </w:r>
      <w:r w:rsidRPr="1BF61868">
        <w:rPr>
          <w:rFonts w:eastAsiaTheme="minorEastAsia"/>
        </w:rPr>
        <w:t>the scale-up of promising technical pathways that produce cost</w:t>
      </w:r>
      <w:r>
        <w:rPr>
          <w:rFonts w:eastAsiaTheme="minorEastAsia"/>
        </w:rPr>
        <w:t>-</w:t>
      </w:r>
      <w:r w:rsidRPr="1BF61868">
        <w:rPr>
          <w:rFonts w:eastAsiaTheme="minorEastAsia"/>
        </w:rPr>
        <w:t xml:space="preserve">effective </w:t>
      </w:r>
      <w:r w:rsidRPr="00EA0977">
        <w:rPr>
          <w:rFonts w:eastAsiaTheme="minorEastAsia"/>
        </w:rPr>
        <w:t>biofuels</w:t>
      </w:r>
      <w:r w:rsidR="009E5362" w:rsidRPr="00EA0977">
        <w:rPr>
          <w:rFonts w:eastAsiaTheme="minorEastAsia"/>
        </w:rPr>
        <w:t xml:space="preserve"> </w:t>
      </w:r>
      <w:r w:rsidR="009E5362">
        <w:rPr>
          <w:rFonts w:eastAsiaTheme="minorEastAsia"/>
        </w:rPr>
        <w:t xml:space="preserve">for aviation, marine, rail, off-road vehicle and heavy-duty </w:t>
      </w:r>
      <w:r w:rsidR="00015F68">
        <w:rPr>
          <w:rFonts w:eastAsiaTheme="minorEastAsia"/>
        </w:rPr>
        <w:t>trucks</w:t>
      </w:r>
      <w:r w:rsidR="00816F94">
        <w:rPr>
          <w:rFonts w:eastAsiaTheme="minorEastAsia"/>
        </w:rPr>
        <w:t>,</w:t>
      </w:r>
      <w:r w:rsidR="009E5362" w:rsidRPr="1BF61868">
        <w:rPr>
          <w:rFonts w:eastAsiaTheme="minorEastAsia"/>
        </w:rPr>
        <w:t xml:space="preserve"> </w:t>
      </w:r>
      <w:r w:rsidR="009C53DA" w:rsidRPr="00AE7A63">
        <w:rPr>
          <w:rFonts w:eastAsiaTheme="minorEastAsia"/>
        </w:rPr>
        <w:t xml:space="preserve">and </w:t>
      </w:r>
      <w:r w:rsidR="009E5362" w:rsidRPr="008B0D95">
        <w:rPr>
          <w:rFonts w:eastAsiaTheme="minorEastAsia"/>
        </w:rPr>
        <w:t xml:space="preserve">renewable </w:t>
      </w:r>
      <w:r w:rsidR="009C53DA" w:rsidRPr="00AE7A63">
        <w:rPr>
          <w:rFonts w:eastAsiaTheme="minorEastAsia"/>
        </w:rPr>
        <w:t>chemicals</w:t>
      </w:r>
      <w:r w:rsidR="00E80F2E">
        <w:rPr>
          <w:rFonts w:eastAsiaTheme="minorEastAsia"/>
        </w:rPr>
        <w:t>.</w:t>
      </w:r>
      <w:r w:rsidRPr="1BF61868">
        <w:rPr>
          <w:rFonts w:eastAsiaTheme="minorEastAsia"/>
        </w:rPr>
        <w:t xml:space="preserve"> </w:t>
      </w:r>
      <w:r w:rsidRPr="00C15185">
        <w:rPr>
          <w:rFonts w:eastAsiaTheme="minorEastAsia"/>
          <w:szCs w:val="24"/>
        </w:rPr>
        <w:t>This</w:t>
      </w:r>
      <w:r w:rsidRPr="00C15185">
        <w:rPr>
          <w:rFonts w:eastAsiaTheme="minorEastAsia"/>
          <w:spacing w:val="-1"/>
          <w:szCs w:val="24"/>
        </w:rPr>
        <w:t xml:space="preserve"> </w:t>
      </w:r>
      <w:r>
        <w:rPr>
          <w:rFonts w:eastAsiaTheme="minorEastAsia"/>
          <w:spacing w:val="-1"/>
          <w:szCs w:val="24"/>
        </w:rPr>
        <w:t>FOA</w:t>
      </w:r>
      <w:r w:rsidRPr="00C15185">
        <w:rPr>
          <w:rFonts w:eastAsiaTheme="minorEastAsia"/>
          <w:spacing w:val="-1"/>
          <w:szCs w:val="24"/>
        </w:rPr>
        <w:t xml:space="preserve"> will fund the d</w:t>
      </w:r>
      <w:r w:rsidRPr="00C15185">
        <w:rPr>
          <w:rFonts w:eastAsiaTheme="minorEastAsia"/>
          <w:szCs w:val="24"/>
        </w:rPr>
        <w:t>evelopment, testing, and verification at engineering</w:t>
      </w:r>
      <w:r>
        <w:rPr>
          <w:rFonts w:eastAsiaTheme="minorEastAsia"/>
          <w:szCs w:val="24"/>
        </w:rPr>
        <w:t xml:space="preserve"> </w:t>
      </w:r>
      <w:r w:rsidRPr="00C15185">
        <w:rPr>
          <w:rFonts w:eastAsiaTheme="minorEastAsia"/>
          <w:szCs w:val="24"/>
        </w:rPr>
        <w:t xml:space="preserve">scale, of new technology and feedstock pathways for integrated biorefineries to reduce technology uncertainty through cost-shared pilot- and demonstration-scale biorefinery projects with industry. BETO will continue implementing its multi-year strategy to fill the </w:t>
      </w:r>
      <w:r>
        <w:rPr>
          <w:rFonts w:eastAsiaTheme="minorEastAsia"/>
          <w:szCs w:val="24"/>
        </w:rPr>
        <w:t xml:space="preserve">technology-to-market </w:t>
      </w:r>
      <w:r w:rsidRPr="00C15185">
        <w:rPr>
          <w:rFonts w:eastAsiaTheme="minorEastAsia"/>
          <w:szCs w:val="24"/>
        </w:rPr>
        <w:t>pipeline as technologies are ready to scale, ultimately demonstrating enough feedstock-conversion variations, or production pathways, to support commercialization and meet the SAF Grand Challenge goal of 35 billion gallons per year SAF production by 2050</w:t>
      </w:r>
      <w:r w:rsidR="00FE03B1">
        <w:rPr>
          <w:rFonts w:eastAsiaTheme="minorEastAsia"/>
          <w:szCs w:val="24"/>
        </w:rPr>
        <w:t>.</w:t>
      </w:r>
      <w:r w:rsidR="00F143AF">
        <w:rPr>
          <w:rStyle w:val="FootnoteReference"/>
          <w:rFonts w:eastAsiaTheme="minorEastAsia"/>
          <w:szCs w:val="24"/>
        </w:rPr>
        <w:footnoteReference w:id="6"/>
      </w:r>
      <w:r w:rsidR="009E4EA3">
        <w:rPr>
          <w:rFonts w:eastAsiaTheme="minorEastAsia"/>
          <w:szCs w:val="24"/>
        </w:rPr>
        <w:t xml:space="preserve"> </w:t>
      </w:r>
      <w:r w:rsidRPr="1BF61868">
        <w:rPr>
          <w:rFonts w:eastAsiaTheme="minorEastAsia"/>
        </w:rPr>
        <w:t xml:space="preserve">The major focus of the effort is to </w:t>
      </w:r>
      <w:r>
        <w:rPr>
          <w:rFonts w:eastAsiaTheme="minorEastAsia"/>
        </w:rPr>
        <w:t>build demonstration-scale</w:t>
      </w:r>
      <w:r w:rsidRPr="1BF61868">
        <w:rPr>
          <w:rFonts w:eastAsiaTheme="minorEastAsia"/>
        </w:rPr>
        <w:t xml:space="preserve"> integrated biorefineries</w:t>
      </w:r>
      <w:r>
        <w:rPr>
          <w:rFonts w:eastAsiaTheme="minorEastAsia"/>
        </w:rPr>
        <w:t xml:space="preserve"> to</w:t>
      </w:r>
      <w:r w:rsidRPr="1BF61868">
        <w:rPr>
          <w:rFonts w:eastAsiaTheme="minorEastAsia"/>
        </w:rPr>
        <w:t xml:space="preserve"> de</w:t>
      </w:r>
      <w:r>
        <w:rPr>
          <w:rFonts w:eastAsiaTheme="minorEastAsia"/>
        </w:rPr>
        <w:t>-</w:t>
      </w:r>
      <w:r w:rsidRPr="1BF61868">
        <w:rPr>
          <w:rFonts w:eastAsiaTheme="minorEastAsia"/>
        </w:rPr>
        <w:t xml:space="preserve">risk technologies that </w:t>
      </w:r>
      <w:r>
        <w:rPr>
          <w:rFonts w:eastAsiaTheme="minorEastAsia"/>
        </w:rPr>
        <w:t>will</w:t>
      </w:r>
      <w:r w:rsidRPr="1BF61868">
        <w:rPr>
          <w:rFonts w:eastAsiaTheme="minorEastAsia"/>
        </w:rPr>
        <w:t xml:space="preserve"> put the transportation sector on the trajectory for net-zero emissions by 2050. The successful scale-up and commercial deployment of these integrated biorefineries will contribute to decreasing </w:t>
      </w:r>
      <w:r w:rsidRPr="1BF61868">
        <w:rPr>
          <w:rFonts w:eastAsiaTheme="minorEastAsia"/>
          <w:color w:val="000000" w:themeColor="text1"/>
        </w:rPr>
        <w:t>CO</w:t>
      </w:r>
      <w:r w:rsidRPr="1BF61868">
        <w:rPr>
          <w:rFonts w:eastAsiaTheme="minorEastAsia"/>
          <w:color w:val="000000" w:themeColor="text1"/>
          <w:vertAlign w:val="subscript"/>
        </w:rPr>
        <w:t>2</w:t>
      </w:r>
      <w:r w:rsidRPr="1BF61868">
        <w:rPr>
          <w:rFonts w:eastAsiaTheme="minorEastAsia"/>
        </w:rPr>
        <w:t xml:space="preserve"> emissions by 450 million metric tons (MMT) per year by 2050.</w:t>
      </w:r>
    </w:p>
    <w:p w14:paraId="56BE5464" w14:textId="77777777" w:rsidR="00FC0DE0" w:rsidRDefault="00FC0DE0" w:rsidP="008B0D95">
      <w:pPr>
        <w:rPr>
          <w:highlight w:val="lightGray"/>
        </w:rPr>
      </w:pPr>
    </w:p>
    <w:p w14:paraId="5EB873B7" w14:textId="77777777" w:rsidR="00FC0DE0" w:rsidRDefault="00FC0DE0" w:rsidP="00FC0DE0">
      <w:pPr>
        <w:ind w:left="1440"/>
      </w:pPr>
      <w:r>
        <w:t>Illustrative biofuel pathway progress is assessed annually by BETO using techno-economic analyses (TEA), which translate technology development into modeled gasoline gallon equivalent (GGE) price improvements. These results, along with life cycle analysis (LCA) of energy and emissions and supply chain sustainability analyses, which estimate the environmental impact of improvements, are referred to by BETO as the state of technology. Figure 1 illustrates the TEA impact of technology development progress representing a significant reduction in the modeled Minimum Fuel Selling Price (MFSP) and projections of future improvements for one example technology pathway. </w:t>
      </w:r>
    </w:p>
    <w:p w14:paraId="3CD6AB21" w14:textId="77777777" w:rsidR="00FC0DE0" w:rsidRDefault="00FC0DE0" w:rsidP="00DB7176">
      <w:pPr>
        <w:ind w:left="1440"/>
        <w:rPr>
          <w:highlight w:val="lightGray"/>
        </w:rPr>
      </w:pPr>
    </w:p>
    <w:p w14:paraId="7A2A21C8" w14:textId="77777777" w:rsidR="00FC0DE0" w:rsidRDefault="00FC0DE0" w:rsidP="00FC0DE0">
      <w:pPr>
        <w:ind w:left="1440"/>
        <w:rPr>
          <w:highlight w:val="lightGray"/>
        </w:rPr>
      </w:pPr>
      <w:r>
        <w:rPr>
          <w:noProof/>
        </w:rPr>
        <w:drawing>
          <wp:inline distT="0" distB="0" distL="0" distR="0" wp14:anchorId="7D671D8C" wp14:editId="77E57E70">
            <wp:extent cx="5119256" cy="2657006"/>
            <wp:effectExtent l="0" t="0" r="0"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119256" cy="2657006"/>
                    </a:xfrm>
                    <a:prstGeom prst="rect">
                      <a:avLst/>
                    </a:prstGeom>
                    <a:noFill/>
                    <a:ln>
                      <a:noFill/>
                    </a:ln>
                  </pic:spPr>
                </pic:pic>
              </a:graphicData>
            </a:graphic>
          </wp:inline>
        </w:drawing>
      </w:r>
    </w:p>
    <w:p w14:paraId="3D5EEAEB" w14:textId="5A0DFAD4" w:rsidR="00FC0DE0" w:rsidRPr="00B423F2" w:rsidRDefault="00FC0DE0" w:rsidP="00FC0DE0">
      <w:pPr>
        <w:pStyle w:val="Caption"/>
        <w:rPr>
          <w:i/>
          <w:iCs/>
        </w:rPr>
      </w:pPr>
      <w:r w:rsidRPr="00B423F2">
        <w:lastRenderedPageBreak/>
        <w:t xml:space="preserve">Figure </w:t>
      </w:r>
      <w:r w:rsidRPr="00B423F2">
        <w:rPr>
          <w:i/>
          <w:iCs/>
        </w:rPr>
        <w:fldChar w:fldCharType="begin"/>
      </w:r>
      <w:r w:rsidRPr="00B423F2">
        <w:instrText xml:space="preserve"> SEQ Figure \* ARABIC </w:instrText>
      </w:r>
      <w:r w:rsidRPr="00B423F2">
        <w:rPr>
          <w:i/>
          <w:iCs/>
        </w:rPr>
        <w:fldChar w:fldCharType="separate"/>
      </w:r>
      <w:r w:rsidR="001B6894">
        <w:rPr>
          <w:noProof/>
        </w:rPr>
        <w:t>1</w:t>
      </w:r>
      <w:r w:rsidRPr="00B423F2">
        <w:rPr>
          <w:i/>
          <w:iCs/>
        </w:rPr>
        <w:fldChar w:fldCharType="end"/>
      </w:r>
      <w:r w:rsidRPr="00B423F2">
        <w:t xml:space="preserve">: Illustrative biofuel pathway progress toward </w:t>
      </w:r>
      <w:r>
        <w:t>a cost competitive fuel</w:t>
      </w:r>
      <w:r w:rsidRPr="00B423F2">
        <w:t xml:space="preserve"> (woody feedstocks via catalytic fast pyrolysis and upgrading pathway).</w:t>
      </w:r>
      <w:r w:rsidRPr="00B423F2">
        <w:rPr>
          <w:vertAlign w:val="superscript"/>
        </w:rPr>
        <w:t xml:space="preserve"> </w:t>
      </w:r>
      <w:r w:rsidRPr="00B423F2">
        <w:rPr>
          <w:vertAlign w:val="superscript"/>
        </w:rPr>
        <w:footnoteReference w:id="7"/>
      </w:r>
    </w:p>
    <w:p w14:paraId="6917BDB0" w14:textId="77777777" w:rsidR="00FC0DE0" w:rsidRDefault="00FC0DE0" w:rsidP="00DB7176">
      <w:pPr>
        <w:ind w:left="1440"/>
        <w:rPr>
          <w:highlight w:val="lightGray"/>
        </w:rPr>
      </w:pPr>
    </w:p>
    <w:p w14:paraId="72DD0308" w14:textId="774C9FCA" w:rsidR="00826A8C" w:rsidRDefault="00FC0DE0" w:rsidP="00FC0DE0">
      <w:pPr>
        <w:ind w:left="1440"/>
      </w:pPr>
      <w:r>
        <w:t>Significant RD&amp;D is still required to reach the ultimate trajectory of a cost competitive</w:t>
      </w:r>
      <w:r w:rsidRPr="009A0AC6">
        <w:t xml:space="preserve"> MF</w:t>
      </w:r>
      <w:r>
        <w:t xml:space="preserve">SP and to achieve the </w:t>
      </w:r>
      <w:r w:rsidRPr="000F70BF">
        <w:t>desired 70% reduction in</w:t>
      </w:r>
      <w:r w:rsidR="00D2277F">
        <w:t xml:space="preserve"> greenhouse gas (</w:t>
      </w:r>
      <w:r>
        <w:t>GHG</w:t>
      </w:r>
      <w:r w:rsidR="00672244">
        <w:t>)</w:t>
      </w:r>
      <w:r>
        <w:t xml:space="preserve"> emissions. The Topic Areas in this FOA seek to directly address the development of integrated processes, tested and verified at engineering scale, to reduce technological uncertainties and enable industry deployment. </w:t>
      </w:r>
    </w:p>
    <w:p w14:paraId="65EF0E2D" w14:textId="77777777" w:rsidR="00826A8C" w:rsidRDefault="00826A8C" w:rsidP="00FC0DE0">
      <w:pPr>
        <w:ind w:left="1440"/>
      </w:pPr>
    </w:p>
    <w:p w14:paraId="30CD963C" w14:textId="43A5343D" w:rsidR="00354BC7" w:rsidRPr="00895EA1" w:rsidRDefault="00354BC7" w:rsidP="00354BC7">
      <w:pPr>
        <w:ind w:left="1440"/>
        <w:rPr>
          <w:szCs w:val="24"/>
        </w:rPr>
      </w:pPr>
      <w:r w:rsidRPr="002C1E9C">
        <w:rPr>
          <w:color w:val="000000"/>
        </w:rPr>
        <w:t>T</w:t>
      </w:r>
      <w:r>
        <w:rPr>
          <w:color w:val="000000"/>
        </w:rPr>
        <w:t>his FOA also</w:t>
      </w:r>
      <w:r w:rsidRPr="002C1E9C">
        <w:rPr>
          <w:color w:val="000000"/>
        </w:rPr>
        <w:t xml:space="preserve"> </w:t>
      </w:r>
      <w:r w:rsidRPr="00C975FB">
        <w:rPr>
          <w:szCs w:val="24"/>
        </w:rPr>
        <w:t xml:space="preserve">supports </w:t>
      </w:r>
      <w:r>
        <w:rPr>
          <w:szCs w:val="24"/>
        </w:rPr>
        <w:t xml:space="preserve">scale-up activities </w:t>
      </w:r>
      <w:r w:rsidR="00EC5681">
        <w:rPr>
          <w:szCs w:val="24"/>
        </w:rPr>
        <w:t>to produce</w:t>
      </w:r>
      <w:r w:rsidRPr="00C975FB">
        <w:t xml:space="preserve"> </w:t>
      </w:r>
      <w:r w:rsidR="00642A3E">
        <w:t>organic chemicals and</w:t>
      </w:r>
      <w:r w:rsidRPr="00C975FB">
        <w:t xml:space="preserve"> cost-advantaged bioproducts from biomass and waste feedstocks that can replace those currently derived from petroleum. </w:t>
      </w:r>
      <w:r w:rsidRPr="00C975FB">
        <w:rPr>
          <w:szCs w:val="24"/>
        </w:rPr>
        <w:t>The U.S. bulk chemicals industry accounted for 274 million metric tons (MMT) of CO</w:t>
      </w:r>
      <w:r w:rsidRPr="00C975FB">
        <w:rPr>
          <w:szCs w:val="24"/>
          <w:vertAlign w:val="subscript"/>
        </w:rPr>
        <w:t>2</w:t>
      </w:r>
      <w:r w:rsidRPr="00C975FB">
        <w:rPr>
          <w:szCs w:val="24"/>
        </w:rPr>
        <w:t xml:space="preserve"> emissions in 2020.</w:t>
      </w:r>
      <w:r w:rsidRPr="00C975FB">
        <w:rPr>
          <w:szCs w:val="24"/>
          <w:vertAlign w:val="superscript"/>
        </w:rPr>
        <w:footnoteReference w:id="8"/>
      </w:r>
      <w:r w:rsidRPr="00C975FB">
        <w:rPr>
          <w:szCs w:val="24"/>
        </w:rPr>
        <w:t xml:space="preserve"> This substantial carbon footprint can be broadly attributed to a combination of the fossil carbon input required in production as well as the high energy requirements to convert that carbon to the targeted product.</w:t>
      </w:r>
      <w:r w:rsidRPr="00C975FB">
        <w:rPr>
          <w:szCs w:val="24"/>
          <w:vertAlign w:val="superscript"/>
        </w:rPr>
        <w:footnoteReference w:id="9"/>
      </w:r>
      <w:r w:rsidRPr="00C975FB">
        <w:rPr>
          <w:szCs w:val="24"/>
        </w:rPr>
        <w:t xml:space="preserve"> While other sectors of the economy can completely decarbonize at the point of end-use, most of the organics, petrochemicals, and polymer resins produced and used in the US today will remain carbon-based for the foreseeable future. These chemicals make up approximately 40% of the overall GHG footprint of the chemicals industry, and the use of alternative carbon feedstocks such as biomass, municipal solid waste, and CO</w:t>
      </w:r>
      <w:r w:rsidRPr="00C975FB">
        <w:rPr>
          <w:szCs w:val="24"/>
          <w:vertAlign w:val="subscript"/>
        </w:rPr>
        <w:t>2</w:t>
      </w:r>
      <w:r w:rsidRPr="00C975FB">
        <w:rPr>
          <w:szCs w:val="24"/>
        </w:rPr>
        <w:t xml:space="preserve"> provides an opportunity to not only reduce the carbon footprint of the input material but also a route to conversion strategies of that require less energy. Such technologies are the target of Topic Area </w:t>
      </w:r>
      <w:r>
        <w:rPr>
          <w:szCs w:val="24"/>
        </w:rPr>
        <w:t>3</w:t>
      </w:r>
      <w:r w:rsidRPr="00C975FB">
        <w:rPr>
          <w:szCs w:val="24"/>
        </w:rPr>
        <w:t xml:space="preserve"> and are essential for achieving a net-zero economy by 2050. </w:t>
      </w:r>
    </w:p>
    <w:p w14:paraId="4CDC0926" w14:textId="77777777" w:rsidR="00354BC7" w:rsidRDefault="00354BC7" w:rsidP="008B0D95"/>
    <w:p w14:paraId="1CB996A3" w14:textId="5F562180" w:rsidR="00F15681" w:rsidRDefault="00826A8C" w:rsidP="00C606CB">
      <w:pPr>
        <w:ind w:left="1440"/>
        <w:rPr>
          <w:szCs w:val="24"/>
        </w:rPr>
      </w:pPr>
      <w:r>
        <w:t xml:space="preserve">Topic Areas 1 and 2 </w:t>
      </w:r>
      <w:r w:rsidR="00A33A01">
        <w:t>of this FOA</w:t>
      </w:r>
      <w:r w:rsidR="005C7A43">
        <w:t xml:space="preserve"> </w:t>
      </w:r>
      <w:r w:rsidR="00F7214D" w:rsidRPr="00701165">
        <w:rPr>
          <w:color w:val="000000"/>
        </w:rPr>
        <w:t xml:space="preserve">will identify, evaluate, and select applications proposing project definition, development, and execution plans for the scaling of biofuel technologies to </w:t>
      </w:r>
      <w:r w:rsidR="00BB3E09">
        <w:rPr>
          <w:color w:val="000000"/>
        </w:rPr>
        <w:t xml:space="preserve">pilot-, or </w:t>
      </w:r>
      <w:r w:rsidR="00F7214D">
        <w:rPr>
          <w:color w:val="000000"/>
        </w:rPr>
        <w:t>demonstration</w:t>
      </w:r>
      <w:r w:rsidR="00904CB4">
        <w:rPr>
          <w:color w:val="000000"/>
        </w:rPr>
        <w:t>-</w:t>
      </w:r>
      <w:r w:rsidR="00F7214D" w:rsidRPr="00701165">
        <w:rPr>
          <w:color w:val="000000"/>
        </w:rPr>
        <w:t>scale</w:t>
      </w:r>
      <w:r w:rsidR="00BF2576">
        <w:rPr>
          <w:color w:val="000000"/>
        </w:rPr>
        <w:t xml:space="preserve"> </w:t>
      </w:r>
      <w:r w:rsidR="00904CB4">
        <w:rPr>
          <w:color w:val="000000"/>
        </w:rPr>
        <w:t xml:space="preserve">plants to produce renewable fuels </w:t>
      </w:r>
      <w:r w:rsidR="00801CC9">
        <w:rPr>
          <w:color w:val="000000"/>
        </w:rPr>
        <w:t xml:space="preserve">for aviation, off-road, </w:t>
      </w:r>
      <w:r w:rsidR="00502985">
        <w:rPr>
          <w:color w:val="000000"/>
        </w:rPr>
        <w:t xml:space="preserve">marine, rail, and heavy-duty transportation modes. </w:t>
      </w:r>
      <w:r w:rsidR="00A33A01">
        <w:t xml:space="preserve">Topic Area 3 of this FOA </w:t>
      </w:r>
      <w:r w:rsidR="0096055D" w:rsidRPr="00C975FB">
        <w:rPr>
          <w:szCs w:val="24"/>
        </w:rPr>
        <w:t xml:space="preserve">supports </w:t>
      </w:r>
      <w:r w:rsidR="00061C08">
        <w:rPr>
          <w:szCs w:val="24"/>
        </w:rPr>
        <w:t>sca</w:t>
      </w:r>
      <w:r w:rsidR="00DE7ECC">
        <w:rPr>
          <w:szCs w:val="24"/>
        </w:rPr>
        <w:t>le-up activities</w:t>
      </w:r>
      <w:r w:rsidR="0096055D" w:rsidRPr="00C975FB">
        <w:rPr>
          <w:szCs w:val="24"/>
        </w:rPr>
        <w:t xml:space="preserve"> to produce </w:t>
      </w:r>
      <w:r w:rsidR="00DF13C3">
        <w:rPr>
          <w:szCs w:val="24"/>
        </w:rPr>
        <w:t xml:space="preserve">organic </w:t>
      </w:r>
      <w:r w:rsidR="0096055D" w:rsidRPr="00C975FB">
        <w:rPr>
          <w:szCs w:val="24"/>
        </w:rPr>
        <w:t>chemicals</w:t>
      </w:r>
      <w:r w:rsidR="00554B3C">
        <w:rPr>
          <w:szCs w:val="24"/>
        </w:rPr>
        <w:t xml:space="preserve"> from renewable feedstocks</w:t>
      </w:r>
      <w:r w:rsidR="0096055D" w:rsidRPr="00C975FB">
        <w:rPr>
          <w:szCs w:val="24"/>
        </w:rPr>
        <w:t xml:space="preserve">. </w:t>
      </w:r>
      <w:r w:rsidR="00F15681" w:rsidRPr="00E70375">
        <w:t>Detailed technical descriptions of the specific Topic Areas are provided in the sections that follow.</w:t>
      </w:r>
    </w:p>
    <w:p w14:paraId="6D9FD089" w14:textId="77777777" w:rsidR="00F15681" w:rsidRDefault="00F15681" w:rsidP="00C606CB">
      <w:pPr>
        <w:ind w:left="1440"/>
        <w:rPr>
          <w:szCs w:val="24"/>
        </w:rPr>
      </w:pPr>
    </w:p>
    <w:p w14:paraId="62099893" w14:textId="77777777" w:rsidR="00FC0DE0" w:rsidRPr="00C4199A" w:rsidRDefault="00FC0DE0" w:rsidP="008B0D95">
      <w:pPr>
        <w:pStyle w:val="BodyText"/>
        <w:ind w:left="1440"/>
        <w:rPr>
          <w:highlight w:val="lightGray"/>
        </w:rPr>
      </w:pPr>
    </w:p>
    <w:p w14:paraId="42C217AC" w14:textId="67979CA9" w:rsidR="00EC6CAB" w:rsidRDefault="00EC6CAB" w:rsidP="00C4199A">
      <w:pPr>
        <w:rPr>
          <w:b/>
          <w:szCs w:val="24"/>
        </w:rPr>
      </w:pPr>
    </w:p>
    <w:p w14:paraId="5D696CCB" w14:textId="379D5DAA" w:rsidR="00EE5627" w:rsidRPr="008B0D95" w:rsidRDefault="00EE5627" w:rsidP="00EE5627">
      <w:pPr>
        <w:pStyle w:val="FOAHeading3"/>
        <w:ind w:left="1440"/>
        <w:outlineLvl w:val="2"/>
      </w:pPr>
      <w:bookmarkStart w:id="16" w:name="_Toc102367624"/>
      <w:bookmarkStart w:id="17" w:name="_Toc114213538"/>
      <w:bookmarkStart w:id="18" w:name="_Toc140060901"/>
      <w:bookmarkStart w:id="19" w:name="_Toc176864402"/>
      <w:r w:rsidRPr="008B0D95">
        <w:lastRenderedPageBreak/>
        <w:t>Teaming Partner List</w:t>
      </w:r>
      <w:bookmarkEnd w:id="16"/>
      <w:bookmarkEnd w:id="17"/>
      <w:bookmarkEnd w:id="18"/>
      <w:bookmarkEnd w:id="19"/>
    </w:p>
    <w:p w14:paraId="307F91C5" w14:textId="4D6BA484" w:rsidR="00EE5627" w:rsidRPr="0025413C" w:rsidRDefault="00EE5627" w:rsidP="00EE5627">
      <w:pPr>
        <w:ind w:left="1440"/>
        <w:rPr>
          <w:color w:val="000000"/>
        </w:rPr>
      </w:pPr>
      <w:r w:rsidRPr="00F51A4A">
        <w:rPr>
          <w:color w:val="000000"/>
        </w:rPr>
        <w:t xml:space="preserve">DOE is compiling a Teaming Partner List to facilitate the formation of project teams for this FOA. The Teaming Partner List allows organizations that may wish to participate on a project to express their interest to other applicants and explore potential partnerships. </w:t>
      </w:r>
    </w:p>
    <w:p w14:paraId="29080D3B" w14:textId="77777777" w:rsidR="00EE5627" w:rsidRPr="0025413C" w:rsidRDefault="00EE5627" w:rsidP="00EE5627">
      <w:pPr>
        <w:ind w:left="1440"/>
        <w:rPr>
          <w:color w:val="000000"/>
          <w:szCs w:val="24"/>
        </w:rPr>
      </w:pPr>
    </w:p>
    <w:p w14:paraId="34F06208" w14:textId="77777777" w:rsidR="00EE5627" w:rsidRPr="0025413C" w:rsidRDefault="00EE5627" w:rsidP="00EE5627">
      <w:pPr>
        <w:ind w:left="1440"/>
        <w:rPr>
          <w:color w:val="000000"/>
        </w:rPr>
      </w:pPr>
      <w:r>
        <w:rPr>
          <w:color w:val="000000" w:themeColor="text1"/>
        </w:rPr>
        <w:t>T</w:t>
      </w:r>
      <w:r w:rsidRPr="794E02E3">
        <w:rPr>
          <w:color w:val="000000" w:themeColor="text1"/>
        </w:rPr>
        <w:t xml:space="preserve">he Teaming Partner List will be available </w:t>
      </w:r>
      <w:r>
        <w:rPr>
          <w:color w:val="000000" w:themeColor="text1"/>
        </w:rPr>
        <w:t>on</w:t>
      </w:r>
      <w:r w:rsidRPr="794E02E3">
        <w:rPr>
          <w:color w:val="000000" w:themeColor="text1"/>
        </w:rPr>
        <w:t xml:space="preserve"> EERE </w:t>
      </w:r>
      <w:r>
        <w:rPr>
          <w:color w:val="000000" w:themeColor="text1"/>
        </w:rPr>
        <w:t>eXCHANGE and</w:t>
      </w:r>
      <w:r w:rsidRPr="794E02E3">
        <w:rPr>
          <w:color w:val="000000" w:themeColor="text1"/>
        </w:rPr>
        <w:t xml:space="preserve"> will be regularly updated to reflect new teaming partners who provide their organization’s information.</w:t>
      </w:r>
    </w:p>
    <w:p w14:paraId="04ED9F55" w14:textId="77777777" w:rsidR="00EE5627" w:rsidRPr="0025413C" w:rsidRDefault="00EE5627" w:rsidP="00EE5627">
      <w:pPr>
        <w:ind w:left="1440"/>
        <w:rPr>
          <w:color w:val="000000"/>
          <w:szCs w:val="24"/>
        </w:rPr>
      </w:pPr>
    </w:p>
    <w:p w14:paraId="2B062BDD" w14:textId="77777777" w:rsidR="00EE5627" w:rsidRPr="00815B16" w:rsidRDefault="00EE5627" w:rsidP="00EE5627">
      <w:pPr>
        <w:ind w:left="1440"/>
        <w:rPr>
          <w:color w:val="000000"/>
        </w:rPr>
      </w:pPr>
      <w:bookmarkStart w:id="20" w:name="_Hlk124164743"/>
      <w:r w:rsidRPr="00F51A4A">
        <w:rPr>
          <w:color w:val="000000"/>
        </w:rPr>
        <w:t xml:space="preserve">SUBMISSION INSTRUCTIONS: </w:t>
      </w:r>
      <w:r w:rsidRPr="41A2E2E5">
        <w:rPr>
          <w:color w:val="000000" w:themeColor="text1"/>
        </w:rPr>
        <w:t xml:space="preserve">View the Teaming Partner List by visiting the EERE eXCHANGE homepage and clicking on </w:t>
      </w:r>
      <w:r w:rsidRPr="00F51A4A">
        <w:rPr>
          <w:color w:val="000000"/>
        </w:rPr>
        <w:t xml:space="preserve">“Teaming Partners” within the left-hand navigation pane. This page allows users to view published Teaming Partner Lists. </w:t>
      </w:r>
      <w:r w:rsidRPr="41A2E2E5">
        <w:rPr>
          <w:color w:val="000000" w:themeColor="text1"/>
        </w:rPr>
        <w:t>To join the Teaming Partner List,</w:t>
      </w:r>
      <w:r w:rsidRPr="00364282">
        <w:rPr>
          <w:color w:val="000000" w:themeColor="text1"/>
        </w:rPr>
        <w:t xml:space="preserve"> </w:t>
      </w:r>
      <w:r w:rsidRPr="00F51A4A">
        <w:rPr>
          <w:color w:val="000000"/>
        </w:rPr>
        <w:t>submit a request within eXCHANGE. Select the appropriate Teaming Partner List from the drop-down menu and fill in the following information: Investigator Name, Organization Name, Organization Type, Topic Area, Background and Capabilities, Website, Contact Address, Contact Email, and Contact Phone.</w:t>
      </w:r>
      <w:bookmarkEnd w:id="20"/>
    </w:p>
    <w:p w14:paraId="26CD88AA" w14:textId="77777777" w:rsidR="00EE5627" w:rsidRPr="0025413C" w:rsidRDefault="00EE5627" w:rsidP="00EE5627">
      <w:pPr>
        <w:ind w:left="1440"/>
        <w:rPr>
          <w:color w:val="000000"/>
          <w:szCs w:val="24"/>
        </w:rPr>
      </w:pPr>
    </w:p>
    <w:p w14:paraId="3600B142" w14:textId="77777777" w:rsidR="00EE5627" w:rsidRDefault="00EE5627" w:rsidP="00EE5627">
      <w:pPr>
        <w:ind w:left="1440"/>
        <w:rPr>
          <w:color w:val="000000"/>
        </w:rPr>
      </w:pPr>
      <w:r w:rsidRPr="00F51A4A">
        <w:rPr>
          <w:color w:val="000000"/>
        </w:rPr>
        <w:t>DISCLAIMER: By submitting a request to be included on the Teaming Partner List, the requesting organization consents to the publication of the above-referenced information. By facilitating the Teaming Partner List, DOE is not endorsing, sponsoring, or otherwise evaluating the qualifications of the individuals and organizations that are identifying themselves for placement on this Teaming Partner List. DOE will not pay for the provision of any information, nor will it compensate any applicants or requesting organizations for the development of such information.</w:t>
      </w:r>
    </w:p>
    <w:p w14:paraId="5CA5AB35" w14:textId="77777777" w:rsidR="00EE5627" w:rsidRPr="00B11C0E" w:rsidRDefault="00EE5627" w:rsidP="00EE5627">
      <w:pPr>
        <w:ind w:left="1440"/>
        <w:rPr>
          <w:color w:val="000000"/>
        </w:rPr>
      </w:pPr>
    </w:p>
    <w:p w14:paraId="3D3FD78D" w14:textId="4B0718F2" w:rsidR="005074EF" w:rsidRPr="00FD22CF" w:rsidRDefault="004E672B" w:rsidP="001612A1">
      <w:pPr>
        <w:pStyle w:val="FOAHeading2"/>
        <w:rPr>
          <w:rStyle w:val="14Calibri"/>
          <w:rFonts w:ascii="Calibri" w:hAnsi="Calibri"/>
          <w:sz w:val="32"/>
        </w:rPr>
      </w:pPr>
      <w:bookmarkStart w:id="21" w:name="_Toc176864403"/>
      <w:r w:rsidRPr="008175CB">
        <w:rPr>
          <w:rStyle w:val="14Calibri"/>
          <w:sz w:val="32"/>
        </w:rPr>
        <w:t>Topic</w:t>
      </w:r>
      <w:r>
        <w:rPr>
          <w:rStyle w:val="14Calibri"/>
          <w:sz w:val="32"/>
        </w:rPr>
        <w:t xml:space="preserve"> Areas</w:t>
      </w:r>
      <w:bookmarkEnd w:id="21"/>
    </w:p>
    <w:p w14:paraId="1097C88D" w14:textId="6C7F7633" w:rsidR="00FD22CF" w:rsidRDefault="00FC0DE0">
      <w:pPr>
        <w:pStyle w:val="FOAHeading3"/>
        <w:numPr>
          <w:ilvl w:val="0"/>
          <w:numId w:val="146"/>
        </w:numPr>
        <w:ind w:left="1710"/>
        <w:outlineLvl w:val="2"/>
      </w:pPr>
      <w:bookmarkStart w:id="22" w:name="_Toc176864404"/>
      <w:r>
        <w:t>Scale</w:t>
      </w:r>
      <w:r w:rsidR="000A36CB">
        <w:t>-</w:t>
      </w:r>
      <w:r>
        <w:t>up of Bioenergy Technologies Overview</w:t>
      </w:r>
      <w:bookmarkEnd w:id="22"/>
    </w:p>
    <w:p w14:paraId="232EF880" w14:textId="77777777" w:rsidR="00FC0DE0" w:rsidRDefault="00FC0DE0" w:rsidP="00FC0DE0">
      <w:pPr>
        <w:pStyle w:val="FOATemplateBody"/>
        <w:ind w:left="1440"/>
        <w:rPr>
          <w:color w:val="000000"/>
        </w:rPr>
      </w:pPr>
    </w:p>
    <w:p w14:paraId="616C53DF" w14:textId="0D1B9EE7" w:rsidR="00FC0DE0" w:rsidRDefault="00FC0DE0" w:rsidP="00FC0DE0">
      <w:pPr>
        <w:pStyle w:val="FOATemplateBody"/>
        <w:ind w:left="1440"/>
        <w:rPr>
          <w:color w:val="000000"/>
        </w:rPr>
      </w:pPr>
      <w:r w:rsidRPr="000B5A9D">
        <w:rPr>
          <w:color w:val="000000"/>
        </w:rPr>
        <w:t xml:space="preserve">Significant progress has been made </w:t>
      </w:r>
      <w:r>
        <w:rPr>
          <w:color w:val="000000"/>
        </w:rPr>
        <w:t>in the</w:t>
      </w:r>
      <w:r w:rsidRPr="000B5A9D">
        <w:rPr>
          <w:color w:val="000000"/>
        </w:rPr>
        <w:t xml:space="preserve"> biofuels</w:t>
      </w:r>
      <w:r>
        <w:rPr>
          <w:color w:val="000000"/>
        </w:rPr>
        <w:t xml:space="preserve"> industry</w:t>
      </w:r>
      <w:r w:rsidRPr="000B5A9D">
        <w:rPr>
          <w:color w:val="000000"/>
        </w:rPr>
        <w:t xml:space="preserve"> through both government and private sector RD&amp;D over the last 10 years</w:t>
      </w:r>
      <w:r>
        <w:rPr>
          <w:color w:val="000000"/>
        </w:rPr>
        <w:t>;</w:t>
      </w:r>
      <w:r w:rsidRPr="000B5A9D">
        <w:rPr>
          <w:color w:val="000000"/>
        </w:rPr>
        <w:t xml:space="preserve"> some technologies are now ready for scal</w:t>
      </w:r>
      <w:r>
        <w:rPr>
          <w:color w:val="000000"/>
        </w:rPr>
        <w:t>e</w:t>
      </w:r>
      <w:r w:rsidRPr="000B5A9D">
        <w:rPr>
          <w:color w:val="000000"/>
        </w:rPr>
        <w:t xml:space="preserve">-up to support their ultimate commercialization. BETO recognizes </w:t>
      </w:r>
      <w:r>
        <w:rPr>
          <w:color w:val="000000"/>
        </w:rPr>
        <w:t xml:space="preserve">that </w:t>
      </w:r>
      <w:r w:rsidRPr="000B5A9D">
        <w:rPr>
          <w:color w:val="000000"/>
        </w:rPr>
        <w:t xml:space="preserve">the availability of financing for first-of-a-kind process systems can be a barrier to </w:t>
      </w:r>
      <w:r>
        <w:rPr>
          <w:color w:val="000000"/>
        </w:rPr>
        <w:t xml:space="preserve">the </w:t>
      </w:r>
      <w:r w:rsidRPr="000B5A9D">
        <w:rPr>
          <w:color w:val="000000"/>
        </w:rPr>
        <w:t>commercializ</w:t>
      </w:r>
      <w:r>
        <w:rPr>
          <w:color w:val="000000"/>
        </w:rPr>
        <w:t xml:space="preserve">ation of </w:t>
      </w:r>
      <w:r w:rsidRPr="000B5A9D">
        <w:rPr>
          <w:color w:val="000000"/>
        </w:rPr>
        <w:t>advanced biofuels. Pilot</w:t>
      </w:r>
      <w:r>
        <w:rPr>
          <w:color w:val="000000"/>
        </w:rPr>
        <w:t>-</w:t>
      </w:r>
      <w:r w:rsidRPr="000B5A9D">
        <w:rPr>
          <w:color w:val="000000"/>
        </w:rPr>
        <w:t xml:space="preserve"> and demonstration</w:t>
      </w:r>
      <w:r>
        <w:rPr>
          <w:color w:val="000000"/>
        </w:rPr>
        <w:t>-</w:t>
      </w:r>
      <w:r w:rsidRPr="000B5A9D">
        <w:rPr>
          <w:color w:val="000000"/>
        </w:rPr>
        <w:t>scale facilities are key to ensuring that commercial biorefineries are successful. BETO is looking for bioenergy</w:t>
      </w:r>
      <w:r w:rsidR="00CB4131">
        <w:rPr>
          <w:color w:val="000000"/>
        </w:rPr>
        <w:t xml:space="preserve"> </w:t>
      </w:r>
      <w:r w:rsidR="003B17DF">
        <w:rPr>
          <w:color w:val="000000"/>
        </w:rPr>
        <w:t xml:space="preserve">FOA </w:t>
      </w:r>
      <w:r w:rsidR="00CB4131">
        <w:rPr>
          <w:color w:val="000000"/>
        </w:rPr>
        <w:t>applicants</w:t>
      </w:r>
      <w:r w:rsidRPr="000B5A9D">
        <w:rPr>
          <w:color w:val="000000"/>
        </w:rPr>
        <w:t xml:space="preserve"> that are ready to move their technologies from the laboratory to the </w:t>
      </w:r>
      <w:r w:rsidRPr="008F1D86">
        <w:rPr>
          <w:color w:val="000000"/>
        </w:rPr>
        <w:t>pilot and demonstration stages and eventually commercialization.</w:t>
      </w:r>
    </w:p>
    <w:p w14:paraId="13DA82DB" w14:textId="77777777" w:rsidR="00FC0DE0" w:rsidRDefault="00FC0DE0" w:rsidP="00FC0DE0">
      <w:pPr>
        <w:pStyle w:val="FOATemplateBody"/>
        <w:ind w:left="1440"/>
        <w:rPr>
          <w:rStyle w:val="PlaceholderText"/>
          <w:color w:val="auto"/>
        </w:rPr>
      </w:pPr>
    </w:p>
    <w:p w14:paraId="40DAD42A" w14:textId="77777777" w:rsidR="00FC0DE0" w:rsidRPr="00AF2E02" w:rsidRDefault="00FC0DE0" w:rsidP="00FC0DE0">
      <w:pPr>
        <w:ind w:left="1350"/>
        <w:rPr>
          <w:rFonts w:ascii="Calibri" w:hAnsi="Calibri"/>
          <w:color w:val="000000"/>
        </w:rPr>
      </w:pPr>
      <w:r w:rsidRPr="000B5A9D">
        <w:rPr>
          <w:rFonts w:ascii="Calibri" w:hAnsi="Calibri"/>
          <w:color w:val="000000"/>
        </w:rPr>
        <w:lastRenderedPageBreak/>
        <w:t>Based on lessons learned from previous pilot, demonstration, and pioneer integrated biorefineries, BETO’s scale-up strategy</w:t>
      </w:r>
      <w:r w:rsidRPr="00AF2E02">
        <w:rPr>
          <w:rFonts w:ascii="Calibri" w:hAnsi="Calibri"/>
          <w:color w:val="000000"/>
        </w:rPr>
        <w:t xml:space="preserve"> will</w:t>
      </w:r>
      <w:r w:rsidRPr="000B5A9D">
        <w:rPr>
          <w:rFonts w:ascii="Calibri" w:hAnsi="Calibri"/>
          <w:color w:val="000000"/>
        </w:rPr>
        <w:t>:</w:t>
      </w:r>
    </w:p>
    <w:p w14:paraId="260A2979" w14:textId="77777777" w:rsidR="00FC0DE0" w:rsidRPr="000B5A9D" w:rsidRDefault="00FC0DE0" w:rsidP="00FC0DE0">
      <w:pPr>
        <w:ind w:left="1350"/>
        <w:rPr>
          <w:rFonts w:ascii="Calibri" w:hAnsi="Calibri"/>
          <w:color w:val="000000"/>
        </w:rPr>
      </w:pPr>
    </w:p>
    <w:p w14:paraId="6EE5D51B" w14:textId="77777777" w:rsidR="00FC0DE0" w:rsidRPr="000B5A9D" w:rsidRDefault="00FC0DE0" w:rsidP="00FC0DE0">
      <w:pPr>
        <w:pStyle w:val="ListParagraph"/>
        <w:numPr>
          <w:ilvl w:val="0"/>
          <w:numId w:val="147"/>
        </w:numPr>
        <w:ind w:left="2160"/>
        <w:rPr>
          <w:rFonts w:ascii="Calibri" w:hAnsi="Calibri"/>
          <w:color w:val="000000"/>
        </w:rPr>
      </w:pPr>
      <w:r>
        <w:rPr>
          <w:rFonts w:ascii="Calibri" w:hAnsi="Calibri"/>
          <w:color w:val="000000"/>
        </w:rPr>
        <w:t>A</w:t>
      </w:r>
      <w:r w:rsidRPr="000B5A9D">
        <w:rPr>
          <w:rFonts w:ascii="Calibri" w:hAnsi="Calibri"/>
          <w:color w:val="000000"/>
        </w:rPr>
        <w:t>llow projects to be funded at either the pilot or demonstration scale.</w:t>
      </w:r>
    </w:p>
    <w:p w14:paraId="022D57F6" w14:textId="4DBB2FAB" w:rsidR="00FC0DE0" w:rsidRPr="00AF2E02" w:rsidRDefault="00FC0DE0" w:rsidP="00FC0DE0">
      <w:pPr>
        <w:pStyle w:val="ListParagraph"/>
        <w:numPr>
          <w:ilvl w:val="0"/>
          <w:numId w:val="147"/>
        </w:numPr>
        <w:ind w:left="2160"/>
        <w:rPr>
          <w:rFonts w:ascii="Calibri" w:hAnsi="Calibri"/>
          <w:color w:val="000000"/>
        </w:rPr>
      </w:pPr>
      <w:r w:rsidRPr="009B155B">
        <w:rPr>
          <w:rFonts w:ascii="Calibri" w:hAnsi="Calibri"/>
          <w:color w:val="000000"/>
        </w:rPr>
        <w:t>Require that projects have the data to show they have completed the</w:t>
      </w:r>
      <w:r w:rsidRPr="000B5A9D">
        <w:rPr>
          <w:rFonts w:ascii="Calibri" w:hAnsi="Calibri"/>
          <w:color w:val="000000"/>
        </w:rPr>
        <w:t xml:space="preserve"> previous stage successfully. </w:t>
      </w:r>
      <w:r>
        <w:rPr>
          <w:rFonts w:ascii="Calibri" w:hAnsi="Calibri"/>
          <w:color w:val="000000"/>
        </w:rPr>
        <w:t xml:space="preserve">BETO will accept this data from either a </w:t>
      </w:r>
      <w:r w:rsidRPr="000B5A9D">
        <w:rPr>
          <w:rFonts w:ascii="Calibri" w:hAnsi="Calibri"/>
          <w:color w:val="000000"/>
        </w:rPr>
        <w:t>previous BETO</w:t>
      </w:r>
      <w:r>
        <w:rPr>
          <w:rFonts w:ascii="Calibri" w:hAnsi="Calibri"/>
          <w:color w:val="000000"/>
        </w:rPr>
        <w:t>-</w:t>
      </w:r>
      <w:r w:rsidRPr="000B5A9D">
        <w:rPr>
          <w:rFonts w:ascii="Calibri" w:hAnsi="Calibri"/>
          <w:color w:val="000000"/>
        </w:rPr>
        <w:t>funded de</w:t>
      </w:r>
      <w:r w:rsidR="00D77AF9">
        <w:rPr>
          <w:rFonts w:ascii="Calibri" w:hAnsi="Calibri"/>
          <w:color w:val="000000"/>
        </w:rPr>
        <w:t>monstration</w:t>
      </w:r>
      <w:r w:rsidRPr="000B5A9D">
        <w:rPr>
          <w:rFonts w:ascii="Calibri" w:hAnsi="Calibri"/>
          <w:color w:val="000000"/>
        </w:rPr>
        <w:t xml:space="preserve"> or </w:t>
      </w:r>
      <w:r>
        <w:rPr>
          <w:rFonts w:ascii="Calibri" w:hAnsi="Calibri"/>
          <w:color w:val="000000"/>
        </w:rPr>
        <w:t xml:space="preserve">a self-completed </w:t>
      </w:r>
      <w:r w:rsidR="00B15035">
        <w:rPr>
          <w:rFonts w:ascii="Calibri" w:hAnsi="Calibri"/>
          <w:color w:val="000000"/>
        </w:rPr>
        <w:t>biorefinery plant operation</w:t>
      </w:r>
      <w:r>
        <w:rPr>
          <w:rFonts w:ascii="Calibri" w:hAnsi="Calibri"/>
          <w:color w:val="000000"/>
        </w:rPr>
        <w:t xml:space="preserve"> performed by the recipient</w:t>
      </w:r>
      <w:r w:rsidRPr="000B5A9D">
        <w:rPr>
          <w:rFonts w:ascii="Calibri" w:hAnsi="Calibri"/>
          <w:color w:val="000000"/>
        </w:rPr>
        <w:t>.</w:t>
      </w:r>
    </w:p>
    <w:p w14:paraId="20942241" w14:textId="0CE68222" w:rsidR="00FC0DE0" w:rsidRPr="00CE573A" w:rsidRDefault="00FC0DE0" w:rsidP="00FC0DE0">
      <w:pPr>
        <w:pStyle w:val="ListParagraph"/>
        <w:numPr>
          <w:ilvl w:val="0"/>
          <w:numId w:val="147"/>
        </w:numPr>
        <w:ind w:left="2160"/>
        <w:rPr>
          <w:rFonts w:ascii="Calibri" w:hAnsi="Calibri"/>
          <w:color w:val="000000"/>
        </w:rPr>
      </w:pPr>
      <w:r w:rsidRPr="00CE573A">
        <w:rPr>
          <w:rFonts w:ascii="Calibri" w:hAnsi="Calibri"/>
          <w:color w:val="000000"/>
        </w:rPr>
        <w:t xml:space="preserve">Provide a consistent </w:t>
      </w:r>
      <w:r w:rsidR="007D3DA5" w:rsidRPr="00CE573A">
        <w:rPr>
          <w:rFonts w:ascii="Calibri" w:hAnsi="Calibri"/>
          <w:color w:val="000000"/>
        </w:rPr>
        <w:t>scale-up funding opportunity</w:t>
      </w:r>
      <w:r w:rsidR="00EC55DF">
        <w:rPr>
          <w:rFonts w:ascii="Calibri" w:hAnsi="Calibri"/>
          <w:color w:val="000000"/>
        </w:rPr>
        <w:t xml:space="preserve"> </w:t>
      </w:r>
      <w:r w:rsidR="00EC55DF" w:rsidRPr="00AF2E02">
        <w:rPr>
          <w:color w:val="000000"/>
        </w:rPr>
        <w:t xml:space="preserve">subject to </w:t>
      </w:r>
      <w:r w:rsidR="00EC55DF">
        <w:rPr>
          <w:color w:val="000000"/>
        </w:rPr>
        <w:t xml:space="preserve">future appropriations and </w:t>
      </w:r>
      <w:r w:rsidR="00EC55DF" w:rsidRPr="00AF2E02">
        <w:rPr>
          <w:color w:val="000000"/>
        </w:rPr>
        <w:t>the availability</w:t>
      </w:r>
      <w:r w:rsidR="00EC55DF">
        <w:rPr>
          <w:color w:val="000000"/>
        </w:rPr>
        <w:t xml:space="preserve"> </w:t>
      </w:r>
      <w:r w:rsidR="00EC55DF" w:rsidRPr="00AF2E02">
        <w:rPr>
          <w:color w:val="000000"/>
        </w:rPr>
        <w:t xml:space="preserve">of </w:t>
      </w:r>
      <w:r w:rsidR="00EC55DF">
        <w:rPr>
          <w:color w:val="000000"/>
        </w:rPr>
        <w:t>funds</w:t>
      </w:r>
      <w:r w:rsidRPr="00CE573A">
        <w:rPr>
          <w:rFonts w:ascii="Calibri" w:hAnsi="Calibri"/>
          <w:color w:val="000000"/>
        </w:rPr>
        <w:t xml:space="preserve"> to decrease the uncertainty surrounding bioenergy technologies in industry. </w:t>
      </w:r>
    </w:p>
    <w:p w14:paraId="6DF2DFB2" w14:textId="77777777" w:rsidR="00FC0DE0" w:rsidRDefault="00FC0DE0" w:rsidP="00FC0DE0">
      <w:pPr>
        <w:pStyle w:val="ListParagraph"/>
        <w:ind w:left="2160"/>
        <w:rPr>
          <w:rFonts w:ascii="Calibri" w:hAnsi="Calibri"/>
          <w:color w:val="000000"/>
        </w:rPr>
      </w:pPr>
    </w:p>
    <w:p w14:paraId="197C9678" w14:textId="6CC7FB47" w:rsidR="00FC0DE0" w:rsidRDefault="00FC0DE0" w:rsidP="00FC0DE0">
      <w:pPr>
        <w:ind w:left="1440"/>
        <w:rPr>
          <w:rFonts w:ascii="Calibri" w:hAnsi="Calibri"/>
          <w:color w:val="000000"/>
        </w:rPr>
      </w:pPr>
      <w:r>
        <w:rPr>
          <w:rFonts w:ascii="Calibri" w:hAnsi="Calibri"/>
          <w:color w:val="000000"/>
        </w:rPr>
        <w:t xml:space="preserve">This continuing </w:t>
      </w:r>
      <w:r w:rsidR="0088794B">
        <w:rPr>
          <w:rFonts w:ascii="Calibri" w:hAnsi="Calibri"/>
          <w:color w:val="000000"/>
        </w:rPr>
        <w:t xml:space="preserve">scale-up </w:t>
      </w:r>
      <w:r>
        <w:rPr>
          <w:rFonts w:ascii="Calibri" w:hAnsi="Calibri"/>
          <w:color w:val="000000"/>
        </w:rPr>
        <w:t>strategy includes a</w:t>
      </w:r>
      <w:r w:rsidRPr="008015FD">
        <w:rPr>
          <w:rFonts w:ascii="Calibri" w:hAnsi="Calibri"/>
          <w:color w:val="000000"/>
        </w:rPr>
        <w:t xml:space="preserve"> multi-faceted approach in partnership with the private sector, the DOE national laboratories, and academia</w:t>
      </w:r>
      <w:r>
        <w:rPr>
          <w:rFonts w:ascii="Calibri" w:hAnsi="Calibri"/>
          <w:color w:val="000000"/>
        </w:rPr>
        <w:t>,</w:t>
      </w:r>
      <w:r w:rsidRPr="008015FD">
        <w:rPr>
          <w:rFonts w:ascii="Calibri" w:hAnsi="Calibri"/>
          <w:color w:val="000000"/>
        </w:rPr>
        <w:t xml:space="preserve"> </w:t>
      </w:r>
      <w:r>
        <w:rPr>
          <w:rFonts w:ascii="Calibri" w:hAnsi="Calibri"/>
          <w:color w:val="000000"/>
        </w:rPr>
        <w:t>which brings together</w:t>
      </w:r>
      <w:r w:rsidRPr="008015FD">
        <w:rPr>
          <w:rFonts w:ascii="Calibri" w:hAnsi="Calibri"/>
          <w:color w:val="000000"/>
        </w:rPr>
        <w:t xml:space="preserve"> the </w:t>
      </w:r>
      <w:r w:rsidRPr="00127784">
        <w:rPr>
          <w:rFonts w:ascii="Calibri" w:hAnsi="Calibri"/>
          <w:color w:val="000000"/>
        </w:rPr>
        <w:t>following elements:</w:t>
      </w:r>
    </w:p>
    <w:p w14:paraId="0A6A40BB" w14:textId="27848F51" w:rsidR="006F065C" w:rsidRPr="008015FD" w:rsidRDefault="00FC0DE0" w:rsidP="00C16CE0">
      <w:pPr>
        <w:numPr>
          <w:ilvl w:val="0"/>
          <w:numId w:val="148"/>
        </w:numPr>
        <w:pBdr>
          <w:top w:val="nil"/>
          <w:left w:val="nil"/>
          <w:bottom w:val="nil"/>
          <w:right w:val="nil"/>
          <w:between w:val="nil"/>
        </w:pBdr>
        <w:tabs>
          <w:tab w:val="left" w:pos="2160"/>
        </w:tabs>
        <w:ind w:left="2160"/>
        <w:rPr>
          <w:rFonts w:ascii="Calibri" w:hAnsi="Calibri"/>
          <w:color w:val="000000"/>
        </w:rPr>
      </w:pPr>
      <w:r>
        <w:rPr>
          <w:rFonts w:ascii="Calibri" w:hAnsi="Calibri"/>
          <w:color w:val="000000"/>
        </w:rPr>
        <w:t>Focus on the RD&amp;D of</w:t>
      </w:r>
      <w:r w:rsidRPr="008015FD">
        <w:rPr>
          <w:rFonts w:ascii="Calibri" w:hAnsi="Calibri"/>
          <w:color w:val="000000"/>
        </w:rPr>
        <w:t xml:space="preserve"> </w:t>
      </w:r>
      <w:r>
        <w:rPr>
          <w:rFonts w:ascii="Calibri" w:hAnsi="Calibri"/>
          <w:color w:val="000000"/>
        </w:rPr>
        <w:t>s</w:t>
      </w:r>
      <w:r w:rsidRPr="00665440">
        <w:rPr>
          <w:rFonts w:ascii="Calibri" w:hAnsi="Calibri"/>
          <w:color w:val="000000"/>
        </w:rPr>
        <w:t>ustainable aviation fuel</w:t>
      </w:r>
      <w:r w:rsidRPr="00665440">
        <w:rPr>
          <w:rFonts w:ascii="Calibri" w:hAnsi="Calibri"/>
          <w:color w:val="000000"/>
          <w:vertAlign w:val="superscript"/>
        </w:rPr>
        <w:footnoteReference w:id="10"/>
      </w:r>
      <w:r w:rsidRPr="00665440">
        <w:rPr>
          <w:rFonts w:ascii="Calibri" w:hAnsi="Calibri"/>
          <w:color w:val="000000"/>
        </w:rPr>
        <w:t>,</w:t>
      </w:r>
      <w:r w:rsidR="00AF21A1">
        <w:rPr>
          <w:rFonts w:ascii="Calibri" w:hAnsi="Calibri"/>
          <w:color w:val="000000"/>
        </w:rPr>
        <w:t xml:space="preserve"> heavy-duty</w:t>
      </w:r>
      <w:r w:rsidR="00125E70">
        <w:rPr>
          <w:rFonts w:ascii="Calibri" w:hAnsi="Calibri"/>
          <w:color w:val="000000"/>
        </w:rPr>
        <w:t xml:space="preserve"> truck</w:t>
      </w:r>
      <w:r w:rsidR="009876E9">
        <w:rPr>
          <w:rStyle w:val="FootnoteReference"/>
          <w:rFonts w:ascii="Calibri" w:hAnsi="Calibri"/>
          <w:color w:val="000000"/>
        </w:rPr>
        <w:footnoteReference w:id="11"/>
      </w:r>
      <w:r w:rsidR="00DD7580">
        <w:rPr>
          <w:rFonts w:ascii="Calibri" w:hAnsi="Calibri"/>
          <w:color w:val="000000"/>
        </w:rPr>
        <w:t xml:space="preserve"> fuel</w:t>
      </w:r>
      <w:r w:rsidR="00AF21A1">
        <w:rPr>
          <w:rFonts w:ascii="Calibri" w:hAnsi="Calibri"/>
          <w:color w:val="000000"/>
        </w:rPr>
        <w:t xml:space="preserve">, </w:t>
      </w:r>
      <w:r w:rsidRPr="00665440">
        <w:rPr>
          <w:rFonts w:ascii="Calibri" w:hAnsi="Calibri"/>
          <w:color w:val="000000"/>
        </w:rPr>
        <w:t>sustainable marine fuel</w:t>
      </w:r>
      <w:r w:rsidRPr="00665440">
        <w:rPr>
          <w:rFonts w:ascii="Calibri" w:hAnsi="Calibri"/>
          <w:color w:val="000000"/>
          <w:vertAlign w:val="superscript"/>
        </w:rPr>
        <w:footnoteReference w:id="12"/>
      </w:r>
      <w:r w:rsidRPr="00665440">
        <w:rPr>
          <w:rFonts w:ascii="Calibri" w:hAnsi="Calibri"/>
          <w:color w:val="000000"/>
        </w:rPr>
        <w:t xml:space="preserve">, </w:t>
      </w:r>
      <w:r w:rsidR="00A872D3">
        <w:rPr>
          <w:rFonts w:ascii="Calibri" w:hAnsi="Calibri"/>
          <w:color w:val="000000"/>
        </w:rPr>
        <w:t>off-road vehicle</w:t>
      </w:r>
      <w:r w:rsidR="00FA1DBF">
        <w:rPr>
          <w:rFonts w:ascii="Calibri" w:hAnsi="Calibri"/>
          <w:color w:val="000000"/>
        </w:rPr>
        <w:t xml:space="preserve"> fuel</w:t>
      </w:r>
      <w:r w:rsidR="008638B1">
        <w:rPr>
          <w:rStyle w:val="FootnoteReference"/>
          <w:rFonts w:ascii="Calibri" w:hAnsi="Calibri"/>
          <w:color w:val="000000"/>
        </w:rPr>
        <w:footnoteReference w:id="13"/>
      </w:r>
      <w:r w:rsidR="008638B1">
        <w:rPr>
          <w:rFonts w:ascii="Calibri" w:hAnsi="Calibri"/>
          <w:color w:val="000000"/>
        </w:rPr>
        <w:t>,</w:t>
      </w:r>
      <w:r w:rsidRPr="00665440">
        <w:rPr>
          <w:rFonts w:ascii="Calibri" w:hAnsi="Calibri"/>
          <w:color w:val="000000"/>
        </w:rPr>
        <w:t xml:space="preserve"> sustainable rail fuel</w:t>
      </w:r>
      <w:r w:rsidRPr="00665440">
        <w:rPr>
          <w:rFonts w:ascii="Calibri" w:hAnsi="Calibri"/>
          <w:color w:val="000000"/>
          <w:vertAlign w:val="superscript"/>
        </w:rPr>
        <w:footnoteReference w:id="14"/>
      </w:r>
      <w:bookmarkStart w:id="23" w:name="_Hlk68271457"/>
      <w:r w:rsidR="008A4871">
        <w:rPr>
          <w:rFonts w:ascii="Calibri" w:hAnsi="Calibri"/>
          <w:color w:val="000000"/>
        </w:rPr>
        <w:t xml:space="preserve"> and renewable </w:t>
      </w:r>
      <w:r w:rsidR="0032017E">
        <w:rPr>
          <w:rFonts w:ascii="Calibri" w:hAnsi="Calibri"/>
          <w:color w:val="000000"/>
        </w:rPr>
        <w:t xml:space="preserve">organic </w:t>
      </w:r>
      <w:r w:rsidR="008A4871">
        <w:rPr>
          <w:rFonts w:ascii="Calibri" w:hAnsi="Calibri"/>
          <w:color w:val="000000"/>
        </w:rPr>
        <w:t>chemicals</w:t>
      </w:r>
      <w:r w:rsidR="009068F3">
        <w:rPr>
          <w:rFonts w:ascii="Calibri" w:hAnsi="Calibri"/>
          <w:color w:val="000000"/>
        </w:rPr>
        <w:t xml:space="preserve">; </w:t>
      </w:r>
      <w:bookmarkEnd w:id="23"/>
    </w:p>
    <w:p w14:paraId="6BF54F3E" w14:textId="213FED83" w:rsidR="00FC0DE0" w:rsidRDefault="00FC0DE0" w:rsidP="00FC0DE0">
      <w:pPr>
        <w:numPr>
          <w:ilvl w:val="0"/>
          <w:numId w:val="148"/>
        </w:numPr>
        <w:pBdr>
          <w:top w:val="nil"/>
          <w:left w:val="nil"/>
          <w:bottom w:val="nil"/>
          <w:right w:val="nil"/>
          <w:between w:val="nil"/>
        </w:pBdr>
        <w:tabs>
          <w:tab w:val="left" w:pos="2160"/>
        </w:tabs>
        <w:ind w:left="2160"/>
        <w:rPr>
          <w:rFonts w:ascii="Calibri" w:hAnsi="Calibri"/>
          <w:color w:val="000000"/>
        </w:rPr>
      </w:pPr>
      <w:r>
        <w:rPr>
          <w:rFonts w:ascii="Calibri" w:hAnsi="Calibri"/>
          <w:color w:val="000000"/>
        </w:rPr>
        <w:t>Provision of o</w:t>
      </w:r>
      <w:r w:rsidRPr="008015FD">
        <w:rPr>
          <w:rFonts w:ascii="Calibri" w:hAnsi="Calibri"/>
          <w:color w:val="000000"/>
        </w:rPr>
        <w:t>pportunities for pilot</w:t>
      </w:r>
      <w:r>
        <w:rPr>
          <w:rFonts w:ascii="Calibri" w:hAnsi="Calibri"/>
          <w:color w:val="000000"/>
        </w:rPr>
        <w:t>-</w:t>
      </w:r>
      <w:r w:rsidRPr="008015FD">
        <w:rPr>
          <w:rFonts w:ascii="Calibri" w:hAnsi="Calibri"/>
          <w:color w:val="000000"/>
        </w:rPr>
        <w:t xml:space="preserve"> and demonstration</w:t>
      </w:r>
      <w:r>
        <w:rPr>
          <w:rFonts w:ascii="Calibri" w:hAnsi="Calibri"/>
          <w:color w:val="000000"/>
        </w:rPr>
        <w:t>-</w:t>
      </w:r>
      <w:r w:rsidRPr="008015FD">
        <w:rPr>
          <w:rFonts w:ascii="Calibri" w:hAnsi="Calibri"/>
          <w:color w:val="000000"/>
        </w:rPr>
        <w:t>scale projects</w:t>
      </w:r>
      <w:r>
        <w:rPr>
          <w:rFonts w:ascii="Calibri" w:hAnsi="Calibri"/>
          <w:color w:val="000000"/>
        </w:rPr>
        <w:t>;</w:t>
      </w:r>
    </w:p>
    <w:p w14:paraId="68C55C5C" w14:textId="237AE1BB" w:rsidR="00C16CE0" w:rsidRDefault="00C16CE0" w:rsidP="00FC0DE0">
      <w:pPr>
        <w:numPr>
          <w:ilvl w:val="0"/>
          <w:numId w:val="148"/>
        </w:numPr>
        <w:pBdr>
          <w:top w:val="nil"/>
          <w:left w:val="nil"/>
          <w:bottom w:val="nil"/>
          <w:right w:val="nil"/>
          <w:between w:val="nil"/>
        </w:pBdr>
        <w:tabs>
          <w:tab w:val="left" w:pos="2160"/>
        </w:tabs>
        <w:ind w:left="2160"/>
        <w:rPr>
          <w:rFonts w:ascii="Calibri" w:hAnsi="Calibri"/>
          <w:color w:val="000000"/>
        </w:rPr>
      </w:pPr>
      <w:r>
        <w:rPr>
          <w:rFonts w:ascii="Calibri" w:hAnsi="Calibri"/>
          <w:color w:val="000000"/>
        </w:rPr>
        <w:t xml:space="preserve">Allowance for renewable fuels that are not liquid at standard temperature and pressure; e.g, </w:t>
      </w:r>
      <w:r w:rsidR="0051086A">
        <w:rPr>
          <w:rFonts w:ascii="Calibri" w:hAnsi="Calibri"/>
          <w:color w:val="000000"/>
        </w:rPr>
        <w:t xml:space="preserve"> liquefied petroleum gas (</w:t>
      </w:r>
      <w:r>
        <w:rPr>
          <w:rFonts w:ascii="Calibri" w:hAnsi="Calibri"/>
          <w:color w:val="000000"/>
        </w:rPr>
        <w:t xml:space="preserve"> LPG</w:t>
      </w:r>
      <w:r w:rsidR="0051086A">
        <w:rPr>
          <w:rFonts w:ascii="Calibri" w:hAnsi="Calibri"/>
          <w:color w:val="000000"/>
        </w:rPr>
        <w:t>)</w:t>
      </w:r>
      <w:r>
        <w:rPr>
          <w:rFonts w:ascii="Calibri" w:hAnsi="Calibri"/>
          <w:color w:val="000000"/>
        </w:rPr>
        <w:t xml:space="preserve"> or </w:t>
      </w:r>
      <w:r w:rsidR="0051086A">
        <w:rPr>
          <w:rFonts w:ascii="Calibri" w:hAnsi="Calibri"/>
          <w:color w:val="000000"/>
        </w:rPr>
        <w:t>renewable natural gas (</w:t>
      </w:r>
      <w:r>
        <w:rPr>
          <w:rFonts w:ascii="Calibri" w:hAnsi="Calibri"/>
          <w:color w:val="000000"/>
        </w:rPr>
        <w:t>RNG</w:t>
      </w:r>
      <w:r w:rsidR="0051086A">
        <w:rPr>
          <w:rFonts w:ascii="Calibri" w:hAnsi="Calibri"/>
          <w:color w:val="000000"/>
        </w:rPr>
        <w:t>)</w:t>
      </w:r>
      <w:r>
        <w:rPr>
          <w:rFonts w:ascii="Calibri" w:hAnsi="Calibri"/>
          <w:color w:val="000000"/>
        </w:rPr>
        <w:t>;</w:t>
      </w:r>
    </w:p>
    <w:p w14:paraId="3CEDE633" w14:textId="1795E1B1" w:rsidR="00FC0DE0" w:rsidRDefault="003C6654" w:rsidP="00FC0DE0">
      <w:pPr>
        <w:numPr>
          <w:ilvl w:val="0"/>
          <w:numId w:val="148"/>
        </w:numPr>
        <w:pBdr>
          <w:top w:val="nil"/>
          <w:left w:val="nil"/>
          <w:bottom w:val="nil"/>
          <w:right w:val="nil"/>
          <w:between w:val="nil"/>
        </w:pBdr>
        <w:tabs>
          <w:tab w:val="left" w:pos="2160"/>
        </w:tabs>
        <w:ind w:left="2160"/>
        <w:rPr>
          <w:rFonts w:ascii="Calibri" w:hAnsi="Calibri"/>
          <w:color w:val="000000"/>
        </w:rPr>
      </w:pPr>
      <w:r>
        <w:rPr>
          <w:rFonts w:ascii="Calibri" w:hAnsi="Calibri"/>
          <w:color w:val="000000"/>
        </w:rPr>
        <w:t>Inclusion of</w:t>
      </w:r>
      <w:r w:rsidR="00FC0DE0">
        <w:rPr>
          <w:rFonts w:ascii="Calibri" w:hAnsi="Calibri"/>
          <w:color w:val="000000"/>
        </w:rPr>
        <w:t xml:space="preserve"> opportunities for a variety of feedstocks including traditional agricultural and forestry wastes, other lignocellulosic feedstocks, algae, organic wet waste, sorted municipal solid waste, food waste, biogas, grain starch, oilseed crops, waste carbon dioxide (CO</w:t>
      </w:r>
      <w:r w:rsidR="00FC0DE0" w:rsidRPr="00A10799">
        <w:rPr>
          <w:rFonts w:ascii="Calibri" w:hAnsi="Calibri"/>
          <w:color w:val="000000"/>
          <w:vertAlign w:val="subscript"/>
        </w:rPr>
        <w:t>2</w:t>
      </w:r>
      <w:r w:rsidR="00FC0DE0">
        <w:rPr>
          <w:rFonts w:ascii="Calibri" w:hAnsi="Calibri"/>
          <w:color w:val="000000"/>
        </w:rPr>
        <w:t>), and CO</w:t>
      </w:r>
      <w:r w:rsidR="00FC0DE0" w:rsidRPr="00A10799">
        <w:rPr>
          <w:rFonts w:ascii="Calibri" w:hAnsi="Calibri"/>
          <w:color w:val="000000"/>
          <w:vertAlign w:val="subscript"/>
        </w:rPr>
        <w:t>2</w:t>
      </w:r>
      <w:r w:rsidR="00FC0DE0">
        <w:rPr>
          <w:rFonts w:ascii="Calibri" w:hAnsi="Calibri"/>
          <w:color w:val="000000"/>
        </w:rPr>
        <w:t xml:space="preserve"> by direct air capture. Reference Appendix E for a full list of acceptable feedstocks for each Topic Area. </w:t>
      </w:r>
      <w:r w:rsidR="00FC0DE0" w:rsidRPr="00DB5654">
        <w:rPr>
          <w:rFonts w:ascii="Calibri" w:hAnsi="Calibri"/>
          <w:b/>
          <w:bCs/>
          <w:color w:val="000000"/>
        </w:rPr>
        <w:t xml:space="preserve">Any </w:t>
      </w:r>
      <w:r w:rsidR="00FC0DE0">
        <w:rPr>
          <w:rFonts w:ascii="Calibri" w:hAnsi="Calibri"/>
          <w:b/>
          <w:bCs/>
          <w:color w:val="000000"/>
        </w:rPr>
        <w:t xml:space="preserve">application or project proposing the use of any </w:t>
      </w:r>
      <w:r w:rsidR="00FC0DE0" w:rsidRPr="00DB5654">
        <w:rPr>
          <w:rFonts w:ascii="Calibri" w:hAnsi="Calibri"/>
          <w:b/>
          <w:bCs/>
          <w:color w:val="000000"/>
        </w:rPr>
        <w:t xml:space="preserve">feedstock source not included in Appendix </w:t>
      </w:r>
      <w:r w:rsidR="00FC0DE0">
        <w:rPr>
          <w:rFonts w:ascii="Calibri" w:hAnsi="Calibri"/>
          <w:b/>
          <w:bCs/>
          <w:color w:val="000000"/>
        </w:rPr>
        <w:t>E is not of interest under this FOA and will not be considered</w:t>
      </w:r>
      <w:r w:rsidR="00FC0DE0">
        <w:rPr>
          <w:rFonts w:ascii="Calibri" w:hAnsi="Calibri"/>
          <w:color w:val="000000"/>
        </w:rPr>
        <w:t>.</w:t>
      </w:r>
    </w:p>
    <w:p w14:paraId="0DA502EE" w14:textId="59DE1198" w:rsidR="00FC0DE0" w:rsidRPr="00140EBD" w:rsidRDefault="003C6654" w:rsidP="00FC0DE0">
      <w:pPr>
        <w:numPr>
          <w:ilvl w:val="0"/>
          <w:numId w:val="148"/>
        </w:numPr>
        <w:pBdr>
          <w:top w:val="nil"/>
          <w:left w:val="nil"/>
          <w:bottom w:val="nil"/>
          <w:right w:val="nil"/>
          <w:between w:val="nil"/>
        </w:pBdr>
        <w:tabs>
          <w:tab w:val="left" w:pos="2160"/>
        </w:tabs>
        <w:ind w:left="2160"/>
        <w:rPr>
          <w:rFonts w:ascii="Calibri" w:hAnsi="Calibri"/>
          <w:color w:val="000000"/>
        </w:rPr>
      </w:pPr>
      <w:r w:rsidRPr="008015FD">
        <w:rPr>
          <w:rFonts w:ascii="Calibri" w:hAnsi="Calibri"/>
          <w:color w:val="000000"/>
        </w:rPr>
        <w:t>Leverag</w:t>
      </w:r>
      <w:r>
        <w:rPr>
          <w:rFonts w:ascii="Calibri" w:hAnsi="Calibri"/>
          <w:color w:val="000000"/>
        </w:rPr>
        <w:t>ing</w:t>
      </w:r>
      <w:r w:rsidR="00FC0DE0" w:rsidRPr="008015FD">
        <w:rPr>
          <w:rFonts w:ascii="Calibri" w:hAnsi="Calibri"/>
          <w:color w:val="000000"/>
        </w:rPr>
        <w:t xml:space="preserve"> </w:t>
      </w:r>
      <w:r w:rsidR="00FC0DE0">
        <w:rPr>
          <w:rFonts w:ascii="Calibri" w:hAnsi="Calibri"/>
          <w:color w:val="000000"/>
        </w:rPr>
        <w:t>the</w:t>
      </w:r>
      <w:r w:rsidR="00FC0DE0" w:rsidRPr="008015FD">
        <w:rPr>
          <w:rFonts w:ascii="Calibri" w:hAnsi="Calibri"/>
          <w:color w:val="000000"/>
        </w:rPr>
        <w:t xml:space="preserve"> existing infrastructure</w:t>
      </w:r>
      <w:r w:rsidR="00FC0DE0">
        <w:rPr>
          <w:rFonts w:ascii="Calibri" w:hAnsi="Calibri"/>
          <w:color w:val="000000"/>
        </w:rPr>
        <w:t xml:space="preserve">, supply chains, and resources </w:t>
      </w:r>
      <w:r w:rsidR="00FC0DE0" w:rsidRPr="008015FD">
        <w:rPr>
          <w:rFonts w:ascii="Calibri" w:hAnsi="Calibri"/>
          <w:color w:val="000000"/>
        </w:rPr>
        <w:t xml:space="preserve">from </w:t>
      </w:r>
      <w:r w:rsidR="00FC0DE0">
        <w:rPr>
          <w:rFonts w:ascii="Calibri" w:hAnsi="Calibri"/>
          <w:color w:val="000000"/>
        </w:rPr>
        <w:t>adjacent</w:t>
      </w:r>
      <w:r w:rsidR="00FC0DE0" w:rsidRPr="008015FD">
        <w:rPr>
          <w:rFonts w:ascii="Calibri" w:hAnsi="Calibri"/>
          <w:color w:val="000000"/>
        </w:rPr>
        <w:t xml:space="preserve"> industries, </w:t>
      </w:r>
      <w:r w:rsidR="00FC0DE0" w:rsidRPr="00140EBD">
        <w:rPr>
          <w:rFonts w:ascii="Calibri" w:hAnsi="Calibri"/>
          <w:color w:val="000000"/>
        </w:rPr>
        <w:t xml:space="preserve">including but not limited to </w:t>
      </w:r>
      <w:r w:rsidR="00FC0DE0">
        <w:rPr>
          <w:rFonts w:ascii="Calibri" w:hAnsi="Calibri"/>
          <w:color w:val="000000"/>
        </w:rPr>
        <w:t xml:space="preserve">first-generation biorefineries, </w:t>
      </w:r>
      <w:r w:rsidR="00FC0DE0" w:rsidRPr="00140EBD">
        <w:rPr>
          <w:rFonts w:ascii="Calibri" w:hAnsi="Calibri"/>
          <w:color w:val="000000"/>
        </w:rPr>
        <w:t>petrochemical</w:t>
      </w:r>
      <w:r w:rsidR="00FC0DE0">
        <w:rPr>
          <w:rFonts w:ascii="Calibri" w:hAnsi="Calibri"/>
          <w:color w:val="000000"/>
        </w:rPr>
        <w:t xml:space="preserve"> production,</w:t>
      </w:r>
      <w:r w:rsidR="00FC0DE0" w:rsidRPr="00140EBD">
        <w:rPr>
          <w:rFonts w:ascii="Calibri" w:hAnsi="Calibri"/>
          <w:color w:val="000000"/>
        </w:rPr>
        <w:t xml:space="preserve"> and pulp and paper</w:t>
      </w:r>
      <w:r w:rsidR="00FC0DE0">
        <w:rPr>
          <w:rFonts w:ascii="Calibri" w:hAnsi="Calibri"/>
          <w:color w:val="000000"/>
        </w:rPr>
        <w:t xml:space="preserve"> production</w:t>
      </w:r>
      <w:r w:rsidR="00FC0DE0" w:rsidRPr="00140EBD">
        <w:rPr>
          <w:rFonts w:ascii="Calibri" w:hAnsi="Calibri"/>
          <w:color w:val="000000"/>
        </w:rPr>
        <w:t>;</w:t>
      </w:r>
      <w:r w:rsidR="00FC0DE0">
        <w:rPr>
          <w:rFonts w:ascii="Calibri" w:hAnsi="Calibri"/>
          <w:color w:val="000000"/>
        </w:rPr>
        <w:t xml:space="preserve"> and</w:t>
      </w:r>
    </w:p>
    <w:p w14:paraId="0E6E141E" w14:textId="3755ED3B" w:rsidR="00FC0DE0" w:rsidRPr="00140EBD" w:rsidRDefault="00FC0DE0" w:rsidP="00FC0DE0">
      <w:pPr>
        <w:numPr>
          <w:ilvl w:val="0"/>
          <w:numId w:val="148"/>
        </w:numPr>
        <w:pBdr>
          <w:top w:val="nil"/>
          <w:left w:val="nil"/>
          <w:bottom w:val="nil"/>
          <w:right w:val="nil"/>
          <w:between w:val="nil"/>
        </w:pBdr>
        <w:tabs>
          <w:tab w:val="left" w:pos="2160"/>
        </w:tabs>
        <w:ind w:left="2160"/>
        <w:rPr>
          <w:rFonts w:ascii="Calibri" w:hAnsi="Calibri"/>
          <w:color w:val="000000"/>
        </w:rPr>
      </w:pPr>
      <w:r w:rsidRPr="000867A8">
        <w:rPr>
          <w:rFonts w:ascii="Calibri" w:hAnsi="Calibri"/>
          <w:color w:val="000000"/>
        </w:rPr>
        <w:t>Encourag</w:t>
      </w:r>
      <w:r w:rsidR="003C6654">
        <w:rPr>
          <w:rFonts w:ascii="Calibri" w:hAnsi="Calibri"/>
          <w:color w:val="000000"/>
        </w:rPr>
        <w:t>ing</w:t>
      </w:r>
      <w:r w:rsidRPr="000867A8">
        <w:rPr>
          <w:rFonts w:ascii="Calibri" w:hAnsi="Calibri"/>
          <w:color w:val="000000"/>
        </w:rPr>
        <w:t xml:space="preserve"> the </w:t>
      </w:r>
      <w:r w:rsidRPr="00140EBD">
        <w:rPr>
          <w:rFonts w:ascii="Calibri" w:hAnsi="Calibri"/>
          <w:color w:val="000000"/>
        </w:rPr>
        <w:t>development and use of predictive models and high</w:t>
      </w:r>
      <w:r>
        <w:rPr>
          <w:rFonts w:ascii="Calibri" w:hAnsi="Calibri"/>
          <w:color w:val="000000"/>
        </w:rPr>
        <w:t>-</w:t>
      </w:r>
      <w:r w:rsidRPr="00140EBD">
        <w:rPr>
          <w:rFonts w:ascii="Calibri" w:hAnsi="Calibri"/>
          <w:color w:val="000000"/>
        </w:rPr>
        <w:t>performance computing as tools to lower risk and accelerate scale-up of biotechnologies.</w:t>
      </w:r>
    </w:p>
    <w:p w14:paraId="30068A75" w14:textId="77777777" w:rsidR="00FC0DE0" w:rsidRPr="008015FD" w:rsidRDefault="00FC0DE0" w:rsidP="00FC0DE0">
      <w:pPr>
        <w:tabs>
          <w:tab w:val="left" w:pos="1440"/>
        </w:tabs>
        <w:ind w:left="1350"/>
        <w:rPr>
          <w:rFonts w:ascii="Calibri" w:hAnsi="Calibri"/>
          <w:color w:val="000000"/>
        </w:rPr>
      </w:pPr>
    </w:p>
    <w:p w14:paraId="05FA6FE4" w14:textId="77777777" w:rsidR="00FC0DE0" w:rsidRPr="008015FD" w:rsidRDefault="00FC0DE0" w:rsidP="00FC0DE0">
      <w:pPr>
        <w:tabs>
          <w:tab w:val="left" w:pos="1440"/>
        </w:tabs>
        <w:ind w:left="1440"/>
        <w:rPr>
          <w:rFonts w:ascii="Calibri" w:hAnsi="Calibri"/>
          <w:color w:val="000000"/>
        </w:rPr>
      </w:pPr>
      <w:r w:rsidRPr="008015FD">
        <w:rPr>
          <w:rFonts w:ascii="Calibri" w:hAnsi="Calibri"/>
          <w:color w:val="000000"/>
        </w:rPr>
        <w:lastRenderedPageBreak/>
        <w:t xml:space="preserve">The goal for this work is to help speed the uptake and commercialization of these technologies by the private sector. </w:t>
      </w:r>
    </w:p>
    <w:p w14:paraId="73A338F2" w14:textId="77777777" w:rsidR="00FC0DE0" w:rsidRDefault="00FC0DE0" w:rsidP="00FC0DE0">
      <w:pPr>
        <w:ind w:left="1440"/>
        <w:rPr>
          <w:rFonts w:ascii="Calibri" w:hAnsi="Calibri"/>
          <w:color w:val="000000"/>
        </w:rPr>
      </w:pPr>
    </w:p>
    <w:p w14:paraId="329416CF" w14:textId="4FB8101D" w:rsidR="00FC0DE0" w:rsidRPr="00A34C9A" w:rsidRDefault="00FC0DE0" w:rsidP="00A34C9A">
      <w:pPr>
        <w:tabs>
          <w:tab w:val="left" w:pos="1440"/>
        </w:tabs>
        <w:ind w:left="1350"/>
        <w:rPr>
          <w:rFonts w:ascii="Calibri" w:hAnsi="Calibri"/>
          <w:color w:val="000000"/>
        </w:rPr>
      </w:pPr>
      <w:r w:rsidRPr="00CE573A">
        <w:rPr>
          <w:color w:val="000000"/>
        </w:rPr>
        <w:t>To reach that goal, the FOA will</w:t>
      </w:r>
      <w:r w:rsidRPr="00CE573A">
        <w:rPr>
          <w:rFonts w:ascii="Calibri" w:hAnsi="Calibri"/>
          <w:color w:val="000000"/>
        </w:rPr>
        <w:t xml:space="preserve"> fund projects at various levels of technology readiness from pilot to demonstration scale, jointly ranging from Technology Readiness Level (TRL) 5 to 7.  BETO is focused on funding these larger-scale applications with the goal of providing a path to the construction and commissioning of four to five demonstration-scale renewable-fuel-producing biorefineries by 2030. Of particular interest are those proposing technologies that support fuels for sustainable aviation, marine, rail, </w:t>
      </w:r>
      <w:r w:rsidR="006F2F28" w:rsidRPr="00CE573A">
        <w:rPr>
          <w:rFonts w:ascii="Calibri" w:hAnsi="Calibri"/>
          <w:color w:val="000000"/>
        </w:rPr>
        <w:t xml:space="preserve">off-road </w:t>
      </w:r>
      <w:r w:rsidRPr="00CE573A">
        <w:rPr>
          <w:rFonts w:ascii="Calibri" w:hAnsi="Calibri"/>
          <w:color w:val="000000"/>
        </w:rPr>
        <w:t xml:space="preserve">and </w:t>
      </w:r>
      <w:r w:rsidR="003108EB" w:rsidRPr="00CE573A">
        <w:rPr>
          <w:rFonts w:ascii="Calibri" w:hAnsi="Calibri"/>
          <w:color w:val="000000"/>
        </w:rPr>
        <w:t>heavy-duty</w:t>
      </w:r>
      <w:r w:rsidRPr="00CE573A">
        <w:rPr>
          <w:rFonts w:ascii="Calibri" w:hAnsi="Calibri"/>
          <w:color w:val="000000"/>
        </w:rPr>
        <w:t xml:space="preserve"> </w:t>
      </w:r>
      <w:r w:rsidR="00E31BA3" w:rsidRPr="00CE573A">
        <w:rPr>
          <w:rFonts w:ascii="Calibri" w:hAnsi="Calibri"/>
          <w:color w:val="000000"/>
        </w:rPr>
        <w:t>transportation modes</w:t>
      </w:r>
      <w:r w:rsidR="004215C4" w:rsidRPr="00CE573A">
        <w:rPr>
          <w:rFonts w:ascii="Calibri" w:hAnsi="Calibri"/>
          <w:color w:val="000000"/>
        </w:rPr>
        <w:t xml:space="preserve"> (as opposed to</w:t>
      </w:r>
      <w:r w:rsidR="00F5301A" w:rsidRPr="00CE573A">
        <w:rPr>
          <w:rFonts w:ascii="Calibri" w:hAnsi="Calibri"/>
          <w:color w:val="000000"/>
        </w:rPr>
        <w:t xml:space="preserve"> light-duty vehicles)</w:t>
      </w:r>
      <w:r w:rsidR="00E31BA3" w:rsidRPr="00CE573A">
        <w:rPr>
          <w:rFonts w:ascii="Calibri" w:hAnsi="Calibri"/>
          <w:color w:val="000000"/>
        </w:rPr>
        <w:t>;</w:t>
      </w:r>
      <w:r w:rsidRPr="00CE573A">
        <w:rPr>
          <w:rFonts w:ascii="Calibri" w:hAnsi="Calibri"/>
          <w:color w:val="000000"/>
        </w:rPr>
        <w:t xml:space="preserve"> CO</w:t>
      </w:r>
      <w:r w:rsidRPr="00CE573A">
        <w:rPr>
          <w:rFonts w:ascii="Calibri" w:hAnsi="Calibri"/>
          <w:color w:val="000000"/>
          <w:vertAlign w:val="subscript"/>
        </w:rPr>
        <w:t>2</w:t>
      </w:r>
      <w:r w:rsidRPr="00CE573A">
        <w:rPr>
          <w:rFonts w:ascii="Calibri" w:hAnsi="Calibri"/>
          <w:color w:val="000000"/>
        </w:rPr>
        <w:t xml:space="preserve"> conversion; waste and underutilized carbon feedstocks</w:t>
      </w:r>
      <w:r w:rsidRPr="00CE573A">
        <w:rPr>
          <w:rFonts w:ascii="Calibri" w:hAnsi="Calibri"/>
          <w:color w:val="000000"/>
          <w:vertAlign w:val="superscript"/>
        </w:rPr>
        <w:footnoteReference w:id="15"/>
      </w:r>
      <w:r w:rsidRPr="00CE573A">
        <w:rPr>
          <w:rFonts w:ascii="Calibri" w:hAnsi="Calibri"/>
          <w:color w:val="000000"/>
        </w:rPr>
        <w:t>; and novel process technologies at the pilot and demonstration scales that leverage existing first-generation biorefinery assets and infrastructure.</w:t>
      </w:r>
    </w:p>
    <w:p w14:paraId="763BC103" w14:textId="77777777" w:rsidR="00FC0DE0" w:rsidRDefault="00FC0DE0" w:rsidP="00FC0DE0">
      <w:pPr>
        <w:ind w:left="1440"/>
      </w:pPr>
    </w:p>
    <w:p w14:paraId="6D688AAC" w14:textId="35A1A7BE" w:rsidR="00FC0DE0" w:rsidRPr="00CE573A" w:rsidRDefault="00FC0DE0" w:rsidP="00FC0DE0">
      <w:pPr>
        <w:ind w:left="1440"/>
        <w:rPr>
          <w:rStyle w:val="14Calibri"/>
          <w:sz w:val="24"/>
        </w:rPr>
      </w:pPr>
      <w:r w:rsidRPr="00CE573A">
        <w:rPr>
          <w:rFonts w:ascii="Calibri" w:hAnsi="Calibri"/>
          <w:color w:val="000000"/>
        </w:rPr>
        <w:t>BETO anticipates the availability of $12,000,000 to fund Topic Areas 1</w:t>
      </w:r>
      <w:r w:rsidR="0055041A" w:rsidRPr="00CE573A">
        <w:rPr>
          <w:rFonts w:ascii="Calibri" w:hAnsi="Calibri"/>
          <w:color w:val="000000"/>
        </w:rPr>
        <w:t>,</w:t>
      </w:r>
      <w:r w:rsidRPr="00CE573A">
        <w:rPr>
          <w:rFonts w:ascii="Calibri" w:hAnsi="Calibri"/>
          <w:color w:val="000000"/>
        </w:rPr>
        <w:t xml:space="preserve"> 2</w:t>
      </w:r>
      <w:r w:rsidR="0055041A" w:rsidRPr="00CE573A">
        <w:rPr>
          <w:rFonts w:ascii="Calibri" w:hAnsi="Calibri"/>
          <w:color w:val="000000"/>
        </w:rPr>
        <w:t xml:space="preserve"> and 3</w:t>
      </w:r>
      <w:r w:rsidR="003C50A1" w:rsidRPr="00CE573A">
        <w:rPr>
          <w:rFonts w:ascii="Calibri" w:hAnsi="Calibri"/>
          <w:color w:val="000000"/>
        </w:rPr>
        <w:t>, collectively</w:t>
      </w:r>
      <w:r w:rsidR="0055041A" w:rsidRPr="00CE573A">
        <w:rPr>
          <w:rFonts w:ascii="Calibri" w:hAnsi="Calibri"/>
          <w:color w:val="000000"/>
        </w:rPr>
        <w:t xml:space="preserve"> (reference Section II.A.I)</w:t>
      </w:r>
      <w:r w:rsidRPr="00CE573A">
        <w:rPr>
          <w:rFonts w:ascii="Calibri" w:hAnsi="Calibri"/>
          <w:color w:val="000000"/>
        </w:rPr>
        <w:t>. This includes only the verification and preliminary design of pilots and demonstrations.</w:t>
      </w:r>
      <w:r w:rsidR="00FB6D9A" w:rsidRPr="00CE573A">
        <w:rPr>
          <w:rFonts w:ascii="Calibri" w:hAnsi="Calibri"/>
          <w:color w:val="000000"/>
        </w:rPr>
        <w:t xml:space="preserve"> (“Phase 1</w:t>
      </w:r>
      <w:r w:rsidR="00D81960" w:rsidRPr="00CE573A">
        <w:rPr>
          <w:rFonts w:ascii="Calibri" w:hAnsi="Calibri"/>
          <w:color w:val="000000"/>
        </w:rPr>
        <w:t>” of the projects, as described below)</w:t>
      </w:r>
      <w:r w:rsidRPr="00CE573A">
        <w:rPr>
          <w:rFonts w:ascii="Calibri" w:hAnsi="Calibri"/>
          <w:color w:val="000000"/>
        </w:rPr>
        <w:t xml:space="preserve">. Selections </w:t>
      </w:r>
      <w:r w:rsidR="00CB583A" w:rsidRPr="00CE573A">
        <w:rPr>
          <w:rFonts w:ascii="Calibri" w:hAnsi="Calibri"/>
          <w:color w:val="000000"/>
        </w:rPr>
        <w:t>may</w:t>
      </w:r>
      <w:r w:rsidRPr="00CE573A">
        <w:rPr>
          <w:rFonts w:ascii="Calibri" w:hAnsi="Calibri"/>
          <w:color w:val="000000"/>
        </w:rPr>
        <w:t xml:space="preserve"> be</w:t>
      </w:r>
      <w:r w:rsidR="00CB583A" w:rsidRPr="00CE573A">
        <w:rPr>
          <w:rFonts w:ascii="Calibri" w:hAnsi="Calibri"/>
          <w:color w:val="000000"/>
        </w:rPr>
        <w:t xml:space="preserve"> made from</w:t>
      </w:r>
      <w:r w:rsidR="008874CC" w:rsidRPr="00CE573A">
        <w:rPr>
          <w:rFonts w:ascii="Calibri" w:hAnsi="Calibri"/>
          <w:color w:val="000000"/>
        </w:rPr>
        <w:t xml:space="preserve"> only one Topic Area or</w:t>
      </w:r>
      <w:r w:rsidR="00FB4CAC" w:rsidRPr="00CE573A">
        <w:rPr>
          <w:rFonts w:ascii="Calibri" w:hAnsi="Calibri"/>
          <w:color w:val="000000"/>
        </w:rPr>
        <w:t xml:space="preserve"> </w:t>
      </w:r>
      <w:r w:rsidR="00E02063" w:rsidRPr="00CE573A">
        <w:rPr>
          <w:rFonts w:ascii="Calibri" w:hAnsi="Calibri"/>
          <w:color w:val="000000"/>
        </w:rPr>
        <w:t>multiple</w:t>
      </w:r>
      <w:r w:rsidRPr="00CE573A">
        <w:rPr>
          <w:rFonts w:ascii="Calibri" w:hAnsi="Calibri"/>
          <w:color w:val="000000"/>
        </w:rPr>
        <w:t xml:space="preserve"> Topic Areas</w:t>
      </w:r>
      <w:r w:rsidR="00FB4CAC" w:rsidRPr="00CE573A">
        <w:rPr>
          <w:rFonts w:ascii="Calibri" w:hAnsi="Calibri"/>
          <w:color w:val="000000"/>
        </w:rPr>
        <w:t>,</w:t>
      </w:r>
      <w:r w:rsidRPr="00CE573A">
        <w:rPr>
          <w:rFonts w:ascii="Calibri" w:hAnsi="Calibri"/>
          <w:color w:val="000000"/>
        </w:rPr>
        <w:t xml:space="preserve"> depending on the Applicant pool and the outcome of the evaluation process.</w:t>
      </w:r>
    </w:p>
    <w:p w14:paraId="23D8BC28" w14:textId="77777777" w:rsidR="00FC0DE0" w:rsidRDefault="00FC0DE0" w:rsidP="008B0D95">
      <w:pPr>
        <w:pStyle w:val="FOAHeading3"/>
        <w:numPr>
          <w:ilvl w:val="0"/>
          <w:numId w:val="0"/>
        </w:numPr>
        <w:ind w:left="1710"/>
        <w:outlineLvl w:val="2"/>
      </w:pPr>
    </w:p>
    <w:p w14:paraId="7613A0F9" w14:textId="47608E3F" w:rsidR="000032BC" w:rsidRDefault="000032BC">
      <w:pPr>
        <w:pStyle w:val="FOAHeading3"/>
        <w:ind w:left="1710"/>
        <w:outlineLvl w:val="2"/>
      </w:pPr>
      <w:bookmarkStart w:id="24" w:name="_Toc176864405"/>
      <w:r>
        <w:t xml:space="preserve">Topic Area </w:t>
      </w:r>
      <w:r w:rsidR="00FC0DE0">
        <w:t xml:space="preserve">1: </w:t>
      </w:r>
      <w:r w:rsidR="00FC0DE0">
        <w:rPr>
          <w:rStyle w:val="PlaceholderText"/>
          <w:color w:val="auto"/>
        </w:rPr>
        <w:t>Pilot Scale-up of Integrated Biorefineries – Phase 1 Preliminary Design and Phased Construction</w:t>
      </w:r>
      <w:bookmarkEnd w:id="24"/>
      <w:r w:rsidR="00FC0DE0" w:rsidDel="00FC0DE0">
        <w:t xml:space="preserve"> </w:t>
      </w:r>
    </w:p>
    <w:p w14:paraId="0356C2A2" w14:textId="77777777" w:rsidR="002073B5" w:rsidRDefault="002073B5" w:rsidP="008B0D95">
      <w:pPr>
        <w:rPr>
          <w:color w:val="000000"/>
        </w:rPr>
      </w:pPr>
    </w:p>
    <w:p w14:paraId="33AAC7C3" w14:textId="3013D172" w:rsidR="00FC0DE0" w:rsidRPr="00701165" w:rsidRDefault="00FC0DE0" w:rsidP="00FC0DE0">
      <w:pPr>
        <w:ind w:left="1440"/>
        <w:rPr>
          <w:color w:val="000000"/>
        </w:rPr>
      </w:pPr>
      <w:r w:rsidRPr="00CE573A">
        <w:rPr>
          <w:color w:val="000000"/>
        </w:rPr>
        <w:t>Topic Area 1 will identify, evaluate, and select applications proposing project definition, development, and execution plans for the scaling of pre-pilot biofuel and bioproduct technologies to pilot scale, including</w:t>
      </w:r>
      <w:r w:rsidR="001F70B4" w:rsidRPr="00CE573A">
        <w:rPr>
          <w:color w:val="000000"/>
        </w:rPr>
        <w:t xml:space="preserve"> only the following activities</w:t>
      </w:r>
      <w:r w:rsidRPr="00CE573A">
        <w:rPr>
          <w:color w:val="000000"/>
        </w:rPr>
        <w:t>:</w:t>
      </w:r>
    </w:p>
    <w:p w14:paraId="39BE5F7A" w14:textId="77777777" w:rsidR="00FC0DE0" w:rsidRPr="00701165" w:rsidRDefault="00FC0DE0" w:rsidP="00FC0DE0">
      <w:pPr>
        <w:ind w:left="1296"/>
        <w:rPr>
          <w:color w:val="000000"/>
        </w:rPr>
      </w:pPr>
    </w:p>
    <w:p w14:paraId="5761AAC7" w14:textId="6784DAE5" w:rsidR="00FC0DE0" w:rsidRDefault="00FC0DE0" w:rsidP="00FC0DE0">
      <w:pPr>
        <w:numPr>
          <w:ilvl w:val="0"/>
          <w:numId w:val="149"/>
        </w:numPr>
        <w:pBdr>
          <w:top w:val="nil"/>
          <w:left w:val="nil"/>
          <w:bottom w:val="nil"/>
          <w:right w:val="nil"/>
          <w:between w:val="nil"/>
        </w:pBdr>
        <w:rPr>
          <w:rFonts w:ascii="Calibri" w:hAnsi="Calibri"/>
          <w:color w:val="000000"/>
        </w:rPr>
      </w:pPr>
      <w:r w:rsidRPr="00701165">
        <w:rPr>
          <w:rFonts w:ascii="Calibri" w:hAnsi="Calibri"/>
          <w:color w:val="000000"/>
        </w:rPr>
        <w:t xml:space="preserve">the manufacturing of sustainable aviation fuel, </w:t>
      </w:r>
      <w:r w:rsidR="00E02063">
        <w:rPr>
          <w:rFonts w:ascii="Calibri" w:hAnsi="Calibri"/>
          <w:color w:val="000000"/>
        </w:rPr>
        <w:t>heavy-duty</w:t>
      </w:r>
      <w:r w:rsidR="007C1C45">
        <w:rPr>
          <w:rFonts w:ascii="Calibri" w:hAnsi="Calibri"/>
          <w:color w:val="000000"/>
        </w:rPr>
        <w:t xml:space="preserve"> </w:t>
      </w:r>
      <w:r w:rsidR="00C7629A">
        <w:rPr>
          <w:rFonts w:ascii="Calibri" w:hAnsi="Calibri"/>
          <w:color w:val="000000"/>
        </w:rPr>
        <w:t>truck</w:t>
      </w:r>
      <w:r w:rsidR="00A009B9">
        <w:rPr>
          <w:rFonts w:ascii="Calibri" w:hAnsi="Calibri"/>
          <w:color w:val="000000"/>
        </w:rPr>
        <w:t xml:space="preserve"> fuel</w:t>
      </w:r>
      <w:r w:rsidRPr="00701165">
        <w:rPr>
          <w:rFonts w:ascii="Calibri" w:hAnsi="Calibri"/>
          <w:color w:val="000000"/>
        </w:rPr>
        <w:t xml:space="preserve">, </w:t>
      </w:r>
      <w:r w:rsidR="004855B1">
        <w:rPr>
          <w:rFonts w:ascii="Calibri" w:hAnsi="Calibri"/>
          <w:color w:val="000000"/>
        </w:rPr>
        <w:t xml:space="preserve">off-road vehicle fuel, </w:t>
      </w:r>
      <w:r w:rsidRPr="00701165">
        <w:rPr>
          <w:rFonts w:ascii="Calibri" w:hAnsi="Calibri"/>
          <w:color w:val="000000"/>
        </w:rPr>
        <w:t xml:space="preserve">sustainable marine fuel, and/or sustainable rail fuel; </w:t>
      </w:r>
    </w:p>
    <w:p w14:paraId="6E46EB38" w14:textId="4572FD1B" w:rsidR="00F37E63" w:rsidRPr="00F37E63" w:rsidRDefault="00F37E63" w:rsidP="00F37E63">
      <w:pPr>
        <w:numPr>
          <w:ilvl w:val="0"/>
          <w:numId w:val="149"/>
        </w:numPr>
        <w:pBdr>
          <w:top w:val="nil"/>
          <w:left w:val="nil"/>
          <w:bottom w:val="nil"/>
          <w:right w:val="nil"/>
          <w:between w:val="nil"/>
        </w:pBdr>
        <w:rPr>
          <w:rFonts w:ascii="Calibri" w:hAnsi="Calibri"/>
          <w:color w:val="000000"/>
        </w:rPr>
      </w:pPr>
      <w:r>
        <w:rPr>
          <w:rFonts w:ascii="Calibri" w:hAnsi="Calibri"/>
          <w:color w:val="000000"/>
        </w:rPr>
        <w:t>fuels may be liquid or gaseous at standard temperature and pressure;</w:t>
      </w:r>
    </w:p>
    <w:p w14:paraId="58E17DDE" w14:textId="77777777" w:rsidR="00FC0DE0" w:rsidRPr="00701165" w:rsidRDefault="00FC0DE0" w:rsidP="00FC0DE0">
      <w:pPr>
        <w:numPr>
          <w:ilvl w:val="0"/>
          <w:numId w:val="149"/>
        </w:numPr>
        <w:pBdr>
          <w:top w:val="nil"/>
          <w:left w:val="nil"/>
          <w:bottom w:val="nil"/>
          <w:right w:val="nil"/>
          <w:between w:val="nil"/>
        </w:pBdr>
        <w:rPr>
          <w:rFonts w:ascii="Calibri" w:hAnsi="Calibri"/>
          <w:color w:val="000000"/>
        </w:rPr>
      </w:pPr>
      <w:r w:rsidRPr="00701165">
        <w:rPr>
          <w:rFonts w:ascii="Calibri" w:hAnsi="Calibri"/>
          <w:color w:val="000000"/>
        </w:rPr>
        <w:t>novel process technologies that leverage existing first generation, grain starch, biorefinery assets and infrastructure; and/or</w:t>
      </w:r>
    </w:p>
    <w:p w14:paraId="5DA684DD" w14:textId="588C14D8" w:rsidR="00FC0DE0" w:rsidRPr="00701165" w:rsidRDefault="00FC0DE0" w:rsidP="00FC0DE0">
      <w:pPr>
        <w:pStyle w:val="ListParagraph"/>
        <w:numPr>
          <w:ilvl w:val="0"/>
          <w:numId w:val="149"/>
        </w:numPr>
        <w:rPr>
          <w:rFonts w:ascii="Calibri" w:hAnsi="Calibri"/>
          <w:color w:val="000000"/>
        </w:rPr>
      </w:pPr>
      <w:r w:rsidRPr="00701165">
        <w:rPr>
          <w:rFonts w:ascii="Calibri" w:hAnsi="Calibri"/>
          <w:color w:val="000000"/>
        </w:rPr>
        <w:t>novel process technologies that leverage U</w:t>
      </w:r>
      <w:r w:rsidR="0097157C">
        <w:rPr>
          <w:rFonts w:ascii="Calibri" w:hAnsi="Calibri"/>
          <w:color w:val="000000"/>
        </w:rPr>
        <w:t>.</w:t>
      </w:r>
      <w:r w:rsidRPr="00701165">
        <w:rPr>
          <w:rFonts w:ascii="Calibri" w:hAnsi="Calibri"/>
          <w:color w:val="000000"/>
        </w:rPr>
        <w:t>S</w:t>
      </w:r>
      <w:r w:rsidR="0097157C">
        <w:rPr>
          <w:rFonts w:ascii="Calibri" w:hAnsi="Calibri"/>
          <w:color w:val="000000"/>
        </w:rPr>
        <w:t>.</w:t>
      </w:r>
      <w:r w:rsidRPr="00701165">
        <w:rPr>
          <w:rFonts w:ascii="Calibri" w:hAnsi="Calibri"/>
          <w:color w:val="000000"/>
        </w:rPr>
        <w:t xml:space="preserve">-produced, oilseed crops (see Appendix </w:t>
      </w:r>
      <w:r w:rsidR="003C6654">
        <w:rPr>
          <w:rFonts w:ascii="Calibri" w:hAnsi="Calibri"/>
          <w:color w:val="000000"/>
        </w:rPr>
        <w:t>E</w:t>
      </w:r>
      <w:r w:rsidRPr="00701165">
        <w:rPr>
          <w:rFonts w:ascii="Calibri" w:hAnsi="Calibri"/>
          <w:color w:val="000000"/>
        </w:rPr>
        <w:t xml:space="preserve">) that meet all other metrics of </w:t>
      </w:r>
      <w:r w:rsidR="00C87506">
        <w:rPr>
          <w:rFonts w:ascii="Calibri" w:hAnsi="Calibri"/>
          <w:color w:val="000000"/>
        </w:rPr>
        <w:t>Topic Area 1</w:t>
      </w:r>
      <w:r w:rsidRPr="00701165">
        <w:rPr>
          <w:rFonts w:ascii="Calibri" w:hAnsi="Calibri"/>
          <w:color w:val="000000"/>
        </w:rPr>
        <w:t xml:space="preserve">, including achieving at least </w:t>
      </w:r>
      <w:r w:rsidRPr="00AF365D">
        <w:rPr>
          <w:rFonts w:ascii="Calibri" w:hAnsi="Calibri"/>
          <w:color w:val="000000"/>
          <w:sz w:val="28"/>
          <w:szCs w:val="22"/>
        </w:rPr>
        <w:fldChar w:fldCharType="begin"/>
      </w:r>
      <w:r w:rsidRPr="00AF365D">
        <w:rPr>
          <w:rFonts w:ascii="Calibri" w:hAnsi="Calibri"/>
          <w:color w:val="000000"/>
          <w:sz w:val="28"/>
          <w:szCs w:val="22"/>
        </w:rPr>
        <w:instrText xml:space="preserve"> REF Topic1GHGReductions \h </w:instrText>
      </w:r>
      <w:r>
        <w:rPr>
          <w:rFonts w:ascii="Calibri" w:hAnsi="Calibri"/>
          <w:color w:val="000000"/>
          <w:sz w:val="28"/>
          <w:szCs w:val="22"/>
        </w:rPr>
        <w:instrText xml:space="preserve"> \* MERGEFORMAT </w:instrText>
      </w:r>
      <w:r w:rsidRPr="00AF365D">
        <w:rPr>
          <w:rFonts w:ascii="Calibri" w:hAnsi="Calibri"/>
          <w:color w:val="000000"/>
          <w:sz w:val="28"/>
          <w:szCs w:val="22"/>
        </w:rPr>
      </w:r>
      <w:r w:rsidRPr="00AF365D">
        <w:rPr>
          <w:rFonts w:ascii="Calibri" w:hAnsi="Calibri"/>
          <w:color w:val="000000"/>
          <w:sz w:val="28"/>
          <w:szCs w:val="22"/>
        </w:rPr>
        <w:fldChar w:fldCharType="separate"/>
      </w:r>
      <w:r w:rsidR="001B6894" w:rsidRPr="001B6894">
        <w:rPr>
          <w:rFonts w:ascii="Calibri" w:hAnsi="Calibri"/>
          <w:color w:val="000000"/>
          <w:szCs w:val="24"/>
        </w:rPr>
        <w:t>70%</w:t>
      </w:r>
      <w:r w:rsidRPr="00AF365D">
        <w:rPr>
          <w:rFonts w:ascii="Calibri" w:hAnsi="Calibri"/>
          <w:color w:val="000000"/>
          <w:sz w:val="28"/>
          <w:szCs w:val="22"/>
        </w:rPr>
        <w:fldChar w:fldCharType="end"/>
      </w:r>
      <w:r w:rsidRPr="00EB634B">
        <w:rPr>
          <w:rFonts w:ascii="Calibri" w:hAnsi="Calibri"/>
          <w:color w:val="000000"/>
        </w:rPr>
        <w:t xml:space="preserve"> GHG reductions</w:t>
      </w:r>
      <w:r>
        <w:rPr>
          <w:rFonts w:ascii="Calibri" w:hAnsi="Calibri"/>
          <w:color w:val="000000"/>
        </w:rPr>
        <w:t xml:space="preserve">. </w:t>
      </w:r>
      <w:r>
        <w:rPr>
          <w:color w:val="000000"/>
        </w:rPr>
        <w:t xml:space="preserve">This </w:t>
      </w:r>
      <w:r w:rsidR="001548D9">
        <w:rPr>
          <w:color w:val="000000"/>
        </w:rPr>
        <w:t>activity may</w:t>
      </w:r>
      <w:r>
        <w:rPr>
          <w:color w:val="000000"/>
        </w:rPr>
        <w:t xml:space="preserve"> include the utilization of oil-seed cover crops, the co-processing of intermediates and oilseed oils, blending of SAFs from various feedstocks, among other innovative concepts.</w:t>
      </w:r>
    </w:p>
    <w:p w14:paraId="5843FC9B" w14:textId="77777777" w:rsidR="00FC0DE0" w:rsidRPr="00701165" w:rsidRDefault="00FC0DE0" w:rsidP="00FC0DE0">
      <w:pPr>
        <w:pStyle w:val="ListParagraph"/>
        <w:ind w:left="2016"/>
        <w:rPr>
          <w:rFonts w:ascii="Calibri" w:hAnsi="Calibri"/>
          <w:color w:val="000000"/>
        </w:rPr>
      </w:pPr>
    </w:p>
    <w:p w14:paraId="433EBCD8" w14:textId="31951C0C" w:rsidR="00FC0DE0" w:rsidRPr="00701165" w:rsidRDefault="00FC0DE0" w:rsidP="00FC0DE0">
      <w:pPr>
        <w:ind w:left="1296"/>
        <w:rPr>
          <w:color w:val="000000"/>
        </w:rPr>
      </w:pPr>
      <w:r w:rsidRPr="00701165">
        <w:rPr>
          <w:rFonts w:cstheme="minorHAnsi"/>
          <w:szCs w:val="24"/>
        </w:rPr>
        <w:lastRenderedPageBreak/>
        <w:t xml:space="preserve">Topic Area </w:t>
      </w:r>
      <w:r>
        <w:rPr>
          <w:rFonts w:cstheme="minorHAnsi"/>
          <w:szCs w:val="24"/>
        </w:rPr>
        <w:t xml:space="preserve">1, </w:t>
      </w:r>
      <w:r w:rsidR="00EF5C91">
        <w:rPr>
          <w:rFonts w:cstheme="minorHAnsi"/>
          <w:szCs w:val="24"/>
        </w:rPr>
        <w:t>Pilot</w:t>
      </w:r>
      <w:r w:rsidR="00554271">
        <w:rPr>
          <w:rFonts w:cstheme="minorHAnsi"/>
          <w:szCs w:val="24"/>
        </w:rPr>
        <w:t xml:space="preserve"> </w:t>
      </w:r>
      <w:r w:rsidR="00EF5C91">
        <w:rPr>
          <w:rFonts w:cstheme="minorHAnsi"/>
          <w:szCs w:val="24"/>
        </w:rPr>
        <w:t>Scale</w:t>
      </w:r>
      <w:r w:rsidR="00554271">
        <w:rPr>
          <w:rFonts w:cstheme="minorHAnsi"/>
          <w:szCs w:val="24"/>
        </w:rPr>
        <w:t xml:space="preserve">-up of Integrated Biorefineries – Phase 1 </w:t>
      </w:r>
      <w:r w:rsidRPr="00701165">
        <w:rPr>
          <w:rFonts w:cstheme="minorHAnsi"/>
          <w:szCs w:val="24"/>
        </w:rPr>
        <w:t>Preliminary Design and Phased Construction, is intended for projects that have all prior</w:t>
      </w:r>
      <w:r>
        <w:rPr>
          <w:rFonts w:cstheme="minorHAnsi"/>
          <w:szCs w:val="24"/>
        </w:rPr>
        <w:t>-</w:t>
      </w:r>
      <w:r w:rsidRPr="00701165">
        <w:rPr>
          <w:rFonts w:cstheme="minorHAnsi"/>
          <w:szCs w:val="24"/>
        </w:rPr>
        <w:t xml:space="preserve">scale data and are ready to design a pilot facility. Projects selected under </w:t>
      </w:r>
      <w:r>
        <w:rPr>
          <w:rFonts w:cstheme="minorHAnsi"/>
          <w:szCs w:val="24"/>
        </w:rPr>
        <w:t>Topic Area 1</w:t>
      </w:r>
      <w:r w:rsidRPr="00701165">
        <w:rPr>
          <w:rFonts w:cstheme="minorHAnsi"/>
          <w:szCs w:val="24"/>
        </w:rPr>
        <w:t xml:space="preserve"> </w:t>
      </w:r>
      <w:r>
        <w:rPr>
          <w:rFonts w:cstheme="minorHAnsi"/>
          <w:szCs w:val="24"/>
        </w:rPr>
        <w:t>may</w:t>
      </w:r>
      <w:r w:rsidRPr="00701165">
        <w:rPr>
          <w:rFonts w:cstheme="minorHAnsi"/>
          <w:szCs w:val="24"/>
        </w:rPr>
        <w:t xml:space="preserve"> have an opportunity to construct and operate their designed pilot facility based on the down-select process described below</w:t>
      </w:r>
      <w:r>
        <w:rPr>
          <w:rFonts w:cstheme="minorHAnsi"/>
          <w:szCs w:val="24"/>
        </w:rPr>
        <w:t>.</w:t>
      </w:r>
    </w:p>
    <w:p w14:paraId="58DF91F2" w14:textId="77777777" w:rsidR="00FC0DE0" w:rsidRPr="00701165" w:rsidRDefault="00FC0DE0" w:rsidP="00FC0DE0">
      <w:pPr>
        <w:ind w:left="1296"/>
        <w:rPr>
          <w:color w:val="000000"/>
        </w:rPr>
      </w:pPr>
    </w:p>
    <w:p w14:paraId="13EEC4D6" w14:textId="357CC4D0" w:rsidR="00FC0DE0" w:rsidRPr="00AF2E02" w:rsidRDefault="00FC0DE0" w:rsidP="00FC0DE0">
      <w:pPr>
        <w:ind w:left="1296"/>
        <w:rPr>
          <w:color w:val="000000"/>
        </w:rPr>
      </w:pPr>
      <w:r w:rsidRPr="00701165">
        <w:rPr>
          <w:color w:val="000000"/>
        </w:rPr>
        <w:t xml:space="preserve">Topic Area </w:t>
      </w:r>
      <w:r>
        <w:rPr>
          <w:color w:val="000000"/>
        </w:rPr>
        <w:t>1</w:t>
      </w:r>
      <w:r w:rsidRPr="00701165">
        <w:rPr>
          <w:color w:val="000000"/>
        </w:rPr>
        <w:t xml:space="preserve"> will provide the ability for pre-pilot technologies</w:t>
      </w:r>
      <w:r w:rsidRPr="00AF2E02">
        <w:rPr>
          <w:color w:val="000000"/>
        </w:rPr>
        <w:t xml:space="preserve"> to scale to pilot scale. Pilot</w:t>
      </w:r>
      <w:r>
        <w:rPr>
          <w:color w:val="000000"/>
        </w:rPr>
        <w:t>-</w:t>
      </w:r>
      <w:r w:rsidRPr="00AF2E02">
        <w:rPr>
          <w:color w:val="000000"/>
        </w:rPr>
        <w:t xml:space="preserve">scale facilities developed under </w:t>
      </w:r>
      <w:r>
        <w:rPr>
          <w:color w:val="000000"/>
        </w:rPr>
        <w:t>Topic Area 1</w:t>
      </w:r>
      <w:r w:rsidRPr="00AF2E02">
        <w:rPr>
          <w:color w:val="000000"/>
        </w:rPr>
        <w:t xml:space="preserve"> must produce</w:t>
      </w:r>
      <w:r>
        <w:rPr>
          <w:color w:val="000000"/>
        </w:rPr>
        <w:t>,</w:t>
      </w:r>
      <w:r w:rsidRPr="00AF2E02">
        <w:rPr>
          <w:color w:val="000000"/>
        </w:rPr>
        <w:t xml:space="preserve"> at </w:t>
      </w:r>
      <w:r w:rsidRPr="00AF2E02">
        <w:t xml:space="preserve">the plant’s rated capacity, a minimum quantity of </w:t>
      </w:r>
      <w:r>
        <w:fldChar w:fldCharType="begin"/>
      </w:r>
      <w:r>
        <w:instrText xml:space="preserve"> REF Topic1ThroughputEquiv \h  \* MERGEFORMAT </w:instrText>
      </w:r>
      <w:r>
        <w:fldChar w:fldCharType="separate"/>
      </w:r>
      <w:r w:rsidR="001B6894" w:rsidRPr="001B6894">
        <w:rPr>
          <w:rFonts w:ascii="Calibri" w:hAnsi="Calibri"/>
          <w:color w:val="000000"/>
          <w:szCs w:val="24"/>
        </w:rPr>
        <w:t>20,000 gallons</w:t>
      </w:r>
      <w:r w:rsidR="001B6894" w:rsidRPr="00772DBE">
        <w:rPr>
          <w:rFonts w:ascii="Calibri" w:hAnsi="Calibri"/>
          <w:color w:val="000000"/>
          <w:sz w:val="22"/>
          <w:szCs w:val="22"/>
        </w:rPr>
        <w:t xml:space="preserve"> </w:t>
      </w:r>
      <w:r>
        <w:fldChar w:fldCharType="end"/>
      </w:r>
      <w:r w:rsidRPr="00AF2E02">
        <w:t xml:space="preserve">per year of liquid biobased hydrocarbon fuel for aviation, marine, </w:t>
      </w:r>
      <w:r>
        <w:t xml:space="preserve">rail, </w:t>
      </w:r>
      <w:r w:rsidR="00C56E57">
        <w:t xml:space="preserve">off-road, </w:t>
      </w:r>
      <w:r>
        <w:t>or heavy duty</w:t>
      </w:r>
      <w:r w:rsidRPr="00AF2E02">
        <w:t xml:space="preserve"> applications.</w:t>
      </w:r>
    </w:p>
    <w:p w14:paraId="4A020A00" w14:textId="77777777" w:rsidR="00FC0DE0" w:rsidRPr="00AF2E02" w:rsidRDefault="00FC0DE0" w:rsidP="00FC0DE0">
      <w:pPr>
        <w:ind w:left="1296"/>
      </w:pPr>
    </w:p>
    <w:p w14:paraId="4B468E0C" w14:textId="77777777" w:rsidR="00FC0DE0" w:rsidRPr="00AF2E02" w:rsidRDefault="00FC0DE0" w:rsidP="00FC0DE0">
      <w:pPr>
        <w:ind w:left="1296"/>
        <w:rPr>
          <w:color w:val="000000"/>
        </w:rPr>
      </w:pPr>
      <w:r w:rsidRPr="00AF2E02">
        <w:rPr>
          <w:color w:val="000000"/>
        </w:rPr>
        <w:t>Scale</w:t>
      </w:r>
      <w:r>
        <w:rPr>
          <w:color w:val="000000"/>
        </w:rPr>
        <w:t>d</w:t>
      </w:r>
      <w:r w:rsidRPr="00AF2E02">
        <w:rPr>
          <w:color w:val="000000"/>
        </w:rPr>
        <w:t xml:space="preserve">-up and </w:t>
      </w:r>
      <w:r>
        <w:rPr>
          <w:color w:val="000000"/>
        </w:rPr>
        <w:t>integrated operations</w:t>
      </w:r>
      <w:r w:rsidRPr="00AF2E02">
        <w:rPr>
          <w:color w:val="000000"/>
        </w:rPr>
        <w:t xml:space="preserve"> of these process technologies </w:t>
      </w:r>
      <w:r>
        <w:rPr>
          <w:color w:val="000000"/>
        </w:rPr>
        <w:t>are</w:t>
      </w:r>
      <w:r w:rsidRPr="00AF2E02">
        <w:rPr>
          <w:color w:val="000000"/>
        </w:rPr>
        <w:t xml:space="preserve"> essential to enable the industry to build future </w:t>
      </w:r>
      <w:r>
        <w:rPr>
          <w:color w:val="000000"/>
        </w:rPr>
        <w:t xml:space="preserve">demonstration-, </w:t>
      </w:r>
      <w:r w:rsidRPr="00AF2E02">
        <w:rPr>
          <w:color w:val="000000"/>
        </w:rPr>
        <w:t>pioneer</w:t>
      </w:r>
      <w:r>
        <w:rPr>
          <w:color w:val="000000"/>
        </w:rPr>
        <w:t>-,</w:t>
      </w:r>
      <w:r w:rsidRPr="00AF2E02">
        <w:rPr>
          <w:color w:val="000000"/>
        </w:rPr>
        <w:t xml:space="preserve"> and commercial</w:t>
      </w:r>
      <w:r>
        <w:rPr>
          <w:color w:val="000000"/>
        </w:rPr>
        <w:t>-</w:t>
      </w:r>
      <w:r w:rsidRPr="00AF2E02">
        <w:rPr>
          <w:color w:val="000000"/>
        </w:rPr>
        <w:t xml:space="preserve">scale facilities. Successfully scaling and </w:t>
      </w:r>
      <w:r>
        <w:rPr>
          <w:color w:val="000000"/>
        </w:rPr>
        <w:t>operating</w:t>
      </w:r>
      <w:r w:rsidRPr="00AF2E02">
        <w:rPr>
          <w:color w:val="000000"/>
        </w:rPr>
        <w:t xml:space="preserve"> process technology is critical for biotechnologies to remain a significant near-term decarbonization pathway.</w:t>
      </w:r>
    </w:p>
    <w:p w14:paraId="6CC43959" w14:textId="77777777" w:rsidR="00FC0DE0" w:rsidRPr="00AF2E02" w:rsidRDefault="00FC0DE0" w:rsidP="00FC0DE0">
      <w:pPr>
        <w:rPr>
          <w:color w:val="000000"/>
        </w:rPr>
      </w:pPr>
    </w:p>
    <w:p w14:paraId="3ED9071D" w14:textId="3FE85CA9" w:rsidR="00FC0DE0" w:rsidRDefault="00FC0DE0" w:rsidP="00FC0DE0">
      <w:pPr>
        <w:pStyle w:val="FOATemplateBody"/>
        <w:ind w:left="1260"/>
        <w:rPr>
          <w:color w:val="000000"/>
        </w:rPr>
      </w:pPr>
      <w:r w:rsidRPr="00AF2E02">
        <w:rPr>
          <w:color w:val="000000"/>
        </w:rPr>
        <w:t xml:space="preserve">Applications submitted under </w:t>
      </w:r>
      <w:r>
        <w:rPr>
          <w:color w:val="000000"/>
        </w:rPr>
        <w:t>Topic Area 1</w:t>
      </w:r>
      <w:r w:rsidRPr="00AF2E02">
        <w:rPr>
          <w:color w:val="000000"/>
        </w:rPr>
        <w:t xml:space="preserve"> must meet a minimum neat biofuel throughput </w:t>
      </w:r>
      <w:r w:rsidRPr="00AF365D">
        <w:rPr>
          <w:color w:val="000000"/>
          <w:szCs w:val="24"/>
        </w:rPr>
        <w:t xml:space="preserve">of </w:t>
      </w:r>
      <w:r w:rsidRPr="00AF365D">
        <w:rPr>
          <w:color w:val="000000"/>
          <w:szCs w:val="24"/>
        </w:rPr>
        <w:fldChar w:fldCharType="begin"/>
      </w:r>
      <w:r w:rsidRPr="00AF365D">
        <w:rPr>
          <w:color w:val="000000"/>
          <w:szCs w:val="24"/>
        </w:rPr>
        <w:instrText xml:space="preserve"> REF Topic1ThroughputEquiv \h  \* MERGEFORMAT </w:instrText>
      </w:r>
      <w:r w:rsidRPr="00AF365D">
        <w:rPr>
          <w:color w:val="000000"/>
          <w:szCs w:val="24"/>
        </w:rPr>
      </w:r>
      <w:r w:rsidRPr="00AF365D">
        <w:rPr>
          <w:color w:val="000000"/>
          <w:szCs w:val="24"/>
        </w:rPr>
        <w:fldChar w:fldCharType="separate"/>
      </w:r>
      <w:r w:rsidR="001B6894" w:rsidRPr="001B6894">
        <w:rPr>
          <w:color w:val="000000"/>
          <w:szCs w:val="24"/>
        </w:rPr>
        <w:t xml:space="preserve">20,000 gallons </w:t>
      </w:r>
      <w:r w:rsidRPr="00AF365D">
        <w:rPr>
          <w:color w:val="000000"/>
          <w:szCs w:val="24"/>
        </w:rPr>
        <w:fldChar w:fldCharType="end"/>
      </w:r>
      <w:r w:rsidRPr="00AF365D">
        <w:rPr>
          <w:color w:val="000000"/>
          <w:szCs w:val="24"/>
        </w:rPr>
        <w:t>per</w:t>
      </w:r>
      <w:r w:rsidRPr="00AF2E02">
        <w:rPr>
          <w:color w:val="000000"/>
        </w:rPr>
        <w:t xml:space="preserve"> year equivalent. Proposed technologies must </w:t>
      </w:r>
      <w:r w:rsidRPr="00967D2B">
        <w:rPr>
          <w:color w:val="000000"/>
        </w:rPr>
        <w:t xml:space="preserve">meet </w:t>
      </w:r>
      <w:r w:rsidRPr="00AF365D">
        <w:rPr>
          <w:color w:val="000000"/>
          <w:szCs w:val="24"/>
        </w:rPr>
        <w:fldChar w:fldCharType="begin"/>
      </w:r>
      <w:r w:rsidRPr="00AF365D">
        <w:rPr>
          <w:color w:val="000000"/>
          <w:szCs w:val="24"/>
        </w:rPr>
        <w:instrText xml:space="preserve"> REF Topic1GHGReductions \h </w:instrText>
      </w:r>
      <w:r>
        <w:rPr>
          <w:color w:val="000000"/>
          <w:szCs w:val="24"/>
        </w:rPr>
        <w:instrText xml:space="preserve"> \* MERGEFORMAT </w:instrText>
      </w:r>
      <w:r w:rsidRPr="00AF365D">
        <w:rPr>
          <w:color w:val="000000"/>
          <w:szCs w:val="24"/>
        </w:rPr>
      </w:r>
      <w:r w:rsidRPr="00AF365D">
        <w:rPr>
          <w:color w:val="000000"/>
          <w:szCs w:val="24"/>
        </w:rPr>
        <w:fldChar w:fldCharType="separate"/>
      </w:r>
      <w:r w:rsidR="001B6894" w:rsidRPr="001B6894">
        <w:rPr>
          <w:color w:val="000000"/>
          <w:szCs w:val="24"/>
        </w:rPr>
        <w:t>70%</w:t>
      </w:r>
      <w:r w:rsidRPr="00AF365D">
        <w:rPr>
          <w:color w:val="000000"/>
          <w:szCs w:val="24"/>
        </w:rPr>
        <w:fldChar w:fldCharType="end"/>
      </w:r>
      <w:r w:rsidRPr="00AF365D">
        <w:rPr>
          <w:color w:val="000000"/>
          <w:szCs w:val="24"/>
        </w:rPr>
        <w:t xml:space="preserve"> </w:t>
      </w:r>
      <w:r w:rsidRPr="00967D2B">
        <w:rPr>
          <w:color w:val="000000"/>
        </w:rPr>
        <w:t xml:space="preserve">GHG reduction relative to the petroleum-derived alternative. </w:t>
      </w:r>
      <w:r w:rsidRPr="00967D2B">
        <w:rPr>
          <w:b/>
          <w:color w:val="000000"/>
        </w:rPr>
        <w:t xml:space="preserve">Although </w:t>
      </w:r>
      <w:r w:rsidRPr="00AF365D">
        <w:rPr>
          <w:b/>
          <w:color w:val="000000"/>
          <w:szCs w:val="24"/>
        </w:rPr>
        <w:fldChar w:fldCharType="begin"/>
      </w:r>
      <w:r w:rsidRPr="00AF365D">
        <w:rPr>
          <w:b/>
          <w:color w:val="000000"/>
          <w:szCs w:val="24"/>
        </w:rPr>
        <w:instrText xml:space="preserve"> REF Topic1GHGReductions \h  \* MERGEFORMAT </w:instrText>
      </w:r>
      <w:r w:rsidRPr="00AF365D">
        <w:rPr>
          <w:b/>
          <w:color w:val="000000"/>
          <w:szCs w:val="24"/>
        </w:rPr>
      </w:r>
      <w:r w:rsidRPr="00AF365D">
        <w:rPr>
          <w:b/>
          <w:color w:val="000000"/>
          <w:szCs w:val="24"/>
        </w:rPr>
        <w:fldChar w:fldCharType="separate"/>
      </w:r>
      <w:r w:rsidR="001B6894" w:rsidRPr="001B6894">
        <w:rPr>
          <w:b/>
          <w:color w:val="000000"/>
          <w:szCs w:val="24"/>
        </w:rPr>
        <w:t>70%</w:t>
      </w:r>
      <w:r w:rsidRPr="00AF365D">
        <w:rPr>
          <w:b/>
          <w:color w:val="000000"/>
          <w:szCs w:val="24"/>
        </w:rPr>
        <w:fldChar w:fldCharType="end"/>
      </w:r>
      <w:r w:rsidRPr="00967D2B">
        <w:rPr>
          <w:b/>
          <w:color w:val="000000"/>
        </w:rPr>
        <w:t xml:space="preserve"> GHG reduction is the minimum allowable, applications with greater GHG reductions are highly encouraged and may </w:t>
      </w:r>
      <w:sdt>
        <w:sdtPr>
          <w:tag w:val="goog_rdk_73"/>
          <w:id w:val="298269656"/>
        </w:sdtPr>
        <w:sdtEndPr/>
        <w:sdtContent/>
      </w:sdt>
      <w:sdt>
        <w:sdtPr>
          <w:tag w:val="goog_rdk_74"/>
          <w:id w:val="746769073"/>
        </w:sdtPr>
        <w:sdtEndPr/>
        <w:sdtContent/>
      </w:sdt>
      <w:sdt>
        <w:sdtPr>
          <w:tag w:val="goog_rdk_75"/>
          <w:id w:val="-2049058339"/>
        </w:sdtPr>
        <w:sdtEndPr/>
        <w:sdtContent/>
      </w:sdt>
      <w:sdt>
        <w:sdtPr>
          <w:tag w:val="goog_rdk_76"/>
          <w:id w:val="1454676533"/>
        </w:sdtPr>
        <w:sdtEndPr/>
        <w:sdtContent/>
      </w:sdt>
      <w:r w:rsidRPr="004832AB">
        <w:rPr>
          <w:b/>
          <w:color w:val="000000"/>
        </w:rPr>
        <w:t>receive preference</w:t>
      </w:r>
      <w:r>
        <w:rPr>
          <w:b/>
          <w:color w:val="000000"/>
        </w:rPr>
        <w:t xml:space="preserve"> by way of a Program Policy Factor (section V.C.i)</w:t>
      </w:r>
      <w:r w:rsidRPr="004832AB">
        <w:rPr>
          <w:b/>
          <w:color w:val="000000"/>
        </w:rPr>
        <w:t>.</w:t>
      </w:r>
      <w:r w:rsidRPr="00967D2B">
        <w:rPr>
          <w:color w:val="000000"/>
        </w:rPr>
        <w:t xml:space="preserve"> The minimum baseline technology readiness level for projects submitted under this topic is TRL</w:t>
      </w:r>
      <w:r>
        <w:rPr>
          <w:color w:val="000000"/>
        </w:rPr>
        <w:t xml:space="preserve"> 5</w:t>
      </w:r>
      <w:r w:rsidRPr="00967D2B">
        <w:rPr>
          <w:color w:val="000000"/>
        </w:rPr>
        <w:t xml:space="preserve"> with a maximum of TRL 6 at the conclusion of the project. </w:t>
      </w:r>
      <w:r>
        <w:rPr>
          <w:color w:val="000000"/>
        </w:rPr>
        <w:t xml:space="preserve">Minimum requirements for Topic Area 1 are shown in </w:t>
      </w:r>
      <w:r w:rsidR="008C01C5">
        <w:rPr>
          <w:rStyle w:val="FOAHyperlink-BodyChar"/>
          <w:color w:val="0070C0"/>
        </w:rPr>
        <w:fldChar w:fldCharType="begin"/>
      </w:r>
      <w:r w:rsidR="008C01C5">
        <w:rPr>
          <w:rStyle w:val="FOAHyperlink-BodyChar"/>
          <w:color w:val="0070C0"/>
        </w:rPr>
        <w:instrText xml:space="preserve"> REF  _Ref166592479  \* MERGEFORMAT </w:instrText>
      </w:r>
      <w:r w:rsidR="008C01C5">
        <w:rPr>
          <w:rStyle w:val="FOAHyperlink-BodyChar"/>
          <w:color w:val="0070C0"/>
        </w:rPr>
        <w:fldChar w:fldCharType="separate"/>
      </w:r>
      <w:r w:rsidR="001B6894">
        <w:t xml:space="preserve">Table </w:t>
      </w:r>
      <w:r w:rsidR="001B6894">
        <w:rPr>
          <w:noProof/>
        </w:rPr>
        <w:t>1</w:t>
      </w:r>
      <w:r w:rsidR="008C01C5">
        <w:rPr>
          <w:rStyle w:val="FOAHyperlink-BodyChar"/>
          <w:color w:val="0070C0"/>
        </w:rPr>
        <w:fldChar w:fldCharType="end"/>
      </w:r>
      <w:r>
        <w:rPr>
          <w:color w:val="000000"/>
        </w:rPr>
        <w:t xml:space="preserve"> below</w:t>
      </w:r>
      <w:r w:rsidRPr="00967D2B">
        <w:rPr>
          <w:color w:val="000000"/>
        </w:rPr>
        <w:t>:</w:t>
      </w:r>
    </w:p>
    <w:p w14:paraId="26F2C013" w14:textId="77777777" w:rsidR="00FC0DE0" w:rsidRDefault="00FC0DE0" w:rsidP="00FC0DE0">
      <w:pPr>
        <w:pStyle w:val="FOATemplateBody"/>
        <w:ind w:left="1260"/>
        <w:rPr>
          <w:color w:val="000000"/>
        </w:rPr>
      </w:pPr>
    </w:p>
    <w:p w14:paraId="49BF58E4" w14:textId="533D02C7" w:rsidR="00FC0DE0" w:rsidRPr="0015597B" w:rsidRDefault="00FC0DE0" w:rsidP="00FC0DE0">
      <w:pPr>
        <w:pStyle w:val="Caption"/>
      </w:pPr>
      <w:bookmarkStart w:id="25" w:name="_Ref166592479"/>
      <w:bookmarkStart w:id="26" w:name="_Ref170220193"/>
      <w:r>
        <w:t xml:space="preserve">Table </w:t>
      </w:r>
      <w:r w:rsidR="007A5BD6">
        <w:fldChar w:fldCharType="begin"/>
      </w:r>
      <w:r w:rsidR="007A5BD6">
        <w:instrText xml:space="preserve"> SEQ Table \* ARABIC </w:instrText>
      </w:r>
      <w:r w:rsidR="007A5BD6">
        <w:fldChar w:fldCharType="separate"/>
      </w:r>
      <w:r w:rsidR="001B6894">
        <w:rPr>
          <w:noProof/>
        </w:rPr>
        <w:t>1</w:t>
      </w:r>
      <w:r w:rsidR="007A5BD6">
        <w:fldChar w:fldCharType="end"/>
      </w:r>
      <w:bookmarkEnd w:id="25"/>
      <w:r>
        <w:t xml:space="preserve">: </w:t>
      </w:r>
      <w:r w:rsidRPr="008832C3">
        <w:t>Topic Area 1 Project Minimum Requirements*</w:t>
      </w:r>
      <w:bookmarkEnd w:id="26"/>
    </w:p>
    <w:tbl>
      <w:tblPr>
        <w:tblStyle w:val="31"/>
        <w:tblW w:w="8100" w:type="dxa"/>
        <w:tblInd w:w="1250" w:type="dxa"/>
        <w:tblLayout w:type="fixed"/>
        <w:tblLook w:val="0400" w:firstRow="0" w:lastRow="0" w:firstColumn="0" w:lastColumn="0" w:noHBand="0" w:noVBand="1"/>
      </w:tblPr>
      <w:tblGrid>
        <w:gridCol w:w="2525"/>
        <w:gridCol w:w="5575"/>
      </w:tblGrid>
      <w:tr w:rsidR="00FC0DE0" w:rsidRPr="00AF2E02" w14:paraId="6150D35B" w14:textId="77777777" w:rsidTr="00634646">
        <w:trPr>
          <w:trHeight w:val="169"/>
        </w:trPr>
        <w:tc>
          <w:tcPr>
            <w:tcW w:w="2525" w:type="dxa"/>
            <w:tcBorders>
              <w:top w:val="single" w:sz="8" w:space="0" w:color="000000"/>
              <w:left w:val="single" w:sz="8" w:space="0" w:color="000000"/>
              <w:bottom w:val="single" w:sz="8" w:space="0" w:color="000000"/>
              <w:right w:val="nil"/>
            </w:tcBorders>
            <w:shd w:val="clear" w:color="auto" w:fill="auto"/>
            <w:vAlign w:val="bottom"/>
          </w:tcPr>
          <w:p w14:paraId="4CC20150"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Metric: </w:t>
            </w:r>
          </w:p>
        </w:tc>
        <w:tc>
          <w:tcPr>
            <w:tcW w:w="5575" w:type="dxa"/>
            <w:tcBorders>
              <w:top w:val="single" w:sz="8" w:space="0" w:color="000000"/>
              <w:left w:val="single" w:sz="8" w:space="0" w:color="000000"/>
              <w:bottom w:val="single" w:sz="8" w:space="0" w:color="000000"/>
              <w:right w:val="single" w:sz="8" w:space="0" w:color="000000"/>
            </w:tcBorders>
            <w:shd w:val="clear" w:color="auto" w:fill="auto"/>
            <w:vAlign w:val="bottom"/>
          </w:tcPr>
          <w:p w14:paraId="49B935C6"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Minimum: </w:t>
            </w:r>
          </w:p>
        </w:tc>
      </w:tr>
      <w:tr w:rsidR="00FC0DE0" w:rsidRPr="00AF2E02" w14:paraId="127EA797" w14:textId="77777777" w:rsidTr="00634646">
        <w:trPr>
          <w:trHeight w:val="161"/>
        </w:trPr>
        <w:tc>
          <w:tcPr>
            <w:tcW w:w="2525" w:type="dxa"/>
            <w:tcBorders>
              <w:top w:val="nil"/>
              <w:left w:val="single" w:sz="8" w:space="0" w:color="000000"/>
              <w:bottom w:val="single" w:sz="4" w:space="0" w:color="000000"/>
              <w:right w:val="nil"/>
            </w:tcBorders>
            <w:shd w:val="clear" w:color="auto" w:fill="auto"/>
            <w:vAlign w:val="center"/>
          </w:tcPr>
          <w:p w14:paraId="74C92F82" w14:textId="55E2A444" w:rsidR="00FC0DE0" w:rsidRPr="00AF2E02" w:rsidRDefault="00FC0DE0" w:rsidP="00634646">
            <w:pPr>
              <w:rPr>
                <w:rFonts w:ascii="Calibri" w:hAnsi="Calibri"/>
                <w:color w:val="000000"/>
                <w:sz w:val="22"/>
                <w:szCs w:val="22"/>
              </w:rPr>
            </w:pPr>
            <w:r w:rsidRPr="003E06C5">
              <w:rPr>
                <w:color w:val="000000"/>
                <w:sz w:val="22"/>
                <w:szCs w:val="22"/>
              </w:rPr>
              <w:t>Fuel Type</w:t>
            </w:r>
            <w:r w:rsidR="006E5E10">
              <w:rPr>
                <w:rStyle w:val="FootnoteReference"/>
                <w:color w:val="000000"/>
                <w:sz w:val="22"/>
                <w:szCs w:val="22"/>
              </w:rPr>
              <w:footnoteReference w:id="16"/>
            </w:r>
          </w:p>
        </w:tc>
        <w:tc>
          <w:tcPr>
            <w:tcW w:w="5575" w:type="dxa"/>
            <w:tcBorders>
              <w:top w:val="nil"/>
              <w:left w:val="single" w:sz="8" w:space="0" w:color="000000"/>
              <w:bottom w:val="single" w:sz="4" w:space="0" w:color="000000"/>
              <w:right w:val="single" w:sz="8" w:space="0" w:color="000000"/>
            </w:tcBorders>
            <w:shd w:val="clear" w:color="auto" w:fill="auto"/>
          </w:tcPr>
          <w:p w14:paraId="65308C2E" w14:textId="21498234" w:rsidR="00FC0DE0" w:rsidRPr="004832AB" w:rsidRDefault="00C77392" w:rsidP="00634646">
            <w:pPr>
              <w:rPr>
                <w:rFonts w:ascii="Calibri" w:hAnsi="Calibri"/>
                <w:color w:val="000000"/>
                <w:sz w:val="22"/>
                <w:szCs w:val="22"/>
              </w:rPr>
            </w:pPr>
            <w:r>
              <w:rPr>
                <w:rFonts w:ascii="Calibri" w:hAnsi="Calibri"/>
                <w:color w:val="000000"/>
                <w:sz w:val="22"/>
                <w:szCs w:val="22"/>
              </w:rPr>
              <w:t>S</w:t>
            </w:r>
            <w:r w:rsidR="00FC0DE0" w:rsidRPr="00082273">
              <w:rPr>
                <w:rFonts w:ascii="Calibri" w:hAnsi="Calibri"/>
                <w:color w:val="000000"/>
                <w:sz w:val="22"/>
                <w:szCs w:val="22"/>
              </w:rPr>
              <w:t>ustainable aviation fuel,</w:t>
            </w:r>
            <w:r w:rsidR="00835F42">
              <w:rPr>
                <w:rFonts w:ascii="Calibri" w:hAnsi="Calibri"/>
                <w:color w:val="000000"/>
                <w:sz w:val="22"/>
                <w:szCs w:val="22"/>
              </w:rPr>
              <w:t xml:space="preserve"> </w:t>
            </w:r>
            <w:r w:rsidR="00107BD2" w:rsidRPr="00207AB5">
              <w:rPr>
                <w:rFonts w:ascii="Calibri" w:hAnsi="Calibri"/>
                <w:color w:val="000000"/>
                <w:sz w:val="22"/>
                <w:szCs w:val="22"/>
              </w:rPr>
              <w:t>heavy-duty</w:t>
            </w:r>
            <w:r w:rsidR="00E13E35">
              <w:rPr>
                <w:rFonts w:ascii="Calibri" w:hAnsi="Calibri"/>
                <w:color w:val="000000"/>
                <w:sz w:val="22"/>
                <w:szCs w:val="22"/>
              </w:rPr>
              <w:t xml:space="preserve"> </w:t>
            </w:r>
            <w:r w:rsidR="00835F42">
              <w:rPr>
                <w:rFonts w:ascii="Calibri" w:hAnsi="Calibri"/>
                <w:color w:val="000000"/>
                <w:sz w:val="22"/>
                <w:szCs w:val="22"/>
              </w:rPr>
              <w:t>truck fuel</w:t>
            </w:r>
            <w:r w:rsidR="00FC0DE0" w:rsidRPr="00082273">
              <w:rPr>
                <w:rFonts w:ascii="Calibri" w:hAnsi="Calibri"/>
                <w:color w:val="000000"/>
                <w:sz w:val="22"/>
                <w:szCs w:val="22"/>
              </w:rPr>
              <w:t xml:space="preserve">, sustainable marine fuel, </w:t>
            </w:r>
            <w:r w:rsidR="00CD441A">
              <w:rPr>
                <w:rFonts w:ascii="Calibri" w:hAnsi="Calibri"/>
                <w:color w:val="000000"/>
                <w:sz w:val="22"/>
                <w:szCs w:val="22"/>
              </w:rPr>
              <w:t xml:space="preserve">off-road vehicle fuel, </w:t>
            </w:r>
            <w:r w:rsidR="00FC0DE0" w:rsidRPr="00082273">
              <w:rPr>
                <w:rFonts w:ascii="Calibri" w:hAnsi="Calibri"/>
                <w:color w:val="000000"/>
                <w:sz w:val="22"/>
                <w:szCs w:val="22"/>
              </w:rPr>
              <w:t>and/or sustainable rail fuel</w:t>
            </w:r>
            <w:r w:rsidR="00054A4D">
              <w:rPr>
                <w:rFonts w:ascii="Calibri" w:hAnsi="Calibri"/>
                <w:color w:val="000000"/>
                <w:sz w:val="22"/>
                <w:szCs w:val="22"/>
              </w:rPr>
              <w:t>.</w:t>
            </w:r>
            <w:r w:rsidR="00E200F5">
              <w:rPr>
                <w:rFonts w:ascii="Calibri" w:hAnsi="Calibri"/>
                <w:color w:val="000000"/>
                <w:sz w:val="22"/>
                <w:szCs w:val="22"/>
              </w:rPr>
              <w:t xml:space="preserve"> </w:t>
            </w:r>
            <w:r w:rsidR="00107BD2">
              <w:rPr>
                <w:rFonts w:ascii="Calibri" w:hAnsi="Calibri"/>
                <w:color w:val="000000"/>
                <w:sz w:val="22"/>
                <w:szCs w:val="22"/>
              </w:rPr>
              <w:t xml:space="preserve"> </w:t>
            </w:r>
          </w:p>
        </w:tc>
      </w:tr>
      <w:tr w:rsidR="00FC0DE0" w:rsidRPr="00AF2E02" w14:paraId="5779EBA2" w14:textId="77777777" w:rsidTr="00634646">
        <w:trPr>
          <w:trHeight w:val="161"/>
        </w:trPr>
        <w:tc>
          <w:tcPr>
            <w:tcW w:w="2525" w:type="dxa"/>
            <w:tcBorders>
              <w:top w:val="nil"/>
              <w:left w:val="single" w:sz="8" w:space="0" w:color="000000"/>
              <w:bottom w:val="single" w:sz="4" w:space="0" w:color="000000"/>
              <w:right w:val="nil"/>
            </w:tcBorders>
            <w:shd w:val="clear" w:color="auto" w:fill="auto"/>
            <w:vAlign w:val="center"/>
          </w:tcPr>
          <w:p w14:paraId="1FF00E65"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Fuel Selling Price</w:t>
            </w:r>
          </w:p>
        </w:tc>
        <w:tc>
          <w:tcPr>
            <w:tcW w:w="5575" w:type="dxa"/>
            <w:tcBorders>
              <w:top w:val="nil"/>
              <w:left w:val="single" w:sz="8" w:space="0" w:color="000000"/>
              <w:bottom w:val="single" w:sz="4" w:space="0" w:color="000000"/>
              <w:right w:val="single" w:sz="8" w:space="0" w:color="000000"/>
            </w:tcBorders>
            <w:shd w:val="clear" w:color="auto" w:fill="auto"/>
          </w:tcPr>
          <w:p w14:paraId="5764F78E" w14:textId="77777777" w:rsidR="00FC0DE0" w:rsidRPr="004509A9" w:rsidRDefault="00FC0DE0" w:rsidP="00634646">
            <w:pPr>
              <w:rPr>
                <w:rFonts w:ascii="Calibri" w:hAnsi="Calibri"/>
                <w:color w:val="000000"/>
                <w:sz w:val="22"/>
                <w:szCs w:val="22"/>
              </w:rPr>
            </w:pPr>
            <w:r w:rsidRPr="004832AB">
              <w:rPr>
                <w:rFonts w:ascii="Calibri" w:hAnsi="Calibri"/>
                <w:color w:val="000000"/>
                <w:sz w:val="22"/>
                <w:szCs w:val="22"/>
              </w:rPr>
              <w:t>Cost competitive with petroleum-based fuels (model TEA for n</w:t>
            </w:r>
            <w:r w:rsidRPr="004832AB">
              <w:rPr>
                <w:rFonts w:ascii="Calibri" w:hAnsi="Calibri"/>
                <w:color w:val="000000"/>
                <w:sz w:val="22"/>
                <w:szCs w:val="22"/>
                <w:vertAlign w:val="superscript"/>
              </w:rPr>
              <w:t>th</w:t>
            </w:r>
            <w:r w:rsidRPr="004832AB">
              <w:rPr>
                <w:rFonts w:ascii="Calibri" w:hAnsi="Calibri"/>
                <w:color w:val="000000"/>
                <w:sz w:val="22"/>
                <w:szCs w:val="22"/>
              </w:rPr>
              <w:t xml:space="preserve"> plant)</w:t>
            </w:r>
          </w:p>
        </w:tc>
      </w:tr>
      <w:tr w:rsidR="00FC0DE0" w:rsidRPr="00AF2E02" w14:paraId="271E4AE4" w14:textId="77777777" w:rsidTr="00634646">
        <w:trPr>
          <w:trHeight w:val="323"/>
        </w:trPr>
        <w:tc>
          <w:tcPr>
            <w:tcW w:w="2525" w:type="dxa"/>
            <w:tcBorders>
              <w:top w:val="nil"/>
              <w:left w:val="single" w:sz="8" w:space="0" w:color="000000"/>
              <w:bottom w:val="single" w:sz="4" w:space="0" w:color="000000"/>
              <w:right w:val="nil"/>
            </w:tcBorders>
            <w:shd w:val="clear" w:color="auto" w:fill="auto"/>
            <w:vAlign w:val="center"/>
          </w:tcPr>
          <w:p w14:paraId="7B519903"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Cumulative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04680F44" w14:textId="1C14BC6A" w:rsidR="00FC0DE0" w:rsidRPr="00AF2E02" w:rsidRDefault="00FC0DE0" w:rsidP="00634646">
            <w:pPr>
              <w:rPr>
                <w:rFonts w:ascii="Calibri" w:hAnsi="Calibri"/>
                <w:color w:val="000000"/>
                <w:sz w:val="22"/>
                <w:szCs w:val="22"/>
              </w:rPr>
            </w:pPr>
            <w:bookmarkStart w:id="27" w:name="Topic1CumulTimeOnStream"/>
            <w:r w:rsidRPr="00C143C8">
              <w:rPr>
                <w:rFonts w:ascii="Calibri" w:hAnsi="Calibri"/>
                <w:color w:val="000000"/>
                <w:sz w:val="22"/>
                <w:szCs w:val="22"/>
              </w:rPr>
              <w:t>1,</w:t>
            </w:r>
            <w:r w:rsidR="00A973DF">
              <w:rPr>
                <w:rFonts w:ascii="Calibri" w:hAnsi="Calibri"/>
                <w:color w:val="000000"/>
                <w:sz w:val="22"/>
                <w:szCs w:val="22"/>
              </w:rPr>
              <w:t>500</w:t>
            </w:r>
            <w:r w:rsidRPr="00C143C8">
              <w:rPr>
                <w:rFonts w:ascii="Calibri" w:hAnsi="Calibri"/>
                <w:color w:val="000000"/>
                <w:sz w:val="22"/>
                <w:szCs w:val="22"/>
              </w:rPr>
              <w:t xml:space="preserve"> hours</w:t>
            </w:r>
            <w:bookmarkEnd w:id="27"/>
          </w:p>
        </w:tc>
      </w:tr>
      <w:tr w:rsidR="00FC0DE0" w:rsidRPr="00AF2E02" w14:paraId="33E77E3F" w14:textId="77777777" w:rsidTr="00634646">
        <w:trPr>
          <w:trHeight w:val="323"/>
        </w:trPr>
        <w:tc>
          <w:tcPr>
            <w:tcW w:w="2525" w:type="dxa"/>
            <w:tcBorders>
              <w:top w:val="nil"/>
              <w:left w:val="single" w:sz="8" w:space="0" w:color="000000"/>
              <w:bottom w:val="single" w:sz="4" w:space="0" w:color="000000"/>
              <w:right w:val="nil"/>
            </w:tcBorders>
            <w:shd w:val="clear" w:color="auto" w:fill="auto"/>
            <w:vAlign w:val="center"/>
          </w:tcPr>
          <w:p w14:paraId="502BE697"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Continuous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3F3A1FEC" w14:textId="628CF8D6" w:rsidR="00FC0DE0" w:rsidRPr="006F03C4" w:rsidRDefault="00A973DF" w:rsidP="00634646">
            <w:pPr>
              <w:rPr>
                <w:rFonts w:ascii="Calibri" w:hAnsi="Calibri"/>
                <w:color w:val="000000"/>
                <w:sz w:val="22"/>
                <w:szCs w:val="22"/>
                <w:highlight w:val="yellow"/>
              </w:rPr>
            </w:pPr>
            <w:r>
              <w:rPr>
                <w:rFonts w:ascii="Calibri" w:hAnsi="Calibri"/>
                <w:color w:val="000000"/>
                <w:sz w:val="22"/>
                <w:szCs w:val="22"/>
              </w:rPr>
              <w:t>1000</w:t>
            </w:r>
            <w:r w:rsidR="00FC0DE0" w:rsidRPr="00C143C8">
              <w:rPr>
                <w:rFonts w:ascii="Calibri" w:hAnsi="Calibri"/>
                <w:color w:val="000000"/>
                <w:sz w:val="22"/>
                <w:szCs w:val="22"/>
              </w:rPr>
              <w:t xml:space="preserve"> hours</w:t>
            </w:r>
          </w:p>
        </w:tc>
      </w:tr>
      <w:tr w:rsidR="00FC0DE0" w:rsidRPr="00AF2E02" w14:paraId="3E39D268" w14:textId="77777777" w:rsidTr="00634646">
        <w:trPr>
          <w:trHeight w:val="626"/>
        </w:trPr>
        <w:tc>
          <w:tcPr>
            <w:tcW w:w="2525" w:type="dxa"/>
            <w:tcBorders>
              <w:top w:val="single" w:sz="4" w:space="0" w:color="000000"/>
              <w:left w:val="single" w:sz="4" w:space="0" w:color="000000"/>
              <w:bottom w:val="single" w:sz="4" w:space="0" w:color="000000"/>
              <w:right w:val="nil"/>
            </w:tcBorders>
            <w:shd w:val="clear" w:color="auto" w:fill="auto"/>
            <w:vAlign w:val="center"/>
          </w:tcPr>
          <w:p w14:paraId="52E304BD"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Throughput Equivalent </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A3995EF" w14:textId="77777777" w:rsidR="00FC0DE0" w:rsidRPr="00240059" w:rsidRDefault="00FC0DE0" w:rsidP="00634646">
            <w:pPr>
              <w:rPr>
                <w:rFonts w:ascii="Calibri" w:hAnsi="Calibri"/>
                <w:color w:val="000000"/>
                <w:sz w:val="22"/>
                <w:szCs w:val="22"/>
              </w:rPr>
            </w:pPr>
            <w:bookmarkStart w:id="28" w:name="Topic1ThroughputEquiv"/>
            <w:r w:rsidRPr="00772DBE">
              <w:rPr>
                <w:rFonts w:ascii="Calibri" w:hAnsi="Calibri"/>
                <w:color w:val="000000"/>
                <w:sz w:val="22"/>
                <w:szCs w:val="22"/>
              </w:rPr>
              <w:t xml:space="preserve">20,000 gallons </w:t>
            </w:r>
            <w:bookmarkEnd w:id="28"/>
            <w:r w:rsidRPr="00772DBE">
              <w:rPr>
                <w:rFonts w:ascii="Calibri" w:hAnsi="Calibri"/>
                <w:color w:val="000000"/>
                <w:sz w:val="22"/>
                <w:szCs w:val="22"/>
              </w:rPr>
              <w:t>of biofuel per year equivalent</w:t>
            </w:r>
            <w:r w:rsidRPr="00240059">
              <w:rPr>
                <w:rFonts w:ascii="Calibri" w:eastAsia="Times New Roman" w:hAnsi="Calibri"/>
                <w:color w:val="000000"/>
                <w:sz w:val="22"/>
                <w:szCs w:val="22"/>
              </w:rPr>
              <w:t xml:space="preserve"> </w:t>
            </w:r>
          </w:p>
        </w:tc>
      </w:tr>
      <w:tr w:rsidR="00FC0DE0" w:rsidRPr="00AF2E02" w14:paraId="325D382C" w14:textId="77777777" w:rsidTr="00634646">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4B49BECA"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GHG Reductions</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7293182" w14:textId="77777777" w:rsidR="00FC0DE0" w:rsidRPr="00772DBE" w:rsidRDefault="00FC0DE0" w:rsidP="00634646">
            <w:pPr>
              <w:rPr>
                <w:rFonts w:ascii="Calibri" w:hAnsi="Calibri"/>
                <w:color w:val="000000"/>
                <w:sz w:val="22"/>
                <w:szCs w:val="22"/>
              </w:rPr>
            </w:pPr>
            <w:bookmarkStart w:id="29" w:name="Topic1GHGReductions"/>
            <w:r w:rsidRPr="00772DBE">
              <w:rPr>
                <w:rFonts w:ascii="Calibri" w:hAnsi="Calibri"/>
                <w:color w:val="000000"/>
                <w:sz w:val="22"/>
                <w:szCs w:val="22"/>
              </w:rPr>
              <w:t>70%</w:t>
            </w:r>
            <w:bookmarkEnd w:id="29"/>
          </w:p>
        </w:tc>
      </w:tr>
      <w:tr w:rsidR="00FC0DE0" w:rsidRPr="00AF2E02" w14:paraId="418F99C0" w14:textId="77777777" w:rsidTr="00634646">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3D40B1B2" w14:textId="77777777" w:rsidR="00FC0DE0" w:rsidRPr="00AF2E02" w:rsidRDefault="00FC0DE0" w:rsidP="00634646">
            <w:pPr>
              <w:rPr>
                <w:rFonts w:ascii="Calibri" w:hAnsi="Calibri"/>
                <w:color w:val="000000"/>
                <w:sz w:val="22"/>
                <w:szCs w:val="22"/>
              </w:rPr>
            </w:pPr>
            <w:r>
              <w:rPr>
                <w:rFonts w:ascii="Calibri" w:hAnsi="Calibri"/>
                <w:color w:val="000000"/>
                <w:sz w:val="22"/>
                <w:szCs w:val="22"/>
              </w:rPr>
              <w:lastRenderedPageBreak/>
              <w:t>Allowable Feedstocks</w:t>
            </w:r>
            <w:r>
              <w:rPr>
                <w:rStyle w:val="FootnoteReference"/>
                <w:rFonts w:ascii="Calibri" w:hAnsi="Calibri"/>
                <w:color w:val="000000"/>
                <w:sz w:val="22"/>
                <w:szCs w:val="22"/>
              </w:rPr>
              <w:footnoteReference w:id="17"/>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5EDDEF7" w14:textId="77777777" w:rsidR="00FC0DE0" w:rsidRPr="00A10799" w:rsidRDefault="00FC0DE0" w:rsidP="00634646">
            <w:pPr>
              <w:rPr>
                <w:rFonts w:ascii="Calibri" w:hAnsi="Calibri"/>
                <w:color w:val="000000"/>
                <w:sz w:val="22"/>
                <w:szCs w:val="22"/>
              </w:rPr>
            </w:pPr>
            <w:r w:rsidRPr="00772DBE">
              <w:rPr>
                <w:rFonts w:ascii="Calibri" w:hAnsi="Calibri"/>
                <w:color w:val="000000"/>
                <w:sz w:val="22"/>
                <w:szCs w:val="22"/>
              </w:rPr>
              <w:t>Lignocellulosic Feedstocks, Algae</w:t>
            </w:r>
            <w:r w:rsidRPr="00240059">
              <w:rPr>
                <w:rFonts w:ascii="Calibri" w:hAnsi="Calibri"/>
                <w:color w:val="000000"/>
                <w:sz w:val="22"/>
                <w:szCs w:val="22"/>
              </w:rPr>
              <w:t>, Organic Wet Waste, Sorted Municipal Solid Waste, Food Waste, Biogas, Grain Starch, Oilseed Crops</w:t>
            </w:r>
            <w:r>
              <w:rPr>
                <w:rFonts w:ascii="Calibri" w:hAnsi="Calibri"/>
                <w:color w:val="000000"/>
                <w:sz w:val="22"/>
                <w:szCs w:val="22"/>
              </w:rPr>
              <w:t xml:space="preserve">, C&amp;D Waste, </w:t>
            </w:r>
            <w:r w:rsidRPr="00240059">
              <w:rPr>
                <w:rFonts w:ascii="Calibri" w:hAnsi="Calibri"/>
                <w:color w:val="000000"/>
                <w:sz w:val="22"/>
                <w:szCs w:val="22"/>
              </w:rPr>
              <w:t>Waste CO</w:t>
            </w:r>
            <w:r w:rsidRPr="000867A8">
              <w:rPr>
                <w:rFonts w:ascii="Calibri" w:hAnsi="Calibri"/>
                <w:color w:val="000000"/>
                <w:sz w:val="22"/>
                <w:szCs w:val="22"/>
                <w:vertAlign w:val="subscript"/>
              </w:rPr>
              <w:t>2</w:t>
            </w:r>
            <w:r w:rsidRPr="00A10799">
              <w:rPr>
                <w:rFonts w:ascii="Calibri" w:hAnsi="Calibri"/>
                <w:color w:val="000000"/>
                <w:sz w:val="22"/>
                <w:szCs w:val="22"/>
              </w:rPr>
              <w:t>,</w:t>
            </w:r>
            <w:r>
              <w:rPr>
                <w:rFonts w:ascii="Calibri" w:hAnsi="Calibri"/>
                <w:color w:val="000000"/>
                <w:sz w:val="22"/>
                <w:szCs w:val="22"/>
              </w:rPr>
              <w:t xml:space="preserve"> and </w:t>
            </w:r>
            <w:r w:rsidRPr="00240059">
              <w:rPr>
                <w:rFonts w:ascii="Calibri" w:hAnsi="Calibri"/>
                <w:color w:val="000000"/>
                <w:sz w:val="22"/>
                <w:szCs w:val="22"/>
              </w:rPr>
              <w:t>CO</w:t>
            </w:r>
            <w:r w:rsidRPr="000867A8">
              <w:rPr>
                <w:rFonts w:ascii="Calibri" w:hAnsi="Calibri"/>
                <w:color w:val="000000"/>
                <w:sz w:val="22"/>
                <w:szCs w:val="22"/>
                <w:vertAlign w:val="subscript"/>
              </w:rPr>
              <w:t>2</w:t>
            </w:r>
            <w:r>
              <w:rPr>
                <w:rFonts w:ascii="Calibri" w:hAnsi="Calibri"/>
                <w:color w:val="000000"/>
                <w:sz w:val="22"/>
                <w:szCs w:val="22"/>
              </w:rPr>
              <w:t xml:space="preserve"> by Direct Air Capture</w:t>
            </w:r>
          </w:p>
        </w:tc>
      </w:tr>
      <w:tr w:rsidR="00FC0DE0" w:rsidRPr="00AF2E02" w14:paraId="4900F403" w14:textId="77777777" w:rsidTr="00634646">
        <w:trPr>
          <w:trHeight w:val="90"/>
        </w:trPr>
        <w:tc>
          <w:tcPr>
            <w:tcW w:w="8100"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3D0A2382" w14:textId="1ED6C8F7" w:rsidR="00FC0DE0" w:rsidRPr="00E1049F" w:rsidRDefault="00FC0DE0" w:rsidP="00634646">
            <w:pPr>
              <w:rPr>
                <w:rFonts w:ascii="Calibri" w:hAnsi="Calibri"/>
                <w:color w:val="000000"/>
                <w:sz w:val="22"/>
                <w:szCs w:val="22"/>
              </w:rPr>
            </w:pPr>
            <w:r>
              <w:rPr>
                <w:rFonts w:ascii="Calibri" w:hAnsi="Calibri"/>
                <w:color w:val="000000"/>
                <w:sz w:val="22"/>
                <w:szCs w:val="22"/>
              </w:rPr>
              <w:t>*</w:t>
            </w:r>
            <w:r w:rsidR="00716616">
              <w:rPr>
                <w:rFonts w:ascii="Calibri" w:hAnsi="Calibri"/>
                <w:color w:val="000000"/>
                <w:sz w:val="22"/>
                <w:szCs w:val="22"/>
              </w:rPr>
              <w:t>Applications submitted under Topic Area 1</w:t>
            </w:r>
            <w:r w:rsidR="00066333">
              <w:rPr>
                <w:rFonts w:ascii="Calibri" w:hAnsi="Calibri"/>
                <w:color w:val="000000"/>
                <w:sz w:val="22"/>
                <w:szCs w:val="22"/>
              </w:rPr>
              <w:t xml:space="preserve"> must reflect the</w:t>
            </w:r>
            <w:r>
              <w:rPr>
                <w:rFonts w:ascii="Calibri" w:hAnsi="Calibri"/>
                <w:color w:val="000000"/>
                <w:sz w:val="22"/>
                <w:szCs w:val="22"/>
              </w:rPr>
              <w:t xml:space="preserve"> minimum requirements indicated in this table</w:t>
            </w:r>
            <w:r w:rsidR="004D3F10">
              <w:rPr>
                <w:rFonts w:ascii="Calibri" w:hAnsi="Calibri"/>
                <w:color w:val="000000"/>
                <w:sz w:val="22"/>
                <w:szCs w:val="22"/>
              </w:rPr>
              <w:t xml:space="preserve"> as the</w:t>
            </w:r>
            <w:r>
              <w:rPr>
                <w:rFonts w:ascii="Calibri" w:hAnsi="Calibri"/>
                <w:color w:val="000000"/>
                <w:sz w:val="22"/>
                <w:szCs w:val="22"/>
              </w:rPr>
              <w:t xml:space="preserve"> expectation for </w:t>
            </w:r>
            <w:r w:rsidR="004D3F10">
              <w:rPr>
                <w:rFonts w:ascii="Calibri" w:hAnsi="Calibri"/>
                <w:color w:val="000000"/>
                <w:sz w:val="22"/>
                <w:szCs w:val="22"/>
              </w:rPr>
              <w:t>an</w:t>
            </w:r>
            <w:r>
              <w:rPr>
                <w:rFonts w:ascii="Calibri" w:hAnsi="Calibri"/>
                <w:color w:val="000000"/>
                <w:sz w:val="22"/>
                <w:szCs w:val="22"/>
              </w:rPr>
              <w:t xml:space="preserve"> eventual facility</w:t>
            </w:r>
            <w:r w:rsidR="004D3F10">
              <w:rPr>
                <w:rFonts w:ascii="Calibri" w:hAnsi="Calibri"/>
                <w:color w:val="000000"/>
                <w:sz w:val="22"/>
                <w:szCs w:val="22"/>
              </w:rPr>
              <w:t xml:space="preserve"> that may</w:t>
            </w:r>
            <w:r>
              <w:rPr>
                <w:rFonts w:ascii="Calibri" w:hAnsi="Calibri"/>
                <w:color w:val="000000"/>
                <w:sz w:val="22"/>
                <w:szCs w:val="22"/>
              </w:rPr>
              <w:t xml:space="preserve"> be constructed and operated in Phase 2, subject to </w:t>
            </w:r>
            <w:r w:rsidR="006E5AB8">
              <w:rPr>
                <w:rFonts w:ascii="Calibri" w:hAnsi="Calibri"/>
                <w:color w:val="000000"/>
                <w:sz w:val="22"/>
                <w:szCs w:val="22"/>
              </w:rPr>
              <w:t xml:space="preserve">the application’s </w:t>
            </w:r>
            <w:r>
              <w:rPr>
                <w:rFonts w:ascii="Calibri" w:hAnsi="Calibri"/>
                <w:color w:val="000000"/>
                <w:sz w:val="22"/>
                <w:szCs w:val="22"/>
              </w:rPr>
              <w:t>down-select</w:t>
            </w:r>
            <w:r w:rsidR="006E5AB8">
              <w:rPr>
                <w:rFonts w:ascii="Calibri" w:hAnsi="Calibri"/>
                <w:color w:val="000000"/>
                <w:sz w:val="22"/>
                <w:szCs w:val="22"/>
              </w:rPr>
              <w:t>ion</w:t>
            </w:r>
            <w:r>
              <w:rPr>
                <w:rFonts w:ascii="Calibri" w:hAnsi="Calibri"/>
                <w:color w:val="000000"/>
                <w:sz w:val="22"/>
                <w:szCs w:val="22"/>
              </w:rPr>
              <w:t xml:space="preserve"> from Phase 1.</w:t>
            </w:r>
          </w:p>
        </w:tc>
      </w:tr>
    </w:tbl>
    <w:p w14:paraId="449E035C" w14:textId="77777777" w:rsidR="00FC0DE0" w:rsidRDefault="00FC0DE0" w:rsidP="00FC0DE0">
      <w:pPr>
        <w:pStyle w:val="FOATemplateBody"/>
        <w:ind w:left="1260"/>
        <w:rPr>
          <w:color w:val="000000"/>
        </w:rPr>
      </w:pPr>
    </w:p>
    <w:p w14:paraId="7CF3CC51" w14:textId="5D89BEE5" w:rsidR="00FC0DE0" w:rsidRDefault="00FC0DE0" w:rsidP="00FC0DE0">
      <w:pPr>
        <w:pStyle w:val="FOATemplateBody"/>
        <w:ind w:left="1260"/>
        <w:rPr>
          <w:color w:val="000000"/>
        </w:rPr>
      </w:pPr>
      <w:r w:rsidRPr="00AF2E02">
        <w:rPr>
          <w:color w:val="000000"/>
        </w:rPr>
        <w:t>Given the high cost and complexity of pilot</w:t>
      </w:r>
      <w:r>
        <w:rPr>
          <w:color w:val="000000"/>
        </w:rPr>
        <w:t>-</w:t>
      </w:r>
      <w:r w:rsidRPr="00AF2E02">
        <w:rPr>
          <w:color w:val="000000"/>
        </w:rPr>
        <w:t xml:space="preserve">scale projects, </w:t>
      </w:r>
      <w:r w:rsidR="000C69D9" w:rsidRPr="00DE669E">
        <w:rPr>
          <w:color w:val="000000"/>
        </w:rPr>
        <w:t>selected applicants</w:t>
      </w:r>
      <w:r w:rsidR="000C69D9">
        <w:rPr>
          <w:color w:val="000000"/>
        </w:rPr>
        <w:t xml:space="preserve"> </w:t>
      </w:r>
      <w:r w:rsidRPr="00AF2E02">
        <w:rPr>
          <w:color w:val="000000"/>
        </w:rPr>
        <w:t xml:space="preserve">in </w:t>
      </w:r>
      <w:r>
        <w:rPr>
          <w:color w:val="000000"/>
        </w:rPr>
        <w:t>Topic Area 1</w:t>
      </w:r>
      <w:r w:rsidRPr="00AF2E02">
        <w:rPr>
          <w:color w:val="000000"/>
        </w:rPr>
        <w:t xml:space="preserve"> will undergo</w:t>
      </w:r>
      <w:r>
        <w:rPr>
          <w:color w:val="000000"/>
        </w:rPr>
        <w:t xml:space="preserve"> a phased approach as depicted below in </w:t>
      </w:r>
      <w:r w:rsidR="008C01C5">
        <w:rPr>
          <w:rStyle w:val="FOAHyperlink-BodyChar"/>
        </w:rPr>
        <w:fldChar w:fldCharType="begin"/>
      </w:r>
      <w:r w:rsidR="008C01C5">
        <w:rPr>
          <w:rStyle w:val="FOAHyperlink-BodyChar"/>
        </w:rPr>
        <w:instrText xml:space="preserve"> REF  _Ref166592731  \* MERGEFORMAT </w:instrText>
      </w:r>
      <w:r w:rsidR="008C01C5">
        <w:rPr>
          <w:rStyle w:val="FOAHyperlink-BodyChar"/>
        </w:rPr>
        <w:fldChar w:fldCharType="separate"/>
      </w:r>
      <w:r w:rsidR="001B6894">
        <w:t xml:space="preserve">Table </w:t>
      </w:r>
      <w:r w:rsidR="001B6894">
        <w:rPr>
          <w:noProof/>
        </w:rPr>
        <w:t>2</w:t>
      </w:r>
      <w:r w:rsidR="001B6894">
        <w:t xml:space="preserve">: </w:t>
      </w:r>
      <w:r w:rsidR="001B6894" w:rsidRPr="002173E1">
        <w:t>Topic Area 1 Award Structure</w:t>
      </w:r>
      <w:r w:rsidR="008C01C5">
        <w:rPr>
          <w:rStyle w:val="FOAHyperlink-BodyChar"/>
        </w:rPr>
        <w:fldChar w:fldCharType="end"/>
      </w:r>
      <w:r>
        <w:rPr>
          <w:color w:val="000000"/>
        </w:rPr>
        <w:t>.</w:t>
      </w:r>
      <w:r w:rsidRPr="00AF2E02">
        <w:rPr>
          <w:color w:val="000000"/>
        </w:rPr>
        <w:t xml:space="preserve"> </w:t>
      </w:r>
      <w:r>
        <w:rPr>
          <w:color w:val="000000"/>
        </w:rPr>
        <w:t>Phase 1 will consist of a</w:t>
      </w:r>
      <w:r w:rsidR="009710BB">
        <w:rPr>
          <w:color w:val="000000"/>
        </w:rPr>
        <w:t xml:space="preserve"> </w:t>
      </w:r>
      <w:r w:rsidRPr="004F771F">
        <w:rPr>
          <w:color w:val="000000"/>
        </w:rPr>
        <w:t xml:space="preserve">24-month </w:t>
      </w:r>
      <w:r>
        <w:rPr>
          <w:color w:val="000000"/>
        </w:rPr>
        <w:t>“</w:t>
      </w:r>
      <w:r w:rsidRPr="004F771F">
        <w:rPr>
          <w:color w:val="000000"/>
        </w:rPr>
        <w:t>Verification</w:t>
      </w:r>
      <w:r w:rsidRPr="00AF2E02">
        <w:rPr>
          <w:color w:val="000000"/>
        </w:rPr>
        <w:t xml:space="preserve"> &amp; Design Basis Definition</w:t>
      </w:r>
      <w:r>
        <w:rPr>
          <w:color w:val="000000"/>
        </w:rPr>
        <w:t>”</w:t>
      </w:r>
      <w:r w:rsidRPr="00AF2E02">
        <w:rPr>
          <w:color w:val="000000"/>
        </w:rPr>
        <w:t xml:space="preserve"> phase to </w:t>
      </w:r>
      <w:r>
        <w:rPr>
          <w:color w:val="000000"/>
        </w:rPr>
        <w:t>verify</w:t>
      </w:r>
      <w:r w:rsidRPr="00AF2E02">
        <w:rPr>
          <w:color w:val="000000"/>
        </w:rPr>
        <w:t xml:space="preserve"> prior</w:t>
      </w:r>
      <w:r>
        <w:rPr>
          <w:color w:val="000000"/>
        </w:rPr>
        <w:t>-</w:t>
      </w:r>
      <w:r w:rsidRPr="00AF2E02">
        <w:rPr>
          <w:color w:val="000000"/>
        </w:rPr>
        <w:t>scale data and readiness to proceed</w:t>
      </w:r>
      <w:r>
        <w:rPr>
          <w:color w:val="000000"/>
        </w:rPr>
        <w:t xml:space="preserve">. </w:t>
      </w:r>
      <w:r w:rsidRPr="004F771F">
        <w:rPr>
          <w:color w:val="000000"/>
        </w:rPr>
        <w:t>Up to $3,000,000</w:t>
      </w:r>
      <w:r>
        <w:rPr>
          <w:color w:val="000000"/>
        </w:rPr>
        <w:t xml:space="preserve"> of federal funds will be made available for each </w:t>
      </w:r>
      <w:r w:rsidR="0080607B">
        <w:rPr>
          <w:color w:val="000000"/>
        </w:rPr>
        <w:t xml:space="preserve">selected </w:t>
      </w:r>
      <w:r>
        <w:rPr>
          <w:color w:val="000000"/>
        </w:rPr>
        <w:t xml:space="preserve">Phase 1 project.  A minimum of 50% cost share is required for Phase 1.  </w:t>
      </w:r>
      <w:r w:rsidRPr="00AF2E02">
        <w:rPr>
          <w:color w:val="000000"/>
        </w:rPr>
        <w:t xml:space="preserve">DOE will conduct a down-select review between Phase 1 and the </w:t>
      </w:r>
      <w:r>
        <w:rPr>
          <w:color w:val="000000"/>
        </w:rPr>
        <w:t xml:space="preserve">final </w:t>
      </w:r>
      <w:r w:rsidRPr="00AF2E02">
        <w:rPr>
          <w:color w:val="000000"/>
        </w:rPr>
        <w:t>design/construction/operation phase (Phase 2), also referred to as Critical Decision (CD) 2</w:t>
      </w:r>
      <w:r w:rsidR="0080607B">
        <w:rPr>
          <w:color w:val="000000"/>
        </w:rPr>
        <w:t>.</w:t>
      </w:r>
      <w:r w:rsidRPr="00AF2E02">
        <w:rPr>
          <w:rStyle w:val="FootnoteReference"/>
          <w:color w:val="000000"/>
        </w:rPr>
        <w:footnoteReference w:id="18"/>
      </w:r>
      <w:r w:rsidRPr="00AF2E02">
        <w:rPr>
          <w:color w:val="000000"/>
        </w:rPr>
        <w:t xml:space="preserve">  The down-select decision will be made by DOE at the completion of the </w:t>
      </w:r>
      <w:r w:rsidR="00477BB2">
        <w:rPr>
          <w:color w:val="000000"/>
        </w:rPr>
        <w:t>12</w:t>
      </w:r>
      <w:r w:rsidR="00E73355">
        <w:rPr>
          <w:color w:val="000000"/>
        </w:rPr>
        <w:t xml:space="preserve"> to </w:t>
      </w:r>
      <w:r>
        <w:rPr>
          <w:color w:val="000000"/>
        </w:rPr>
        <w:t>24</w:t>
      </w:r>
      <w:r w:rsidRPr="00AF2E02">
        <w:rPr>
          <w:color w:val="000000"/>
        </w:rPr>
        <w:t>-month Phase 1</w:t>
      </w:r>
      <w:r>
        <w:rPr>
          <w:color w:val="000000"/>
        </w:rPr>
        <w:t xml:space="preserve"> period</w:t>
      </w:r>
      <w:r w:rsidRPr="00AF2E02">
        <w:rPr>
          <w:color w:val="000000"/>
        </w:rPr>
        <w:t xml:space="preserve">. Project performance in Phase 1, as well as portfolio balance, </w:t>
      </w:r>
      <w:r>
        <w:rPr>
          <w:color w:val="000000"/>
        </w:rPr>
        <w:t>availability</w:t>
      </w:r>
      <w:r w:rsidRPr="00AF2E02">
        <w:rPr>
          <w:color w:val="000000"/>
        </w:rPr>
        <w:t xml:space="preserve"> of funds, and other factors, will be considered in the </w:t>
      </w:r>
      <w:r>
        <w:rPr>
          <w:color w:val="000000"/>
        </w:rPr>
        <w:t>down-select</w:t>
      </w:r>
      <w:r w:rsidRPr="00AF2E02">
        <w:rPr>
          <w:color w:val="000000"/>
        </w:rPr>
        <w:t xml:space="preserve"> process.  </w:t>
      </w:r>
      <w:r>
        <w:rPr>
          <w:color w:val="000000"/>
        </w:rPr>
        <w:t xml:space="preserve">Please see Appendix I – Preliminary Design Requirements for a list of the criteria upon which EERE will evaluate Phase 1 projects.  </w:t>
      </w:r>
      <w:r w:rsidRPr="00AF2E02">
        <w:rPr>
          <w:color w:val="000000"/>
        </w:rPr>
        <w:t xml:space="preserve">Only projects selected by DOE as a result of the down-select process will be eligible to receive additional </w:t>
      </w:r>
      <w:r>
        <w:rPr>
          <w:color w:val="000000"/>
        </w:rPr>
        <w:t xml:space="preserve">Phase 2 </w:t>
      </w:r>
      <w:r w:rsidRPr="00AF2E02">
        <w:rPr>
          <w:color w:val="000000"/>
        </w:rPr>
        <w:t>funding</w:t>
      </w:r>
      <w:r w:rsidR="00A17976">
        <w:rPr>
          <w:color w:val="000000"/>
        </w:rPr>
        <w:t xml:space="preserve">, </w:t>
      </w:r>
      <w:r w:rsidRPr="00AF2E02">
        <w:rPr>
          <w:color w:val="000000"/>
        </w:rPr>
        <w:t xml:space="preserve">subject </w:t>
      </w:r>
      <w:r w:rsidRPr="00C775D2">
        <w:rPr>
          <w:color w:val="000000"/>
        </w:rPr>
        <w:t xml:space="preserve">to </w:t>
      </w:r>
      <w:r w:rsidR="009C1024" w:rsidRPr="00C775D2">
        <w:rPr>
          <w:color w:val="000000"/>
        </w:rPr>
        <w:t>future appropriations and availability of funds</w:t>
      </w:r>
      <w:r w:rsidR="009C1024">
        <w:rPr>
          <w:color w:val="000000"/>
        </w:rPr>
        <w:t xml:space="preserve"> </w:t>
      </w:r>
      <w:r w:rsidRPr="00AF2E02">
        <w:rPr>
          <w:color w:val="000000"/>
        </w:rPr>
        <w:t xml:space="preserve">and be permitted to proceed into the </w:t>
      </w:r>
      <w:r>
        <w:rPr>
          <w:color w:val="000000"/>
        </w:rPr>
        <w:t>36</w:t>
      </w:r>
      <w:r w:rsidRPr="00AF2E02">
        <w:rPr>
          <w:color w:val="000000"/>
        </w:rPr>
        <w:t>-</w:t>
      </w:r>
      <w:r w:rsidR="00B90502">
        <w:rPr>
          <w:color w:val="000000"/>
        </w:rPr>
        <w:t>60</w:t>
      </w:r>
      <w:r w:rsidRPr="00AF2E02">
        <w:rPr>
          <w:color w:val="000000"/>
        </w:rPr>
        <w:t xml:space="preserve"> month design/construction/operation phase (Phase 2).</w:t>
      </w:r>
      <w:r>
        <w:rPr>
          <w:color w:val="000000"/>
        </w:rPr>
        <w:t xml:space="preserve">  </w:t>
      </w:r>
    </w:p>
    <w:p w14:paraId="2FF22ED8" w14:textId="77777777" w:rsidR="00FC0DE0" w:rsidRDefault="00FC0DE0" w:rsidP="00FC0DE0">
      <w:pPr>
        <w:pStyle w:val="FOATemplateBody"/>
        <w:ind w:left="1260"/>
        <w:rPr>
          <w:color w:val="000000"/>
        </w:rPr>
      </w:pPr>
    </w:p>
    <w:p w14:paraId="78FBF233" w14:textId="7733DD5B" w:rsidR="00FC0DE0" w:rsidRPr="002F2F9D" w:rsidRDefault="00FC0DE0" w:rsidP="00FC0DE0">
      <w:pPr>
        <w:pStyle w:val="Caption"/>
      </w:pPr>
      <w:bookmarkStart w:id="30" w:name="_Ref166592731"/>
      <w:r>
        <w:t xml:space="preserve">Table </w:t>
      </w:r>
      <w:r w:rsidR="007A5BD6">
        <w:fldChar w:fldCharType="begin"/>
      </w:r>
      <w:r w:rsidR="007A5BD6">
        <w:instrText xml:space="preserve"> SEQ Table \* ARABIC </w:instrText>
      </w:r>
      <w:r w:rsidR="007A5BD6">
        <w:fldChar w:fldCharType="separate"/>
      </w:r>
      <w:r w:rsidR="001B6894">
        <w:rPr>
          <w:noProof/>
        </w:rPr>
        <w:t>2</w:t>
      </w:r>
      <w:r w:rsidR="007A5BD6">
        <w:fldChar w:fldCharType="end"/>
      </w:r>
      <w:r>
        <w:t xml:space="preserve">: </w:t>
      </w:r>
      <w:r w:rsidRPr="002173E1">
        <w:t>Topic Area 1 Award Structure</w:t>
      </w:r>
      <w:bookmarkEnd w:id="30"/>
      <w:r w:rsidR="00A94F82">
        <w:t xml:space="preserve"> – Preliminary Design and Phased Construction</w:t>
      </w:r>
    </w:p>
    <w:tbl>
      <w:tblPr>
        <w:tblStyle w:val="29"/>
        <w:tblW w:w="8015" w:type="dxa"/>
        <w:tblInd w:w="1250" w:type="dxa"/>
        <w:tblLayout w:type="fixed"/>
        <w:tblLook w:val="0400" w:firstRow="0" w:lastRow="0" w:firstColumn="0" w:lastColumn="0" w:noHBand="0" w:noVBand="1"/>
        <w:tblCaption w:val="Table 2:  Topic Area 1 Award Structure"/>
      </w:tblPr>
      <w:tblGrid>
        <w:gridCol w:w="2160"/>
        <w:gridCol w:w="990"/>
        <w:gridCol w:w="4865"/>
      </w:tblGrid>
      <w:tr w:rsidR="00FC0DE0" w:rsidRPr="00AF2E02" w14:paraId="517F1908" w14:textId="77777777" w:rsidTr="00634646">
        <w:trPr>
          <w:trHeight w:val="300"/>
        </w:trPr>
        <w:tc>
          <w:tcPr>
            <w:tcW w:w="216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748797A5"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Phases</w:t>
            </w:r>
          </w:p>
        </w:tc>
        <w:tc>
          <w:tcPr>
            <w:tcW w:w="990" w:type="dxa"/>
            <w:tcBorders>
              <w:top w:val="single" w:sz="8" w:space="0" w:color="000000"/>
              <w:left w:val="nil"/>
              <w:bottom w:val="single" w:sz="8" w:space="0" w:color="000000"/>
              <w:right w:val="single" w:sz="4" w:space="0" w:color="000000"/>
            </w:tcBorders>
            <w:shd w:val="clear" w:color="auto" w:fill="auto"/>
            <w:vAlign w:val="center"/>
          </w:tcPr>
          <w:p w14:paraId="10D17E5E"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Budget Periods</w:t>
            </w:r>
          </w:p>
        </w:tc>
        <w:tc>
          <w:tcPr>
            <w:tcW w:w="4865" w:type="dxa"/>
            <w:tcBorders>
              <w:top w:val="single" w:sz="8" w:space="0" w:color="000000"/>
              <w:left w:val="nil"/>
              <w:bottom w:val="single" w:sz="8" w:space="0" w:color="000000"/>
              <w:right w:val="single" w:sz="8" w:space="0" w:color="000000"/>
            </w:tcBorders>
            <w:shd w:val="clear" w:color="auto" w:fill="auto"/>
            <w:vAlign w:val="center"/>
          </w:tcPr>
          <w:p w14:paraId="4FE9A581"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Scope</w:t>
            </w:r>
          </w:p>
        </w:tc>
      </w:tr>
      <w:tr w:rsidR="00FC0DE0" w:rsidRPr="00AF2E02" w14:paraId="0CBF0B61" w14:textId="77777777" w:rsidTr="00634646">
        <w:trPr>
          <w:trHeight w:val="430"/>
        </w:trPr>
        <w:tc>
          <w:tcPr>
            <w:tcW w:w="2160"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14:paraId="13F03993" w14:textId="77777777" w:rsidR="00FC0DE0" w:rsidRDefault="00FC0DE0" w:rsidP="00634646">
            <w:pPr>
              <w:jc w:val="center"/>
              <w:rPr>
                <w:rFonts w:ascii="Calibri" w:hAnsi="Calibri"/>
                <w:color w:val="000000"/>
                <w:sz w:val="22"/>
                <w:szCs w:val="22"/>
              </w:rPr>
            </w:pPr>
            <w:r w:rsidRPr="00AF2E02">
              <w:rPr>
                <w:rFonts w:ascii="Calibri" w:hAnsi="Calibri"/>
                <w:color w:val="000000"/>
                <w:sz w:val="22"/>
                <w:szCs w:val="22"/>
              </w:rPr>
              <w:t xml:space="preserve">Phase 1 – </w:t>
            </w:r>
            <w:bookmarkStart w:id="31" w:name="_Hlk90042245"/>
            <w:r w:rsidRPr="00AF2E02">
              <w:rPr>
                <w:rFonts w:ascii="Calibri" w:hAnsi="Calibri"/>
                <w:color w:val="000000"/>
                <w:sz w:val="22"/>
                <w:szCs w:val="22"/>
              </w:rPr>
              <w:t>Verification &amp; Design Basis Definition</w:t>
            </w:r>
            <w:bookmarkEnd w:id="31"/>
            <w:r w:rsidRPr="00AF2E02">
              <w:rPr>
                <w:rFonts w:ascii="Calibri" w:hAnsi="Calibri"/>
                <w:color w:val="000000"/>
                <w:sz w:val="22"/>
                <w:szCs w:val="22"/>
              </w:rPr>
              <w:br/>
              <w:t>(12</w:t>
            </w:r>
            <w:r>
              <w:rPr>
                <w:rFonts w:ascii="Calibri" w:hAnsi="Calibri"/>
                <w:color w:val="000000"/>
                <w:sz w:val="22"/>
                <w:szCs w:val="22"/>
              </w:rPr>
              <w:t xml:space="preserve"> - 24</w:t>
            </w:r>
            <w:r w:rsidRPr="00AF2E02">
              <w:rPr>
                <w:rFonts w:ascii="Calibri" w:hAnsi="Calibri"/>
                <w:color w:val="000000"/>
                <w:sz w:val="22"/>
                <w:szCs w:val="22"/>
              </w:rPr>
              <w:t xml:space="preserve"> Months)</w:t>
            </w:r>
          </w:p>
          <w:p w14:paraId="01DD84F0" w14:textId="77777777" w:rsidR="00FC0DE0" w:rsidRPr="00AF2E02" w:rsidRDefault="00FC0DE0" w:rsidP="00634646">
            <w:pPr>
              <w:rPr>
                <w:rFonts w:ascii="Calibri" w:hAnsi="Calibri"/>
                <w:color w:val="000000"/>
                <w:sz w:val="22"/>
                <w:szCs w:val="22"/>
              </w:rPr>
            </w:pPr>
          </w:p>
        </w:tc>
        <w:tc>
          <w:tcPr>
            <w:tcW w:w="990" w:type="dxa"/>
            <w:tcBorders>
              <w:top w:val="single" w:sz="8" w:space="0" w:color="000000"/>
              <w:left w:val="nil"/>
              <w:bottom w:val="single" w:sz="4" w:space="0" w:color="000000"/>
              <w:right w:val="single" w:sz="4" w:space="0" w:color="000000"/>
            </w:tcBorders>
            <w:shd w:val="clear" w:color="auto" w:fill="auto"/>
            <w:vAlign w:val="center"/>
          </w:tcPr>
          <w:p w14:paraId="2A419812"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BP1</w:t>
            </w:r>
          </w:p>
        </w:tc>
        <w:tc>
          <w:tcPr>
            <w:tcW w:w="4865" w:type="dxa"/>
            <w:tcBorders>
              <w:top w:val="single" w:sz="8" w:space="0" w:color="000000"/>
              <w:left w:val="nil"/>
              <w:bottom w:val="single" w:sz="4" w:space="0" w:color="000000"/>
              <w:right w:val="single" w:sz="8" w:space="0" w:color="000000"/>
            </w:tcBorders>
            <w:shd w:val="clear" w:color="auto" w:fill="auto"/>
            <w:vAlign w:val="center"/>
          </w:tcPr>
          <w:p w14:paraId="3173BCD0"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 xml:space="preserve">Verification of baseline data presented in application </w:t>
            </w:r>
          </w:p>
          <w:p w14:paraId="401F52FA" w14:textId="77777777" w:rsidR="00FC0DE0" w:rsidRPr="00AF2E02" w:rsidRDefault="00FC0DE0" w:rsidP="00634646">
            <w:pPr>
              <w:rPr>
                <w:rFonts w:ascii="Calibri" w:hAnsi="Calibri"/>
                <w:color w:val="000000"/>
                <w:sz w:val="22"/>
                <w:szCs w:val="22"/>
              </w:rPr>
            </w:pPr>
          </w:p>
        </w:tc>
      </w:tr>
      <w:tr w:rsidR="00FC0DE0" w:rsidRPr="00AF2E02" w14:paraId="25877266" w14:textId="77777777" w:rsidTr="00634646">
        <w:trPr>
          <w:trHeight w:val="431"/>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18243174"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4" w:space="0" w:color="000000"/>
            </w:tcBorders>
            <w:shd w:val="clear" w:color="auto" w:fill="auto"/>
            <w:vAlign w:val="center"/>
          </w:tcPr>
          <w:p w14:paraId="3F89DEDF" w14:textId="77777777" w:rsidR="00FC0DE0" w:rsidRPr="00AF2E02" w:rsidRDefault="00FC0DE0" w:rsidP="00634646">
            <w:pPr>
              <w:jc w:val="center"/>
              <w:rPr>
                <w:rFonts w:ascii="Calibri" w:hAnsi="Calibri"/>
                <w:b/>
                <w:color w:val="000000"/>
                <w:sz w:val="22"/>
                <w:szCs w:val="22"/>
              </w:rPr>
            </w:pPr>
            <w:r w:rsidRPr="00AF2E02">
              <w:rPr>
                <w:rFonts w:ascii="Calibri" w:hAnsi="Calibri"/>
                <w:b/>
                <w:color w:val="000000"/>
                <w:sz w:val="22"/>
                <w:szCs w:val="22"/>
              </w:rPr>
              <w:t>Go/No-Go</w:t>
            </w:r>
          </w:p>
          <w:p w14:paraId="2737DF8A"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Review of Verification outcome</w:t>
            </w:r>
          </w:p>
        </w:tc>
      </w:tr>
      <w:tr w:rsidR="00FC0DE0" w:rsidRPr="00AF2E02" w14:paraId="027301F5" w14:textId="77777777" w:rsidTr="00634646">
        <w:trPr>
          <w:trHeight w:val="708"/>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83C6E8C"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single" w:sz="4" w:space="0" w:color="000000"/>
              <w:left w:val="nil"/>
              <w:bottom w:val="single" w:sz="4" w:space="0" w:color="000000"/>
              <w:right w:val="single" w:sz="4" w:space="0" w:color="000000"/>
            </w:tcBorders>
            <w:shd w:val="clear" w:color="auto" w:fill="auto"/>
            <w:vAlign w:val="center"/>
          </w:tcPr>
          <w:p w14:paraId="2169D33E"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BP2</w:t>
            </w:r>
          </w:p>
        </w:tc>
        <w:tc>
          <w:tcPr>
            <w:tcW w:w="4865" w:type="dxa"/>
            <w:tcBorders>
              <w:top w:val="single" w:sz="4" w:space="0" w:color="000000"/>
              <w:left w:val="nil"/>
              <w:bottom w:val="single" w:sz="4" w:space="0" w:color="000000"/>
              <w:right w:val="single" w:sz="8" w:space="0" w:color="000000"/>
            </w:tcBorders>
            <w:shd w:val="clear" w:color="auto" w:fill="auto"/>
            <w:vAlign w:val="center"/>
          </w:tcPr>
          <w:p w14:paraId="73D9B7F4"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Design Basis Definition</w:t>
            </w:r>
          </w:p>
        </w:tc>
      </w:tr>
      <w:tr w:rsidR="00FC0DE0" w:rsidRPr="00AF2E02" w14:paraId="63C397C5" w14:textId="77777777" w:rsidTr="00634646">
        <w:trPr>
          <w:trHeight w:val="628"/>
        </w:trPr>
        <w:tc>
          <w:tcPr>
            <w:tcW w:w="801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11EC04A" w14:textId="34887F2C" w:rsidR="00FC0DE0" w:rsidRPr="00AF2E02" w:rsidRDefault="00FC0DE0" w:rsidP="00634646">
            <w:pPr>
              <w:jc w:val="center"/>
              <w:rPr>
                <w:rFonts w:ascii="Calibri" w:hAnsi="Calibri"/>
                <w:color w:val="000000"/>
                <w:sz w:val="22"/>
                <w:szCs w:val="22"/>
              </w:rPr>
            </w:pPr>
            <w:r>
              <w:rPr>
                <w:rFonts w:ascii="Calibri" w:hAnsi="Calibri"/>
                <w:b/>
                <w:color w:val="000000"/>
                <w:sz w:val="22"/>
                <w:szCs w:val="22"/>
              </w:rPr>
              <w:t>Down-select</w:t>
            </w:r>
            <w:r w:rsidRPr="00AF2E02">
              <w:rPr>
                <w:rFonts w:ascii="Calibri" w:hAnsi="Calibri"/>
                <w:b/>
                <w:color w:val="000000"/>
                <w:sz w:val="22"/>
                <w:szCs w:val="22"/>
              </w:rPr>
              <w:t xml:space="preserve"> (CD-2)</w:t>
            </w:r>
            <w:r w:rsidRPr="00AF2E02">
              <w:rPr>
                <w:rFonts w:ascii="Calibri" w:hAnsi="Calibri"/>
                <w:color w:val="000000"/>
                <w:sz w:val="22"/>
                <w:szCs w:val="22"/>
              </w:rPr>
              <w:br/>
              <w:t>Approve project scope and begin design (Subject to future appropriations</w:t>
            </w:r>
            <w:r w:rsidR="00E56B26">
              <w:rPr>
                <w:rFonts w:ascii="Calibri" w:hAnsi="Calibri"/>
                <w:color w:val="000000"/>
                <w:sz w:val="22"/>
                <w:szCs w:val="22"/>
              </w:rPr>
              <w:t xml:space="preserve"> and availability of funds</w:t>
            </w:r>
            <w:r w:rsidRPr="00AF2E02">
              <w:rPr>
                <w:rFonts w:ascii="Calibri" w:hAnsi="Calibri"/>
                <w:color w:val="000000"/>
                <w:sz w:val="22"/>
                <w:szCs w:val="22"/>
              </w:rPr>
              <w:t xml:space="preserve">) </w:t>
            </w:r>
          </w:p>
        </w:tc>
      </w:tr>
      <w:tr w:rsidR="00FC0DE0" w:rsidRPr="00AF2E02" w14:paraId="4BE9AAC9" w14:textId="77777777" w:rsidTr="00634646">
        <w:trPr>
          <w:trHeight w:val="600"/>
        </w:trPr>
        <w:tc>
          <w:tcPr>
            <w:tcW w:w="2160" w:type="dxa"/>
            <w:vMerge w:val="restart"/>
            <w:tcBorders>
              <w:top w:val="nil"/>
              <w:left w:val="single" w:sz="8" w:space="0" w:color="000000"/>
              <w:bottom w:val="single" w:sz="8" w:space="0" w:color="000000"/>
              <w:right w:val="single" w:sz="4" w:space="0" w:color="000000"/>
            </w:tcBorders>
            <w:shd w:val="clear" w:color="auto" w:fill="auto"/>
            <w:vAlign w:val="center"/>
          </w:tcPr>
          <w:p w14:paraId="61A25CF2" w14:textId="77777777" w:rsidR="00FC0DE0" w:rsidRDefault="00FC0DE0" w:rsidP="00634646">
            <w:pPr>
              <w:jc w:val="center"/>
              <w:rPr>
                <w:rFonts w:ascii="Calibri" w:hAnsi="Calibri"/>
                <w:color w:val="000000"/>
                <w:sz w:val="22"/>
                <w:szCs w:val="22"/>
              </w:rPr>
            </w:pPr>
            <w:r w:rsidRPr="00AF2E02">
              <w:rPr>
                <w:rFonts w:ascii="Calibri" w:hAnsi="Calibri"/>
                <w:color w:val="000000"/>
                <w:sz w:val="22"/>
                <w:szCs w:val="22"/>
              </w:rPr>
              <w:lastRenderedPageBreak/>
              <w:t xml:space="preserve">Phase 2 </w:t>
            </w:r>
            <w:r>
              <w:rPr>
                <w:rFonts w:ascii="Calibri" w:hAnsi="Calibri"/>
                <w:color w:val="000000"/>
                <w:sz w:val="22"/>
                <w:szCs w:val="22"/>
              </w:rPr>
              <w:t>–</w:t>
            </w:r>
            <w:r w:rsidRPr="00AF2E02">
              <w:rPr>
                <w:rFonts w:ascii="Calibri" w:hAnsi="Calibri"/>
                <w:color w:val="000000"/>
                <w:sz w:val="22"/>
                <w:szCs w:val="22"/>
              </w:rPr>
              <w:t xml:space="preserve"> </w:t>
            </w:r>
            <w:r>
              <w:rPr>
                <w:rFonts w:ascii="Calibri" w:hAnsi="Calibri"/>
                <w:color w:val="000000"/>
                <w:sz w:val="22"/>
                <w:szCs w:val="22"/>
              </w:rPr>
              <w:t xml:space="preserve">Final </w:t>
            </w:r>
            <w:r w:rsidRPr="00AF2E02">
              <w:rPr>
                <w:rFonts w:ascii="Calibri" w:hAnsi="Calibri"/>
                <w:color w:val="000000"/>
                <w:sz w:val="22"/>
                <w:szCs w:val="22"/>
              </w:rPr>
              <w:t>Design, Construction, Operation</w:t>
            </w:r>
            <w:r w:rsidRPr="00AF2E02">
              <w:rPr>
                <w:rFonts w:ascii="Calibri" w:hAnsi="Calibri"/>
                <w:color w:val="000000"/>
                <w:sz w:val="22"/>
                <w:szCs w:val="22"/>
              </w:rPr>
              <w:br/>
              <w:t>(</w:t>
            </w:r>
            <w:r>
              <w:rPr>
                <w:rFonts w:ascii="Calibri" w:hAnsi="Calibri"/>
                <w:color w:val="000000"/>
                <w:sz w:val="22"/>
                <w:szCs w:val="22"/>
              </w:rPr>
              <w:t>36</w:t>
            </w:r>
            <w:r w:rsidRPr="00AF2E02">
              <w:rPr>
                <w:rFonts w:ascii="Calibri" w:hAnsi="Calibri"/>
                <w:color w:val="000000"/>
                <w:sz w:val="22"/>
                <w:szCs w:val="22"/>
              </w:rPr>
              <w:t>-</w:t>
            </w:r>
            <w:r>
              <w:rPr>
                <w:rFonts w:ascii="Calibri" w:hAnsi="Calibri"/>
                <w:color w:val="000000"/>
                <w:sz w:val="22"/>
                <w:szCs w:val="22"/>
              </w:rPr>
              <w:t>60</w:t>
            </w:r>
            <w:r w:rsidRPr="00AF2E02">
              <w:rPr>
                <w:rFonts w:ascii="Calibri" w:hAnsi="Calibri"/>
                <w:color w:val="000000"/>
                <w:sz w:val="22"/>
                <w:szCs w:val="22"/>
              </w:rPr>
              <w:t xml:space="preserve"> Months)</w:t>
            </w:r>
          </w:p>
          <w:p w14:paraId="2CD49DD6" w14:textId="77777777" w:rsidR="00FC0DE0" w:rsidRPr="00AF2E02" w:rsidRDefault="00FC0DE0" w:rsidP="00634646">
            <w:pPr>
              <w:jc w:val="center"/>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73B7E01F"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BP3</w:t>
            </w:r>
          </w:p>
        </w:tc>
        <w:tc>
          <w:tcPr>
            <w:tcW w:w="4865" w:type="dxa"/>
            <w:tcBorders>
              <w:top w:val="nil"/>
              <w:left w:val="nil"/>
              <w:bottom w:val="single" w:sz="4" w:space="0" w:color="000000"/>
              <w:right w:val="single" w:sz="8" w:space="0" w:color="000000"/>
            </w:tcBorders>
            <w:shd w:val="clear" w:color="auto" w:fill="auto"/>
            <w:vAlign w:val="center"/>
          </w:tcPr>
          <w:p w14:paraId="701E0D1B"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Project Definition - preliminary planning and design</w:t>
            </w:r>
          </w:p>
        </w:tc>
      </w:tr>
      <w:tr w:rsidR="00FC0DE0" w:rsidRPr="00AF2E02" w14:paraId="65122F94" w14:textId="77777777" w:rsidTr="00634646">
        <w:trPr>
          <w:trHeight w:val="61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5E49C319"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4ECE8D5E" w14:textId="77777777" w:rsidR="00FC0DE0" w:rsidRPr="00AF2E02" w:rsidRDefault="00FC0DE0" w:rsidP="00634646">
            <w:pPr>
              <w:jc w:val="center"/>
              <w:rPr>
                <w:rFonts w:ascii="Calibri" w:hAnsi="Calibri"/>
                <w:color w:val="000000"/>
                <w:sz w:val="22"/>
                <w:szCs w:val="22"/>
              </w:rPr>
            </w:pPr>
            <w:r w:rsidRPr="00AF2E02">
              <w:rPr>
                <w:rFonts w:ascii="Calibri" w:hAnsi="Calibri"/>
                <w:b/>
                <w:color w:val="000000"/>
                <w:sz w:val="22"/>
                <w:szCs w:val="22"/>
              </w:rPr>
              <w:t>Go/No-Go (CD-3)</w:t>
            </w:r>
            <w:r w:rsidRPr="00AF2E02">
              <w:rPr>
                <w:rFonts w:ascii="Calibri" w:hAnsi="Calibri"/>
                <w:color w:val="000000"/>
                <w:sz w:val="22"/>
                <w:szCs w:val="22"/>
              </w:rPr>
              <w:br/>
              <w:t>Review to approve start of construction</w:t>
            </w:r>
          </w:p>
        </w:tc>
      </w:tr>
      <w:tr w:rsidR="00FC0DE0" w:rsidRPr="00AF2E02" w14:paraId="100F98B9" w14:textId="77777777" w:rsidTr="00634646">
        <w:trPr>
          <w:trHeight w:val="288"/>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05B83835"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0750EAE7"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BP4</w:t>
            </w:r>
          </w:p>
        </w:tc>
        <w:tc>
          <w:tcPr>
            <w:tcW w:w="4865" w:type="dxa"/>
            <w:tcBorders>
              <w:top w:val="nil"/>
              <w:left w:val="nil"/>
              <w:bottom w:val="single" w:sz="4" w:space="0" w:color="000000"/>
              <w:right w:val="single" w:sz="8" w:space="0" w:color="000000"/>
            </w:tcBorders>
            <w:shd w:val="clear" w:color="auto" w:fill="auto"/>
            <w:vAlign w:val="center"/>
          </w:tcPr>
          <w:p w14:paraId="46504263"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Project Execution - complete final design and construction</w:t>
            </w:r>
          </w:p>
        </w:tc>
      </w:tr>
      <w:tr w:rsidR="00FC0DE0" w:rsidRPr="00AF2E02" w14:paraId="0FF70E65" w14:textId="77777777" w:rsidTr="00634646">
        <w:trPr>
          <w:trHeight w:val="583"/>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4162B2FF"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0279A68D" w14:textId="77777777" w:rsidR="00FC0DE0" w:rsidRPr="00AF2E02" w:rsidRDefault="00FC0DE0" w:rsidP="00634646">
            <w:pPr>
              <w:jc w:val="center"/>
              <w:rPr>
                <w:rFonts w:ascii="Calibri" w:hAnsi="Calibri"/>
                <w:color w:val="000000"/>
                <w:sz w:val="22"/>
                <w:szCs w:val="22"/>
              </w:rPr>
            </w:pPr>
            <w:r w:rsidRPr="00AF2E02">
              <w:rPr>
                <w:rFonts w:ascii="Calibri" w:hAnsi="Calibri"/>
                <w:b/>
                <w:color w:val="000000"/>
                <w:sz w:val="22"/>
                <w:szCs w:val="22"/>
              </w:rPr>
              <w:t>Go/No-Go (CD-4)</w:t>
            </w:r>
            <w:r w:rsidRPr="00AF2E02">
              <w:rPr>
                <w:rFonts w:ascii="Calibri" w:hAnsi="Calibri"/>
                <w:color w:val="000000"/>
                <w:sz w:val="22"/>
                <w:szCs w:val="22"/>
              </w:rPr>
              <w:br/>
              <w:t>Performance test to verify readiness to begin operations</w:t>
            </w:r>
          </w:p>
        </w:tc>
      </w:tr>
      <w:tr w:rsidR="00FC0DE0" w:rsidRPr="00AF2E02" w14:paraId="4A1AA745" w14:textId="77777777" w:rsidTr="00634646">
        <w:trPr>
          <w:trHeight w:val="30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13F001C0"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8" w:space="0" w:color="000000"/>
              <w:right w:val="single" w:sz="4" w:space="0" w:color="000000"/>
            </w:tcBorders>
            <w:shd w:val="clear" w:color="auto" w:fill="auto"/>
            <w:vAlign w:val="center"/>
          </w:tcPr>
          <w:p w14:paraId="797FF10C"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BP5</w:t>
            </w:r>
          </w:p>
        </w:tc>
        <w:tc>
          <w:tcPr>
            <w:tcW w:w="4865" w:type="dxa"/>
            <w:tcBorders>
              <w:top w:val="nil"/>
              <w:left w:val="nil"/>
              <w:bottom w:val="single" w:sz="8" w:space="0" w:color="000000"/>
              <w:right w:val="single" w:sz="8" w:space="0" w:color="000000"/>
            </w:tcBorders>
            <w:shd w:val="clear" w:color="auto" w:fill="auto"/>
            <w:vAlign w:val="center"/>
          </w:tcPr>
          <w:p w14:paraId="3C4F5272"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Operations</w:t>
            </w:r>
          </w:p>
        </w:tc>
      </w:tr>
    </w:tbl>
    <w:p w14:paraId="7B8FE352" w14:textId="77777777" w:rsidR="00FC0DE0" w:rsidRDefault="00FC0DE0" w:rsidP="00FC0DE0">
      <w:pPr>
        <w:pStyle w:val="FOATemplateBody"/>
        <w:ind w:left="1260"/>
        <w:rPr>
          <w:color w:val="000000"/>
        </w:rPr>
      </w:pPr>
    </w:p>
    <w:p w14:paraId="5A10B826" w14:textId="77777777" w:rsidR="00FC0DE0" w:rsidRDefault="00FC0DE0" w:rsidP="00FC0DE0">
      <w:pPr>
        <w:pStyle w:val="FOATemplateBody"/>
        <w:ind w:left="1260"/>
        <w:rPr>
          <w:color w:val="000000"/>
        </w:rPr>
      </w:pPr>
    </w:p>
    <w:p w14:paraId="4E757148" w14:textId="463A0D2E" w:rsidR="00FC0DE0" w:rsidRPr="00240059" w:rsidRDefault="00FC0DE0" w:rsidP="00FC0DE0">
      <w:pPr>
        <w:ind w:left="1260"/>
        <w:rPr>
          <w:rFonts w:ascii="Calibri" w:hAnsi="Calibri"/>
          <w:color w:val="000000"/>
        </w:rPr>
      </w:pPr>
      <w:r>
        <w:t>Applications</w:t>
      </w:r>
      <w:r w:rsidRPr="000867A8">
        <w:t xml:space="preserve"> should consider Phase 2 (</w:t>
      </w:r>
      <w:r>
        <w:t xml:space="preserve">Final </w:t>
      </w:r>
      <w:r w:rsidRPr="000867A8">
        <w:t xml:space="preserve">Design, Construction, Operation) </w:t>
      </w:r>
      <w:r>
        <w:t xml:space="preserve">pilot -scale </w:t>
      </w:r>
      <w:r w:rsidRPr="000867A8">
        <w:t xml:space="preserve">projects on the </w:t>
      </w:r>
      <w:r w:rsidRPr="00C3022B">
        <w:t>order of $15,000,000</w:t>
      </w:r>
      <w:r w:rsidRPr="000867A8">
        <w:t xml:space="preserve"> of federal funds plus a minimum of 50% </w:t>
      </w:r>
      <w:r>
        <w:t>Applicant</w:t>
      </w:r>
      <w:r w:rsidRPr="000867A8">
        <w:t xml:space="preserve"> cost-share when developing </w:t>
      </w:r>
      <w:r w:rsidR="005845F4">
        <w:t>their</w:t>
      </w:r>
      <w:r w:rsidRPr="000867A8">
        <w:t xml:space="preserve"> Phase 1 </w:t>
      </w:r>
      <w:r>
        <w:t>application</w:t>
      </w:r>
      <w:r w:rsidRPr="000867A8">
        <w:t xml:space="preserve">s. </w:t>
      </w:r>
      <w:r w:rsidRPr="008F610F">
        <w:t>Only Phase 1 funds will be obligated at time of initial award.</w:t>
      </w:r>
      <w:r w:rsidRPr="005B52F3">
        <w:rPr>
          <w:b/>
          <w:bCs/>
        </w:rPr>
        <w:t xml:space="preserve"> Selection for </w:t>
      </w:r>
      <w:r>
        <w:rPr>
          <w:b/>
          <w:bCs/>
        </w:rPr>
        <w:t xml:space="preserve">a </w:t>
      </w:r>
      <w:r w:rsidRPr="005B52F3">
        <w:rPr>
          <w:b/>
          <w:bCs/>
        </w:rPr>
        <w:t>Phase 1 award does not guarantee a Phase 2 award. Phase 2 funds are subject to future appropriations and availability of funds, which may be obligated to successful Phase 2 awards</w:t>
      </w:r>
      <w:r w:rsidR="00E56B26">
        <w:rPr>
          <w:b/>
          <w:bCs/>
        </w:rPr>
        <w:t xml:space="preserve"> only</w:t>
      </w:r>
      <w:r w:rsidRPr="005B52F3">
        <w:rPr>
          <w:b/>
          <w:bCs/>
        </w:rPr>
        <w:t xml:space="preserve"> </w:t>
      </w:r>
      <w:r>
        <w:rPr>
          <w:b/>
          <w:bCs/>
        </w:rPr>
        <w:t>in the event that</w:t>
      </w:r>
      <w:r w:rsidRPr="005B52F3">
        <w:rPr>
          <w:b/>
          <w:bCs/>
        </w:rPr>
        <w:t xml:space="preserve"> a down-select occurs (see section </w:t>
      </w:r>
      <w:r w:rsidRPr="00186D06">
        <w:rPr>
          <w:b/>
          <w:bCs/>
        </w:rPr>
        <w:t>VI.C</w:t>
      </w:r>
      <w:r w:rsidRPr="005B52F3">
        <w:rPr>
          <w:b/>
          <w:bCs/>
        </w:rPr>
        <w:t>.).</w:t>
      </w:r>
      <w:r w:rsidRPr="002C0058">
        <w:t xml:space="preserve"> </w:t>
      </w:r>
      <w:r w:rsidRPr="002C0058">
        <w:rPr>
          <w:color w:val="000000"/>
        </w:rPr>
        <w:t xml:space="preserve"> </w:t>
      </w:r>
    </w:p>
    <w:p w14:paraId="0A87AB14" w14:textId="77777777" w:rsidR="00FC0DE0" w:rsidRDefault="00FC0DE0" w:rsidP="00FC0DE0">
      <w:pPr>
        <w:pStyle w:val="FOATemplateBody"/>
        <w:ind w:left="1260"/>
        <w:rPr>
          <w:color w:val="000000"/>
        </w:rPr>
      </w:pPr>
    </w:p>
    <w:p w14:paraId="11BAE287" w14:textId="77777777" w:rsidR="00FC0DE0" w:rsidRPr="00AF2E02" w:rsidRDefault="00FC0DE0" w:rsidP="00FC0DE0">
      <w:pPr>
        <w:ind w:left="1260"/>
        <w:rPr>
          <w:b/>
        </w:rPr>
      </w:pPr>
      <w:r>
        <w:rPr>
          <w:b/>
        </w:rPr>
        <w:t>Topic Area 1</w:t>
      </w:r>
      <w:r w:rsidRPr="00AF2E02">
        <w:rPr>
          <w:b/>
        </w:rPr>
        <w:t xml:space="preserve"> Phase 1 Deliverables</w:t>
      </w:r>
    </w:p>
    <w:p w14:paraId="49911ABA" w14:textId="77777777" w:rsidR="00FC0DE0" w:rsidRPr="00AF2E02" w:rsidRDefault="00FC0DE0" w:rsidP="00FC0DE0">
      <w:pPr>
        <w:ind w:left="1260"/>
      </w:pPr>
    </w:p>
    <w:p w14:paraId="5EBB288F" w14:textId="3C188111" w:rsidR="00FC0DE0" w:rsidRDefault="00FC0DE0" w:rsidP="00FC0DE0">
      <w:pPr>
        <w:spacing w:line="256" w:lineRule="auto"/>
        <w:ind w:left="1260"/>
      </w:pPr>
      <w:r>
        <w:t xml:space="preserve">At the end of Phase 1, a full design package </w:t>
      </w:r>
      <w:r w:rsidR="00350E66" w:rsidRPr="00D104B5">
        <w:t>and other project deliverables</w:t>
      </w:r>
      <w:r w:rsidR="00350E66">
        <w:t xml:space="preserve"> </w:t>
      </w:r>
      <w:r>
        <w:t xml:space="preserve">will be reviewed and verified by DOE and </w:t>
      </w:r>
      <w:r w:rsidR="00125D94">
        <w:t>its</w:t>
      </w:r>
      <w:r>
        <w:t xml:space="preserve"> Independent Engineer.  The full design package includes items such as </w:t>
      </w:r>
      <w:r w:rsidRPr="008015FD">
        <w:rPr>
          <w:rFonts w:ascii="Calibri" w:hAnsi="Calibri"/>
          <w:color w:val="000000"/>
        </w:rPr>
        <w:t>Process Design Basis Document</w:t>
      </w:r>
      <w:r>
        <w:rPr>
          <w:rFonts w:ascii="Calibri" w:hAnsi="Calibri"/>
          <w:color w:val="000000"/>
        </w:rPr>
        <w:t xml:space="preserve">s, </w:t>
      </w:r>
      <w:r>
        <w:t xml:space="preserve">Process Flow Diagrams, Mass and Energy Balances, budgetary estimates, and schedules.  A </w:t>
      </w:r>
      <w:r w:rsidR="007D68E6">
        <w:t>complete list</w:t>
      </w:r>
      <w:r>
        <w:t xml:space="preserve"> of design package elements</w:t>
      </w:r>
      <w:r w:rsidR="007D68E6">
        <w:t xml:space="preserve"> and other Phase 1 </w:t>
      </w:r>
      <w:r w:rsidR="008B2587">
        <w:t>requirements</w:t>
      </w:r>
      <w:r>
        <w:t xml:space="preserve"> is found in </w:t>
      </w:r>
      <w:r w:rsidRPr="00045B11">
        <w:t>Appendix I</w:t>
      </w:r>
      <w:r>
        <w:t xml:space="preserve">. </w:t>
      </w:r>
    </w:p>
    <w:p w14:paraId="4D0FF1BB" w14:textId="77777777" w:rsidR="00FC0DE0" w:rsidRDefault="00FC0DE0" w:rsidP="00FC0DE0">
      <w:pPr>
        <w:pStyle w:val="FOATemplateBody"/>
        <w:ind w:left="1260"/>
        <w:rPr>
          <w:color w:val="000000"/>
        </w:rPr>
      </w:pPr>
    </w:p>
    <w:p w14:paraId="77B96F78" w14:textId="77777777" w:rsidR="00FC0DE0" w:rsidRPr="008015FD" w:rsidRDefault="00FC0DE0" w:rsidP="00FC0DE0">
      <w:pPr>
        <w:ind w:left="1260"/>
        <w:rPr>
          <w:b/>
          <w:color w:val="000000"/>
        </w:rPr>
      </w:pPr>
      <w:r>
        <w:rPr>
          <w:b/>
          <w:color w:val="000000"/>
        </w:rPr>
        <w:t>Topic Area 1</w:t>
      </w:r>
      <w:r w:rsidRPr="008015FD">
        <w:rPr>
          <w:b/>
          <w:color w:val="000000"/>
        </w:rPr>
        <w:t xml:space="preserve"> Initial Project </w:t>
      </w:r>
      <w:sdt>
        <w:sdtPr>
          <w:tag w:val="goog_rdk_77"/>
          <w:id w:val="1977797703"/>
        </w:sdtPr>
        <w:sdtEndPr/>
        <w:sdtContent/>
      </w:sdt>
      <w:sdt>
        <w:sdtPr>
          <w:tag w:val="goog_rdk_78"/>
          <w:id w:val="528384769"/>
        </w:sdtPr>
        <w:sdtEndPr/>
        <w:sdtContent/>
      </w:sdt>
      <w:r w:rsidRPr="008015FD">
        <w:rPr>
          <w:b/>
          <w:color w:val="000000"/>
        </w:rPr>
        <w:t>Verification</w:t>
      </w:r>
    </w:p>
    <w:p w14:paraId="1FF634F3" w14:textId="77777777" w:rsidR="00FC0DE0" w:rsidRPr="008015FD" w:rsidRDefault="00FC0DE0" w:rsidP="00FC0DE0">
      <w:pPr>
        <w:ind w:left="1260"/>
        <w:rPr>
          <w:b/>
          <w:color w:val="000000"/>
        </w:rPr>
      </w:pPr>
    </w:p>
    <w:p w14:paraId="053DC419" w14:textId="78BF988F" w:rsidR="00920E7C" w:rsidRDefault="00FC0DE0" w:rsidP="00FC0DE0">
      <w:pPr>
        <w:ind w:left="1260"/>
      </w:pPr>
      <w:r>
        <w:t>A</w:t>
      </w:r>
      <w:r w:rsidRPr="008015FD">
        <w:t xml:space="preserve">ll </w:t>
      </w:r>
      <w:r>
        <w:t>Topic Area 1, Phase 1</w:t>
      </w:r>
      <w:r w:rsidRPr="008015FD">
        <w:t xml:space="preserve"> projects will be subject to an initial verification effort to review their baseline and proposed targets and will result in a Go/No-Go decision </w:t>
      </w:r>
      <w:r w:rsidRPr="002C0058">
        <w:t>(</w:t>
      </w:r>
      <w:r w:rsidRPr="00B423F2">
        <w:t xml:space="preserve">see Section </w:t>
      </w:r>
      <w:r w:rsidRPr="00A608A4">
        <w:t>VI.B.xv</w:t>
      </w:r>
      <w:r w:rsidRPr="002C0058">
        <w:t xml:space="preserve">).  </w:t>
      </w:r>
      <w:r w:rsidRPr="008015FD">
        <w:t xml:space="preserve">The verification will require that the </w:t>
      </w:r>
      <w:r w:rsidR="00BF2741">
        <w:t xml:space="preserve">selected applicant </w:t>
      </w:r>
      <w:r w:rsidRPr="008015FD">
        <w:t xml:space="preserve">conduct a performance test of the process proposed in its application. The performance test will require that the </w:t>
      </w:r>
      <w:r w:rsidR="00BF2741">
        <w:t>selected applicant</w:t>
      </w:r>
      <w:r w:rsidRPr="008015FD">
        <w:t xml:space="preserve"> reproduce data sets commensurate to the prior</w:t>
      </w:r>
      <w:r>
        <w:t>-</w:t>
      </w:r>
      <w:r w:rsidRPr="008015FD">
        <w:t>scale work presented in the application.  The prior</w:t>
      </w:r>
      <w:r>
        <w:t>-</w:t>
      </w:r>
      <w:r w:rsidRPr="008015FD">
        <w:t xml:space="preserve">scale data sets must be </w:t>
      </w:r>
      <w:r w:rsidR="00404499">
        <w:t xml:space="preserve">provided </w:t>
      </w:r>
      <w:r w:rsidRPr="008015FD">
        <w:t xml:space="preserve">to </w:t>
      </w:r>
      <w:r w:rsidRPr="00C9773C">
        <w:t>DOE</w:t>
      </w:r>
      <w:r w:rsidR="00C9773C" w:rsidRPr="00C9773C">
        <w:t xml:space="preserve"> o</w:t>
      </w:r>
      <w:r w:rsidRPr="00C9773C">
        <w:t>r</w:t>
      </w:r>
      <w:r w:rsidRPr="008015FD">
        <w:t xml:space="preserve"> its representatives (such as an Independent Engineer), for review in support of the </w:t>
      </w:r>
      <w:r>
        <w:t>verification</w:t>
      </w:r>
      <w:r w:rsidRPr="008015FD">
        <w:t xml:space="preserve"> effort. The outcome of this performance test will be a primary component of the Go/No-Go decision. </w:t>
      </w:r>
      <w:r>
        <w:t>Applicant</w:t>
      </w:r>
      <w:r w:rsidRPr="008015FD">
        <w:t xml:space="preserve">s </w:t>
      </w:r>
      <w:r>
        <w:t>must</w:t>
      </w:r>
      <w:r w:rsidRPr="008015FD">
        <w:t xml:space="preserve"> include this task within their proposed scope, schedule, and budget. It is anticipated that the initial verification can take up to six months; </w:t>
      </w:r>
      <w:r>
        <w:t>Applicant</w:t>
      </w:r>
      <w:r w:rsidRPr="008015FD">
        <w:t xml:space="preserve">s must include this task in their schedule as Budget Period 1. </w:t>
      </w:r>
    </w:p>
    <w:p w14:paraId="2D32896A" w14:textId="77777777" w:rsidR="00920E7C" w:rsidRDefault="00920E7C" w:rsidP="00FC0DE0">
      <w:pPr>
        <w:ind w:left="1260"/>
      </w:pPr>
    </w:p>
    <w:p w14:paraId="435A068C" w14:textId="5CD70221" w:rsidR="00FC0DE0" w:rsidRPr="008015FD" w:rsidRDefault="00920E7C" w:rsidP="00FC0DE0">
      <w:pPr>
        <w:ind w:left="1260"/>
      </w:pPr>
      <w:r>
        <w:rPr>
          <w:b/>
          <w:bCs/>
        </w:rPr>
        <w:t xml:space="preserve">Note: </w:t>
      </w:r>
      <w:r w:rsidR="00FC0DE0">
        <w:t>Applicant</w:t>
      </w:r>
      <w:r w:rsidR="00FC0DE0" w:rsidRPr="008015FD">
        <w:t xml:space="preserve">s will be required to execute the appropriate Conflict of Interest and Non-disclosure Agreements (COI/NDA) with DOE’s representatives immediately after negotiation and execution of an award. Failure to execute the COI/NDAs in a reasonable amount of time to enable the </w:t>
      </w:r>
      <w:r w:rsidR="00FC0DE0">
        <w:t>verification</w:t>
      </w:r>
      <w:r w:rsidR="00FC0DE0" w:rsidRPr="008015FD">
        <w:t xml:space="preserve"> review will result in a ‘No-Go’ decision.</w:t>
      </w:r>
      <w:r w:rsidR="00113900">
        <w:t xml:space="preserve"> with respect to the</w:t>
      </w:r>
      <w:r w:rsidR="00F328A4">
        <w:t xml:space="preserve"> initial verification of Phase 1</w:t>
      </w:r>
      <w:r w:rsidR="00FC0DE0" w:rsidRPr="008015FD">
        <w:t xml:space="preserve">. Projects that receive a ‘Go’ decision at the conclusion of the initial </w:t>
      </w:r>
      <w:r w:rsidR="00FC0DE0">
        <w:t>verification</w:t>
      </w:r>
      <w:r w:rsidR="00FC0DE0" w:rsidRPr="008015FD">
        <w:t xml:space="preserve"> effort and proceed to Budget Period 2 will also be subject to a final </w:t>
      </w:r>
      <w:r w:rsidR="00FC0DE0">
        <w:t>verification</w:t>
      </w:r>
      <w:r w:rsidR="00FC0DE0" w:rsidRPr="008015FD">
        <w:t xml:space="preserve"> review as part of the down</w:t>
      </w:r>
      <w:r w:rsidR="00495B09">
        <w:t>-</w:t>
      </w:r>
      <w:r w:rsidR="00FC0DE0" w:rsidRPr="008015FD">
        <w:t xml:space="preserve">select process prior to Phase 2. </w:t>
      </w:r>
    </w:p>
    <w:p w14:paraId="6FBA1281" w14:textId="77777777" w:rsidR="00FC0DE0" w:rsidRDefault="00FC0DE0" w:rsidP="00FC0DE0">
      <w:pPr>
        <w:ind w:left="1260"/>
      </w:pPr>
    </w:p>
    <w:p w14:paraId="5064E369" w14:textId="77777777" w:rsidR="00FC0DE0" w:rsidRPr="008015FD" w:rsidRDefault="00FC0DE0" w:rsidP="00FC0DE0">
      <w:pPr>
        <w:ind w:left="1260"/>
        <w:rPr>
          <w:b/>
        </w:rPr>
      </w:pPr>
      <w:r>
        <w:rPr>
          <w:b/>
        </w:rPr>
        <w:t>Topic Area 1</w:t>
      </w:r>
      <w:r w:rsidRPr="008015FD">
        <w:rPr>
          <w:b/>
        </w:rPr>
        <w:t xml:space="preserve"> National Environmental Policy Act (NEPA) Considerations</w:t>
      </w:r>
    </w:p>
    <w:p w14:paraId="4975196C" w14:textId="77777777" w:rsidR="00FC0DE0" w:rsidRPr="008015FD" w:rsidRDefault="00FC0DE0" w:rsidP="00FC0DE0">
      <w:pPr>
        <w:ind w:left="1260"/>
        <w:rPr>
          <w:b/>
        </w:rPr>
      </w:pPr>
    </w:p>
    <w:p w14:paraId="2C5D1BC1" w14:textId="77777777" w:rsidR="00FC0DE0" w:rsidRPr="000106CD" w:rsidRDefault="00FC0DE0" w:rsidP="00FC0DE0">
      <w:pPr>
        <w:ind w:left="1260"/>
        <w:rPr>
          <w:szCs w:val="24"/>
        </w:rPr>
      </w:pPr>
      <w:r w:rsidRPr="000106CD">
        <w:rPr>
          <w:szCs w:val="24"/>
        </w:rPr>
        <w:t xml:space="preserve">All </w:t>
      </w:r>
      <w:r>
        <w:rPr>
          <w:szCs w:val="24"/>
        </w:rPr>
        <w:t>Topic Area 1</w:t>
      </w:r>
      <w:r w:rsidRPr="000106CD">
        <w:rPr>
          <w:szCs w:val="24"/>
        </w:rPr>
        <w:t xml:space="preserve"> project activities will be subject to NEPA review. Applicants must account for NEPA</w:t>
      </w:r>
      <w:r>
        <w:rPr>
          <w:szCs w:val="24"/>
        </w:rPr>
        <w:t>-</w:t>
      </w:r>
      <w:r w:rsidRPr="000106CD">
        <w:rPr>
          <w:szCs w:val="24"/>
        </w:rPr>
        <w:t>related efforts in the project scope, schedule, and budget.  Phase 1 of each award will be limited in scope, as it will focus only on project development and design activities related to future pilot</w:t>
      </w:r>
      <w:r>
        <w:rPr>
          <w:szCs w:val="24"/>
        </w:rPr>
        <w:t>- or demonstration-</w:t>
      </w:r>
      <w:r w:rsidRPr="000106CD">
        <w:rPr>
          <w:szCs w:val="24"/>
        </w:rPr>
        <w:t xml:space="preserve">scale integrated biorefineries. Under Phase 1, limited modifications to existing facilities to complete the prior scale data set may be allowed; construction of new facilities will not be allowed.  </w:t>
      </w:r>
    </w:p>
    <w:p w14:paraId="0AFE7496" w14:textId="77777777" w:rsidR="00FC0DE0" w:rsidRPr="008015FD" w:rsidRDefault="00FC0DE0" w:rsidP="00FC0DE0">
      <w:pPr>
        <w:ind w:left="1260"/>
      </w:pPr>
    </w:p>
    <w:p w14:paraId="5ECB5E2E" w14:textId="5D3E42B9" w:rsidR="00FC0DE0" w:rsidRPr="008015FD" w:rsidRDefault="00FC0DE0" w:rsidP="00FC0DE0">
      <w:pPr>
        <w:ind w:left="1260"/>
      </w:pPr>
      <w:r w:rsidRPr="008015FD">
        <w:t xml:space="preserve">Any construction activities will be restricted to Phase 2. </w:t>
      </w:r>
      <w:r w:rsidRPr="005B0FF0">
        <w:t xml:space="preserve">DOE will complete additional NEPA review and </w:t>
      </w:r>
      <w:r>
        <w:t xml:space="preserve">NEPA </w:t>
      </w:r>
      <w:r w:rsidRPr="005B0FF0">
        <w:t>determination for Phase 2 activities.</w:t>
      </w:r>
      <w:r w:rsidRPr="008015FD">
        <w:t xml:space="preserve"> See SectionVI.B.vi for additional information on NEPA requirements. It should be noted that new construction or significant modification of an existing facility will likely trigger an Environmental Assessment</w:t>
      </w:r>
      <w:r>
        <w:t xml:space="preserve"> or Environmental Impact Statement</w:t>
      </w:r>
      <w:r w:rsidRPr="008015FD">
        <w:t xml:space="preserve">. Proper budgeting and scheduling </w:t>
      </w:r>
      <w:r>
        <w:t>must</w:t>
      </w:r>
      <w:r w:rsidRPr="008015FD">
        <w:t xml:space="preserve"> be accounted for within the proposed project’s application.  </w:t>
      </w:r>
    </w:p>
    <w:p w14:paraId="3AE8F3B0" w14:textId="77777777" w:rsidR="00FC0DE0" w:rsidRDefault="00FC0DE0" w:rsidP="00FC0DE0">
      <w:pPr>
        <w:pBdr>
          <w:top w:val="nil"/>
          <w:left w:val="nil"/>
          <w:bottom w:val="nil"/>
          <w:right w:val="nil"/>
          <w:between w:val="nil"/>
        </w:pBdr>
        <w:ind w:left="1260"/>
        <w:rPr>
          <w:rFonts w:ascii="Calibri" w:hAnsi="Calibri"/>
          <w:b/>
          <w:color w:val="000000"/>
        </w:rPr>
      </w:pPr>
    </w:p>
    <w:p w14:paraId="15D96CC6" w14:textId="77777777" w:rsidR="00FC0DE0" w:rsidRPr="008015FD" w:rsidRDefault="00FC0DE0" w:rsidP="00FC0DE0">
      <w:pPr>
        <w:pBdr>
          <w:top w:val="nil"/>
          <w:left w:val="nil"/>
          <w:bottom w:val="nil"/>
          <w:right w:val="nil"/>
          <w:between w:val="nil"/>
        </w:pBdr>
        <w:ind w:left="1260"/>
        <w:rPr>
          <w:rFonts w:ascii="Calibri" w:hAnsi="Calibri"/>
          <w:b/>
          <w:color w:val="000000"/>
        </w:rPr>
      </w:pPr>
      <w:r>
        <w:rPr>
          <w:rFonts w:ascii="Calibri" w:hAnsi="Calibri"/>
          <w:b/>
          <w:color w:val="000000"/>
        </w:rPr>
        <w:t>Topic Area 1</w:t>
      </w:r>
      <w:r w:rsidRPr="008015FD">
        <w:rPr>
          <w:rFonts w:ascii="Calibri" w:hAnsi="Calibri"/>
          <w:b/>
          <w:color w:val="000000"/>
        </w:rPr>
        <w:t xml:space="preserve"> Additional Financial Requirements</w:t>
      </w:r>
    </w:p>
    <w:p w14:paraId="512EA67E" w14:textId="77777777" w:rsidR="00FC0DE0" w:rsidRPr="008015FD" w:rsidRDefault="00FC0DE0" w:rsidP="00FC0DE0">
      <w:pPr>
        <w:pBdr>
          <w:top w:val="nil"/>
          <w:left w:val="nil"/>
          <w:bottom w:val="nil"/>
          <w:right w:val="nil"/>
          <w:between w:val="nil"/>
        </w:pBdr>
        <w:ind w:left="1260"/>
        <w:rPr>
          <w:rFonts w:ascii="Calibri" w:hAnsi="Calibri"/>
          <w:color w:val="000000"/>
          <w:u w:val="single"/>
        </w:rPr>
      </w:pPr>
    </w:p>
    <w:p w14:paraId="05B62351" w14:textId="08E8BCDA" w:rsidR="00FC0DE0" w:rsidRPr="008015FD" w:rsidRDefault="000242DF" w:rsidP="00FC0DE0">
      <w:pPr>
        <w:pBdr>
          <w:top w:val="nil"/>
          <w:left w:val="nil"/>
          <w:bottom w:val="nil"/>
          <w:right w:val="nil"/>
          <w:between w:val="nil"/>
        </w:pBdr>
        <w:ind w:left="1260"/>
        <w:rPr>
          <w:rFonts w:ascii="Calibri" w:hAnsi="Calibri"/>
          <w:color w:val="000000"/>
        </w:rPr>
      </w:pPr>
      <w:r>
        <w:rPr>
          <w:rFonts w:ascii="Calibri" w:hAnsi="Calibri"/>
          <w:color w:val="000000"/>
        </w:rPr>
        <w:t>If selected</w:t>
      </w:r>
      <w:r w:rsidR="00105D15">
        <w:rPr>
          <w:rFonts w:ascii="Calibri" w:hAnsi="Calibri"/>
          <w:color w:val="000000"/>
        </w:rPr>
        <w:t xml:space="preserve"> through DOE’s down-selection process, </w:t>
      </w:r>
      <w:r w:rsidR="008D27E6">
        <w:rPr>
          <w:rFonts w:ascii="Calibri" w:hAnsi="Calibri"/>
          <w:color w:val="000000"/>
        </w:rPr>
        <w:t xml:space="preserve">award </w:t>
      </w:r>
      <w:r w:rsidR="00FC0DE0" w:rsidRPr="008015FD">
        <w:rPr>
          <w:rFonts w:ascii="Calibri" w:hAnsi="Calibri"/>
          <w:color w:val="000000"/>
        </w:rPr>
        <w:t xml:space="preserve">recipients </w:t>
      </w:r>
      <w:r>
        <w:rPr>
          <w:rFonts w:ascii="Calibri" w:hAnsi="Calibri"/>
          <w:color w:val="000000"/>
        </w:rPr>
        <w:t>will be required to</w:t>
      </w:r>
      <w:r w:rsidR="00FC0DE0" w:rsidRPr="008015FD">
        <w:rPr>
          <w:rFonts w:ascii="Calibri" w:hAnsi="Calibri"/>
          <w:color w:val="000000"/>
        </w:rPr>
        <w:t xml:space="preserve"> </w:t>
      </w:r>
      <w:r w:rsidR="00FC0DE0" w:rsidRPr="008036FF">
        <w:rPr>
          <w:rFonts w:ascii="Calibri" w:hAnsi="Calibri"/>
          <w:color w:val="000000"/>
        </w:rPr>
        <w:t>demonstrate their financial readiness</w:t>
      </w:r>
      <w:r w:rsidR="00FC0DE0" w:rsidRPr="008015FD">
        <w:rPr>
          <w:rFonts w:ascii="Calibri" w:hAnsi="Calibri"/>
          <w:color w:val="000000"/>
        </w:rPr>
        <w:t xml:space="preserve"> to proceed into Phase 2. This includes demonstrating the ability to provide all required cost share and contingency</w:t>
      </w:r>
      <w:r w:rsidR="0064220B">
        <w:rPr>
          <w:rFonts w:ascii="Calibri" w:hAnsi="Calibri"/>
          <w:color w:val="000000"/>
        </w:rPr>
        <w:t xml:space="preserve"> funds</w:t>
      </w:r>
      <w:r w:rsidR="00FC0DE0" w:rsidRPr="008015FD">
        <w:rPr>
          <w:rFonts w:ascii="Calibri" w:hAnsi="Calibri"/>
          <w:color w:val="000000"/>
        </w:rPr>
        <w:t xml:space="preserve"> </w:t>
      </w:r>
      <w:r w:rsidR="00FC0DE0">
        <w:rPr>
          <w:rFonts w:ascii="Calibri" w:hAnsi="Calibri"/>
          <w:color w:val="000000"/>
        </w:rPr>
        <w:t xml:space="preserve">reserve (see below) </w:t>
      </w:r>
      <w:r w:rsidR="00FC0DE0" w:rsidRPr="008015FD">
        <w:rPr>
          <w:rFonts w:ascii="Calibri" w:hAnsi="Calibri"/>
          <w:color w:val="000000"/>
        </w:rPr>
        <w:t xml:space="preserve">prior to entering into </w:t>
      </w:r>
      <w:r w:rsidR="00FC0DE0">
        <w:rPr>
          <w:rFonts w:ascii="Calibri" w:hAnsi="Calibri"/>
          <w:color w:val="000000"/>
        </w:rPr>
        <w:t>Phase 2</w:t>
      </w:r>
      <w:r w:rsidR="00FC0DE0" w:rsidRPr="008015FD">
        <w:rPr>
          <w:rFonts w:ascii="Calibri" w:hAnsi="Calibri"/>
          <w:color w:val="000000"/>
        </w:rPr>
        <w:t xml:space="preserve"> of the project. Recipients are required to secure all cost share and contingency prior to proceeding into </w:t>
      </w:r>
      <w:r w:rsidR="00FC0DE0">
        <w:rPr>
          <w:rFonts w:ascii="Calibri" w:hAnsi="Calibri"/>
          <w:color w:val="000000"/>
        </w:rPr>
        <w:t>P</w:t>
      </w:r>
      <w:r w:rsidR="00FC0DE0" w:rsidRPr="008015FD">
        <w:rPr>
          <w:rFonts w:ascii="Calibri" w:hAnsi="Calibri"/>
          <w:color w:val="000000"/>
        </w:rPr>
        <w:t>hase</w:t>
      </w:r>
      <w:r w:rsidR="00FC0DE0">
        <w:rPr>
          <w:rFonts w:ascii="Calibri" w:hAnsi="Calibri"/>
          <w:color w:val="000000"/>
        </w:rPr>
        <w:t xml:space="preserve"> 2</w:t>
      </w:r>
      <w:r w:rsidR="00FC0DE0" w:rsidRPr="008015FD">
        <w:rPr>
          <w:rFonts w:ascii="Calibri" w:hAnsi="Calibri"/>
          <w:color w:val="000000"/>
        </w:rPr>
        <w:t xml:space="preserve">. Throughout the award life cycle, DOE will review and monitor the financial capability of the </w:t>
      </w:r>
      <w:r w:rsidR="00FC0DE0">
        <w:rPr>
          <w:rFonts w:ascii="Calibri" w:hAnsi="Calibri"/>
          <w:color w:val="000000"/>
        </w:rPr>
        <w:t>R</w:t>
      </w:r>
      <w:r w:rsidR="00FC0DE0" w:rsidRPr="008015FD">
        <w:rPr>
          <w:rFonts w:ascii="Calibri" w:hAnsi="Calibri"/>
          <w:color w:val="000000"/>
        </w:rPr>
        <w:t xml:space="preserve">ecipient and other key organizations within the project team, such as parent companies or cost share providers. DOE may also conduct pre-award accounting system audits, financial capability reviews, or reviews of financial or compliance audits.  </w:t>
      </w:r>
    </w:p>
    <w:p w14:paraId="37759159" w14:textId="77777777" w:rsidR="00FC0DE0" w:rsidRPr="008015FD" w:rsidRDefault="00FC0DE0" w:rsidP="00FC0DE0">
      <w:pPr>
        <w:pBdr>
          <w:top w:val="nil"/>
          <w:left w:val="nil"/>
          <w:bottom w:val="nil"/>
          <w:right w:val="nil"/>
          <w:between w:val="nil"/>
        </w:pBdr>
        <w:ind w:left="1260"/>
        <w:rPr>
          <w:rFonts w:ascii="Calibri" w:hAnsi="Calibri"/>
          <w:color w:val="000000"/>
        </w:rPr>
      </w:pPr>
    </w:p>
    <w:p w14:paraId="3455E2A4" w14:textId="3892A28D" w:rsidR="00FC0DE0" w:rsidRPr="008015FD" w:rsidRDefault="00FC0DE0" w:rsidP="00FC0DE0">
      <w:pPr>
        <w:pBdr>
          <w:top w:val="nil"/>
          <w:left w:val="nil"/>
          <w:bottom w:val="nil"/>
          <w:right w:val="nil"/>
          <w:between w:val="nil"/>
        </w:pBdr>
        <w:ind w:left="1260"/>
        <w:rPr>
          <w:rFonts w:ascii="Calibri" w:hAnsi="Calibri"/>
          <w:color w:val="000000"/>
        </w:rPr>
      </w:pPr>
      <w:r w:rsidRPr="008015FD">
        <w:rPr>
          <w:rFonts w:ascii="Calibri" w:hAnsi="Calibri"/>
          <w:color w:val="000000"/>
        </w:rPr>
        <w:t>A contingency</w:t>
      </w:r>
      <w:r w:rsidR="00525649">
        <w:rPr>
          <w:rFonts w:ascii="Calibri" w:hAnsi="Calibri"/>
          <w:color w:val="000000"/>
        </w:rPr>
        <w:t xml:space="preserve"> funds</w:t>
      </w:r>
      <w:r w:rsidRPr="008015FD">
        <w:rPr>
          <w:rFonts w:ascii="Calibri" w:hAnsi="Calibri"/>
          <w:color w:val="000000"/>
        </w:rPr>
        <w:t xml:space="preserve"> reserve is required for all Phase 2 activities.  DOE experience and industry best practice show that a minimum of 25% of Total Project Cost </w:t>
      </w:r>
      <w:r w:rsidRPr="008015FD">
        <w:rPr>
          <w:rFonts w:ascii="Calibri" w:hAnsi="Calibri"/>
          <w:color w:val="000000"/>
        </w:rPr>
        <w:lastRenderedPageBreak/>
        <w:t xml:space="preserve">(federal share and cost share) </w:t>
      </w:r>
      <w:r>
        <w:rPr>
          <w:rFonts w:ascii="Calibri" w:hAnsi="Calibri"/>
          <w:color w:val="000000"/>
        </w:rPr>
        <w:t xml:space="preserve">for </w:t>
      </w:r>
      <w:r w:rsidRPr="008015FD">
        <w:rPr>
          <w:rFonts w:ascii="Calibri" w:hAnsi="Calibri"/>
          <w:color w:val="000000"/>
        </w:rPr>
        <w:t xml:space="preserve">Phase 2 Costs is necessary to allow the project to continue when unexpected expenses are encountered. </w:t>
      </w:r>
      <w:r w:rsidR="00B575C3">
        <w:rPr>
          <w:rFonts w:ascii="Calibri" w:hAnsi="Calibri"/>
          <w:color w:val="000000"/>
        </w:rPr>
        <w:t xml:space="preserve">Award </w:t>
      </w:r>
      <w:r w:rsidR="00B575C3">
        <w:t>r</w:t>
      </w:r>
      <w:r>
        <w:t xml:space="preserve">ecipients must demonstrate that they can meet the financial needs of Phase 2 of their project when submitting a continuation application. The continuation application (see Section VI.B.xv) for Phase 2 must include documentation showing that the Recipient has access to this minimum </w:t>
      </w:r>
      <w:r w:rsidRPr="00A20B3D">
        <w:t>25% required contingency</w:t>
      </w:r>
      <w:r w:rsidRPr="008015FD">
        <w:rPr>
          <w:rFonts w:ascii="Calibri" w:hAnsi="Calibri"/>
          <w:color w:val="000000"/>
        </w:rPr>
        <w:t xml:space="preserve">.  Contingency funds must be: (a) liquid, (b) immediately available, and (c) unrestricted funds dedicated exclusively to the project for the purpose of mitigating project performance baseline risk. The contingency </w:t>
      </w:r>
      <w:r w:rsidR="001E65D0">
        <w:rPr>
          <w:rFonts w:ascii="Calibri" w:hAnsi="Calibri"/>
          <w:color w:val="000000"/>
        </w:rPr>
        <w:t xml:space="preserve">funds </w:t>
      </w:r>
      <w:r w:rsidRPr="008015FD">
        <w:rPr>
          <w:rFonts w:ascii="Calibri" w:hAnsi="Calibri"/>
          <w:color w:val="000000"/>
        </w:rPr>
        <w:t xml:space="preserve">reserve is in addition to Total Project Costs and cannot count towards cost share, until expended. If expended, the contingency will not result in reimbursement by DOE above the total federal share approved in the award. </w:t>
      </w:r>
      <w:r w:rsidRPr="00A20B3D">
        <w:rPr>
          <w:rFonts w:ascii="Calibri" w:hAnsi="Calibri"/>
          <w:color w:val="000000"/>
        </w:rPr>
        <w:t xml:space="preserve">DOE highly discourages </w:t>
      </w:r>
      <w:r w:rsidR="001E65D0">
        <w:rPr>
          <w:rFonts w:ascii="Calibri" w:hAnsi="Calibri"/>
          <w:color w:val="000000"/>
        </w:rPr>
        <w:t xml:space="preserve">selected applicants </w:t>
      </w:r>
      <w:r w:rsidRPr="00A20B3D">
        <w:rPr>
          <w:rFonts w:ascii="Calibri" w:hAnsi="Calibri"/>
          <w:color w:val="000000"/>
        </w:rPr>
        <w:t xml:space="preserve">from reducing scope to comply with the contingency </w:t>
      </w:r>
      <w:r w:rsidR="00B575C3">
        <w:rPr>
          <w:rFonts w:ascii="Calibri" w:hAnsi="Calibri"/>
          <w:color w:val="000000"/>
        </w:rPr>
        <w:t xml:space="preserve">funds </w:t>
      </w:r>
      <w:r w:rsidRPr="00A20B3D">
        <w:rPr>
          <w:rFonts w:ascii="Calibri" w:hAnsi="Calibri"/>
          <w:color w:val="000000"/>
        </w:rPr>
        <w:t>reserve requirement.</w:t>
      </w:r>
    </w:p>
    <w:p w14:paraId="5DE48937" w14:textId="77777777" w:rsidR="00FC0DE0" w:rsidRDefault="00FC0DE0" w:rsidP="00FC0DE0">
      <w:pPr>
        <w:pStyle w:val="FOATemplateBody"/>
        <w:ind w:left="1260"/>
        <w:rPr>
          <w:color w:val="000000"/>
        </w:rPr>
      </w:pPr>
    </w:p>
    <w:p w14:paraId="2370E271" w14:textId="77777777" w:rsidR="00FC0DE0" w:rsidRPr="008015FD" w:rsidRDefault="00FC0DE0" w:rsidP="00FC0DE0">
      <w:pPr>
        <w:ind w:left="1296"/>
        <w:rPr>
          <w:b/>
          <w:color w:val="000000"/>
        </w:rPr>
      </w:pPr>
      <w:r>
        <w:rPr>
          <w:b/>
          <w:color w:val="000000"/>
        </w:rPr>
        <w:t>Topic Area 1</w:t>
      </w:r>
      <w:r w:rsidRPr="008015FD">
        <w:rPr>
          <w:b/>
          <w:color w:val="000000"/>
        </w:rPr>
        <w:t xml:space="preserve"> Specific Requirements</w:t>
      </w:r>
    </w:p>
    <w:p w14:paraId="3CABCC43" w14:textId="77777777" w:rsidR="00FC0DE0" w:rsidRPr="008015FD" w:rsidRDefault="00FC0DE0" w:rsidP="00FC0DE0">
      <w:pPr>
        <w:ind w:left="1296"/>
      </w:pPr>
    </w:p>
    <w:p w14:paraId="25C7FD8F" w14:textId="7A02B505" w:rsidR="00FC0DE0" w:rsidRPr="008015FD" w:rsidRDefault="00FC0DE0" w:rsidP="00FC0DE0">
      <w:pPr>
        <w:pBdr>
          <w:top w:val="nil"/>
          <w:left w:val="nil"/>
          <w:bottom w:val="nil"/>
          <w:right w:val="nil"/>
          <w:between w:val="nil"/>
        </w:pBdr>
        <w:ind w:left="1260"/>
        <w:rPr>
          <w:rFonts w:ascii="Calibri" w:hAnsi="Calibri"/>
          <w:color w:val="000000"/>
        </w:rPr>
      </w:pPr>
      <w:r w:rsidRPr="008015FD">
        <w:rPr>
          <w:rFonts w:ascii="Calibri" w:hAnsi="Calibri"/>
          <w:color w:val="000000"/>
        </w:rPr>
        <w:t xml:space="preserve">The following requirements must be addressed in the application and the strength of the </w:t>
      </w:r>
      <w:r w:rsidR="00FA5BE7">
        <w:rPr>
          <w:rFonts w:ascii="Calibri" w:hAnsi="Calibri"/>
          <w:color w:val="000000"/>
        </w:rPr>
        <w:t>a</w:t>
      </w:r>
      <w:r>
        <w:rPr>
          <w:rFonts w:ascii="Calibri" w:hAnsi="Calibri"/>
          <w:color w:val="000000"/>
        </w:rPr>
        <w:t>pplicant</w:t>
      </w:r>
      <w:r w:rsidRPr="008015FD">
        <w:rPr>
          <w:rFonts w:ascii="Calibri" w:hAnsi="Calibri"/>
          <w:color w:val="000000"/>
        </w:rPr>
        <w:t xml:space="preserve">’s discussion will be evaluated by the independent technical review panel for engineering and scientific merit (see evaluation criteria in Section V.A.ii.): </w:t>
      </w:r>
    </w:p>
    <w:p w14:paraId="04571AEA" w14:textId="77777777" w:rsidR="00FC0DE0" w:rsidRPr="008015FD" w:rsidRDefault="00FC0DE0" w:rsidP="00FC0DE0">
      <w:pPr>
        <w:pBdr>
          <w:top w:val="nil"/>
          <w:left w:val="nil"/>
          <w:bottom w:val="nil"/>
          <w:right w:val="nil"/>
          <w:between w:val="nil"/>
        </w:pBdr>
        <w:ind w:left="1350"/>
        <w:rPr>
          <w:rFonts w:ascii="Calibri" w:hAnsi="Calibri"/>
          <w:b/>
          <w:color w:val="000000"/>
        </w:rPr>
      </w:pPr>
    </w:p>
    <w:p w14:paraId="1CB02CD2" w14:textId="4B46F281" w:rsidR="00FC0DE0" w:rsidRPr="008B0D95" w:rsidRDefault="00FC0DE0" w:rsidP="00FC0DE0">
      <w:pPr>
        <w:numPr>
          <w:ilvl w:val="0"/>
          <w:numId w:val="150"/>
        </w:numPr>
        <w:ind w:left="2016"/>
        <w:rPr>
          <w:color w:val="000000"/>
        </w:rPr>
      </w:pPr>
      <w:r w:rsidRPr="006F53B7">
        <w:rPr>
          <w:color w:val="000000"/>
        </w:rPr>
        <w:t>Projects must meet or exceed all minimum metric</w:t>
      </w:r>
      <w:r>
        <w:rPr>
          <w:color w:val="000000"/>
        </w:rPr>
        <w:t>s</w:t>
      </w:r>
      <w:r w:rsidRPr="006F53B7">
        <w:rPr>
          <w:color w:val="000000"/>
        </w:rPr>
        <w:t xml:space="preserve"> listed above in </w:t>
      </w:r>
      <w:r w:rsidR="008C01C5">
        <w:rPr>
          <w:color w:val="0070C0"/>
          <w:u w:val="single"/>
        </w:rPr>
        <w:fldChar w:fldCharType="begin"/>
      </w:r>
      <w:r w:rsidR="008C01C5">
        <w:rPr>
          <w:color w:val="0070C0"/>
          <w:u w:val="single"/>
        </w:rPr>
        <w:instrText xml:space="preserve"> REF  _Ref170220193  \* MERGEFORMAT </w:instrText>
      </w:r>
      <w:r w:rsidR="008C01C5">
        <w:rPr>
          <w:color w:val="0070C0"/>
          <w:u w:val="single"/>
        </w:rPr>
        <w:fldChar w:fldCharType="separate"/>
      </w:r>
      <w:r w:rsidR="001B6894">
        <w:t xml:space="preserve">Table </w:t>
      </w:r>
      <w:r w:rsidR="001B6894">
        <w:rPr>
          <w:noProof/>
        </w:rPr>
        <w:t>1</w:t>
      </w:r>
      <w:r w:rsidR="001B6894">
        <w:t xml:space="preserve">: </w:t>
      </w:r>
      <w:r w:rsidR="001B6894" w:rsidRPr="008832C3">
        <w:t>Topic Area 1 Project Minimum Requirements*</w:t>
      </w:r>
      <w:r w:rsidR="008C01C5">
        <w:rPr>
          <w:color w:val="0070C0"/>
          <w:u w:val="single"/>
        </w:rPr>
        <w:fldChar w:fldCharType="end"/>
      </w:r>
      <w:r w:rsidR="00F7310A">
        <w:t xml:space="preserve"> </w:t>
      </w:r>
      <w:r w:rsidR="00F7310A" w:rsidRPr="00FA3341">
        <w:rPr>
          <w:rFonts w:ascii="Calibri" w:hAnsi="Calibri"/>
          <w:color w:val="000000"/>
          <w:szCs w:val="24"/>
        </w:rPr>
        <w:t>as the expectation for an eventual facility that may be constructed and operated in Phase 2, subject to the application’s down-selection from Phase 1.</w:t>
      </w:r>
      <w:r w:rsidR="00F7310A">
        <w:rPr>
          <w:rStyle w:val="CommentReference"/>
        </w:rPr>
        <w:t xml:space="preserve"> </w:t>
      </w:r>
    </w:p>
    <w:p w14:paraId="3428673B" w14:textId="2DD5B8E0" w:rsidR="005F4C1B" w:rsidRPr="005F4C1B" w:rsidRDefault="005F4C1B" w:rsidP="005F4C1B">
      <w:pPr>
        <w:numPr>
          <w:ilvl w:val="0"/>
          <w:numId w:val="150"/>
        </w:numPr>
        <w:ind w:left="2016"/>
        <w:rPr>
          <w:color w:val="000000"/>
        </w:rPr>
      </w:pPr>
      <w:r>
        <w:rPr>
          <w:rStyle w:val="CommentReference"/>
          <w:sz w:val="24"/>
          <w:szCs w:val="24"/>
        </w:rPr>
        <w:t>Applications submitted under Topic Area 1 must utilize an allowable feedstock as defined in Table 1 and Appendix E.</w:t>
      </w:r>
    </w:p>
    <w:p w14:paraId="2DB43567" w14:textId="77777777" w:rsidR="00FC0DE0" w:rsidRPr="001E2912" w:rsidRDefault="00FC0DE0" w:rsidP="00FC0DE0">
      <w:pPr>
        <w:numPr>
          <w:ilvl w:val="0"/>
          <w:numId w:val="150"/>
        </w:numPr>
        <w:ind w:left="2016"/>
        <w:rPr>
          <w:color w:val="000000"/>
        </w:rPr>
      </w:pPr>
      <w:r w:rsidRPr="006F53B7">
        <w:rPr>
          <w:color w:val="000000"/>
        </w:rPr>
        <w:t xml:space="preserve">Applications submitted under </w:t>
      </w:r>
      <w:r>
        <w:rPr>
          <w:color w:val="000000"/>
        </w:rPr>
        <w:t>Topic</w:t>
      </w:r>
      <w:r w:rsidRPr="006F53B7">
        <w:rPr>
          <w:color w:val="000000"/>
        </w:rPr>
        <w:t xml:space="preserve"> </w:t>
      </w:r>
      <w:r>
        <w:rPr>
          <w:color w:val="000000"/>
        </w:rPr>
        <w:t>A</w:t>
      </w:r>
      <w:r w:rsidRPr="006F53B7">
        <w:rPr>
          <w:color w:val="000000"/>
        </w:rPr>
        <w:t xml:space="preserve">rea </w:t>
      </w:r>
      <w:r>
        <w:rPr>
          <w:color w:val="000000"/>
        </w:rPr>
        <w:t xml:space="preserve">1 </w:t>
      </w:r>
      <w:r w:rsidRPr="006F53B7">
        <w:rPr>
          <w:color w:val="000000"/>
        </w:rPr>
        <w:t xml:space="preserve">are required to participate </w:t>
      </w:r>
      <w:r w:rsidRPr="001E2912">
        <w:rPr>
          <w:color w:val="000000"/>
        </w:rPr>
        <w:t xml:space="preserve">in the Verification Process as described in Section </w:t>
      </w:r>
      <w:r w:rsidRPr="00B059F2">
        <w:rPr>
          <w:color w:val="000000"/>
        </w:rPr>
        <w:t>I.C.</w:t>
      </w:r>
      <w:r w:rsidRPr="001E2912">
        <w:rPr>
          <w:color w:val="000000"/>
        </w:rPr>
        <w:t> </w:t>
      </w:r>
    </w:p>
    <w:p w14:paraId="75718456" w14:textId="77777777" w:rsidR="00FC0DE0" w:rsidRPr="001E2912" w:rsidRDefault="00FC0DE0" w:rsidP="00FC0DE0">
      <w:pPr>
        <w:numPr>
          <w:ilvl w:val="0"/>
          <w:numId w:val="150"/>
        </w:numPr>
        <w:ind w:left="2016"/>
        <w:rPr>
          <w:color w:val="000000"/>
        </w:rPr>
      </w:pPr>
      <w:r w:rsidRPr="001E2912">
        <w:rPr>
          <w:rFonts w:ascii="Calibri" w:hAnsi="Calibri"/>
        </w:rPr>
        <w:t>Applications must contain techno-economic and life cycle analyses (TEA and LCA) that relate the key technical parameters of the proposed technology described in the proposal application to achieving a cost competitive MFSP and GHG reduction targets. Previously achieved values, scales, and durations should be delineated from the values necessary to meet the targeted MFSP so that the level of technology advancement needed is clear.</w:t>
      </w:r>
    </w:p>
    <w:p w14:paraId="1EEEC1DE" w14:textId="77777777" w:rsidR="00FC0DE0" w:rsidRPr="00B423F2" w:rsidRDefault="00FC0DE0" w:rsidP="00FC0DE0">
      <w:pPr>
        <w:numPr>
          <w:ilvl w:val="0"/>
          <w:numId w:val="150"/>
        </w:numPr>
        <w:ind w:left="2016"/>
        <w:rPr>
          <w:color w:val="000000"/>
        </w:rPr>
      </w:pPr>
      <w:r w:rsidRPr="001E2912">
        <w:rPr>
          <w:color w:val="000000"/>
        </w:rPr>
        <w:t>A Block Flow Diagram</w:t>
      </w:r>
      <w:r w:rsidRPr="002C0058">
        <w:rPr>
          <w:color w:val="000000"/>
        </w:rPr>
        <w:t xml:space="preserve"> and Supplemental Data template are required as part of the application.</w:t>
      </w:r>
      <w:r w:rsidRPr="00F22D4C">
        <w:rPr>
          <w:color w:val="000000"/>
        </w:rPr>
        <w:t xml:space="preserve">  </w:t>
      </w:r>
    </w:p>
    <w:p w14:paraId="48902768" w14:textId="77777777" w:rsidR="00FC0DE0" w:rsidRPr="00B423F2" w:rsidRDefault="00FC0DE0" w:rsidP="00FC0DE0">
      <w:pPr>
        <w:numPr>
          <w:ilvl w:val="0"/>
          <w:numId w:val="150"/>
        </w:numPr>
        <w:ind w:left="2016"/>
        <w:rPr>
          <w:color w:val="000000"/>
        </w:rPr>
      </w:pPr>
      <w:r w:rsidRPr="00B423F2">
        <w:rPr>
          <w:color w:val="000000"/>
        </w:rPr>
        <w:t>Scale-up factors</w:t>
      </w:r>
      <w:r>
        <w:rPr>
          <w:rStyle w:val="FootnoteReference"/>
          <w:color w:val="000000"/>
        </w:rPr>
        <w:footnoteReference w:id="19"/>
      </w:r>
      <w:r>
        <w:rPr>
          <w:color w:val="000000"/>
        </w:rPr>
        <w:t xml:space="preserve"> </w:t>
      </w:r>
      <w:r w:rsidRPr="00B423F2">
        <w:rPr>
          <w:color w:val="000000"/>
        </w:rPr>
        <w:t>per unit operation</w:t>
      </w:r>
      <w:r>
        <w:rPr>
          <w:rStyle w:val="FootnoteReference"/>
          <w:color w:val="000000"/>
        </w:rPr>
        <w:footnoteReference w:id="20"/>
      </w:r>
      <w:r w:rsidRPr="00B423F2">
        <w:rPr>
          <w:color w:val="000000"/>
        </w:rPr>
        <w:t xml:space="preserve"> can be no greater than 50x.</w:t>
      </w:r>
    </w:p>
    <w:p w14:paraId="5D449EBD" w14:textId="77777777" w:rsidR="00FC0DE0" w:rsidRPr="00B423F2" w:rsidRDefault="00FC0DE0" w:rsidP="00FC0DE0">
      <w:pPr>
        <w:numPr>
          <w:ilvl w:val="0"/>
          <w:numId w:val="150"/>
        </w:numPr>
        <w:ind w:left="2016"/>
        <w:rPr>
          <w:color w:val="000000"/>
        </w:rPr>
      </w:pPr>
      <w:r w:rsidRPr="00B423F2">
        <w:rPr>
          <w:color w:val="000000"/>
        </w:rPr>
        <w:t xml:space="preserve">All major equipment being utilized in the pilot </w:t>
      </w:r>
      <w:r>
        <w:rPr>
          <w:color w:val="000000"/>
        </w:rPr>
        <w:t>must</w:t>
      </w:r>
      <w:r w:rsidRPr="00B423F2">
        <w:rPr>
          <w:color w:val="000000"/>
        </w:rPr>
        <w:t xml:space="preserve"> be based on the equipment that will be used in the eventual commercial facility. For </w:t>
      </w:r>
      <w:r w:rsidRPr="00B423F2">
        <w:rPr>
          <w:color w:val="000000"/>
        </w:rPr>
        <w:lastRenderedPageBreak/>
        <w:t xml:space="preserve">example, if a fluidized bed will be utilized in the commercial scale a fluidized bed </w:t>
      </w:r>
      <w:r>
        <w:rPr>
          <w:color w:val="000000"/>
        </w:rPr>
        <w:t>must</w:t>
      </w:r>
      <w:r w:rsidRPr="00B423F2">
        <w:rPr>
          <w:color w:val="000000"/>
        </w:rPr>
        <w:t xml:space="preserve"> be utilized in the pilot facility.</w:t>
      </w:r>
    </w:p>
    <w:p w14:paraId="2C8AB052" w14:textId="2045FF20" w:rsidR="00FC0DE0" w:rsidRPr="0063013C" w:rsidRDefault="00FC0DE0" w:rsidP="00FC0DE0">
      <w:pPr>
        <w:numPr>
          <w:ilvl w:val="0"/>
          <w:numId w:val="150"/>
        </w:numPr>
        <w:ind w:left="2016"/>
        <w:rPr>
          <w:color w:val="000000"/>
        </w:rPr>
      </w:pPr>
      <w:r>
        <w:rPr>
          <w:color w:val="000000"/>
        </w:rPr>
        <w:t>Topic</w:t>
      </w:r>
      <w:r w:rsidRPr="002F3024">
        <w:rPr>
          <w:color w:val="000000"/>
        </w:rPr>
        <w:t xml:space="preserve"> Area </w:t>
      </w:r>
      <w:r>
        <w:rPr>
          <w:color w:val="000000"/>
        </w:rPr>
        <w:t>1</w:t>
      </w:r>
      <w:r w:rsidRPr="002F3024">
        <w:rPr>
          <w:color w:val="000000"/>
        </w:rPr>
        <w:t xml:space="preserve"> allows for production of bioproducts as coproducts if essential for the overall economics of biofuel production. However, of all the carbon contained in the biofuels and coproducts, at least 50% must be in the biofuel(s). </w:t>
      </w:r>
      <w:r w:rsidRPr="00B059F2">
        <w:rPr>
          <w:color w:val="000000"/>
        </w:rPr>
        <w:t>Higher percentages of utilizable carbon</w:t>
      </w:r>
      <w:r w:rsidRPr="00B059F2">
        <w:rPr>
          <w:rStyle w:val="FootnoteReference"/>
          <w:color w:val="000000"/>
        </w:rPr>
        <w:footnoteReference w:id="21"/>
      </w:r>
      <w:r w:rsidRPr="00B059F2">
        <w:rPr>
          <w:color w:val="000000"/>
        </w:rPr>
        <w:t xml:space="preserve"> found in the biofuels may be prioritized</w:t>
      </w:r>
      <w:r w:rsidRPr="0063013C">
        <w:rPr>
          <w:color w:val="000000"/>
        </w:rPr>
        <w:t xml:space="preserve"> by use of a Program Policy Factor (section V.C.i).</w:t>
      </w:r>
    </w:p>
    <w:p w14:paraId="1B3089EE" w14:textId="77777777" w:rsidR="0040175A" w:rsidRDefault="00BB7D04" w:rsidP="00FC0DE0">
      <w:pPr>
        <w:numPr>
          <w:ilvl w:val="0"/>
          <w:numId w:val="151"/>
        </w:numPr>
        <w:ind w:left="2016"/>
        <w:rPr>
          <w:color w:val="000000"/>
          <w:szCs w:val="24"/>
        </w:rPr>
      </w:pPr>
      <w:r>
        <w:rPr>
          <w:color w:val="000000"/>
        </w:rPr>
        <w:t>Renewable fuels</w:t>
      </w:r>
      <w:r w:rsidR="00FC0DE0" w:rsidRPr="008015FD">
        <w:rPr>
          <w:color w:val="000000"/>
        </w:rPr>
        <w:t xml:space="preserve"> must </w:t>
      </w:r>
      <w:r w:rsidR="00FC0DE0">
        <w:rPr>
          <w:color w:val="000000"/>
        </w:rPr>
        <w:t>demonstrate</w:t>
      </w:r>
      <w:r w:rsidR="00FC0DE0" w:rsidRPr="008015FD">
        <w:rPr>
          <w:color w:val="000000"/>
        </w:rPr>
        <w:t xml:space="preserve"> a reasonable chance of receiving </w:t>
      </w:r>
      <w:r w:rsidR="00FC0DE0">
        <w:rPr>
          <w:color w:val="000000"/>
        </w:rPr>
        <w:t>ASTM</w:t>
      </w:r>
      <w:r w:rsidR="00FC0DE0" w:rsidRPr="008015FD">
        <w:rPr>
          <w:color w:val="000000"/>
        </w:rPr>
        <w:t xml:space="preserve"> or other regulatory approvals</w:t>
      </w:r>
      <w:r w:rsidR="00FC0DE0" w:rsidRPr="003E06C5">
        <w:rPr>
          <w:color w:val="000000"/>
          <w:szCs w:val="24"/>
        </w:rPr>
        <w:t xml:space="preserve"> </w:t>
      </w:r>
      <w:r w:rsidR="00FC0DE0" w:rsidRPr="00082273">
        <w:rPr>
          <w:color w:val="000000"/>
          <w:szCs w:val="24"/>
        </w:rPr>
        <w:t>as evidenced by substantial discussion in the narrative and inclusion of necessary tasks in the</w:t>
      </w:r>
      <w:r w:rsidR="008D00EC">
        <w:rPr>
          <w:color w:val="000000"/>
          <w:szCs w:val="24"/>
        </w:rPr>
        <w:t xml:space="preserve"> Statement of Project Objectives</w:t>
      </w:r>
      <w:r w:rsidR="00FC0DE0" w:rsidRPr="00082273">
        <w:rPr>
          <w:color w:val="000000"/>
          <w:szCs w:val="24"/>
        </w:rPr>
        <w:t xml:space="preserve"> </w:t>
      </w:r>
      <w:r w:rsidR="008D00EC">
        <w:rPr>
          <w:color w:val="000000"/>
          <w:szCs w:val="24"/>
        </w:rPr>
        <w:t>(</w:t>
      </w:r>
      <w:r w:rsidR="00FC0DE0" w:rsidRPr="00082273">
        <w:rPr>
          <w:color w:val="000000"/>
          <w:szCs w:val="24"/>
        </w:rPr>
        <w:t>SOPO</w:t>
      </w:r>
      <w:r w:rsidR="008D00EC">
        <w:rPr>
          <w:color w:val="000000"/>
          <w:szCs w:val="24"/>
        </w:rPr>
        <w:t>)</w:t>
      </w:r>
      <w:r w:rsidR="00FC0DE0" w:rsidRPr="00082273">
        <w:rPr>
          <w:color w:val="000000"/>
          <w:szCs w:val="24"/>
        </w:rPr>
        <w:t>.</w:t>
      </w:r>
    </w:p>
    <w:p w14:paraId="5BC2B3DB" w14:textId="77777777" w:rsidR="00FC0DE0" w:rsidRPr="000867A8" w:rsidRDefault="00FC0DE0" w:rsidP="00FC0DE0">
      <w:pPr>
        <w:numPr>
          <w:ilvl w:val="0"/>
          <w:numId w:val="150"/>
        </w:numPr>
        <w:ind w:left="2016"/>
        <w:rPr>
          <w:color w:val="000000"/>
        </w:rPr>
      </w:pPr>
      <w:r w:rsidRPr="00AF2E02">
        <w:rPr>
          <w:color w:val="000000"/>
        </w:rPr>
        <w:t>Applications proposing co-processing with an existing petroleum refinery must address how at least 50% of the biogenic carbon would be converted to a biofuel and how this would be measured</w:t>
      </w:r>
      <w:r>
        <w:rPr>
          <w:color w:val="000000"/>
        </w:rPr>
        <w:t>,</w:t>
      </w:r>
      <w:r w:rsidRPr="00EB62A9">
        <w:rPr>
          <w:color w:val="000000"/>
        </w:rPr>
        <w:t xml:space="preserve"> </w:t>
      </w:r>
      <w:r>
        <w:rPr>
          <w:color w:val="000000"/>
        </w:rPr>
        <w:t>as evidenced by substantial discussion in the narrative and inclusion of necessary tasks in the SOPO</w:t>
      </w:r>
      <w:r w:rsidRPr="008015FD">
        <w:rPr>
          <w:color w:val="000000"/>
        </w:rPr>
        <w:t>.</w:t>
      </w:r>
    </w:p>
    <w:p w14:paraId="577AC8CD" w14:textId="34A82CE8" w:rsidR="00FC0DE0" w:rsidRPr="001E2912" w:rsidRDefault="00FC0DE0" w:rsidP="00FC0DE0">
      <w:pPr>
        <w:numPr>
          <w:ilvl w:val="0"/>
          <w:numId w:val="151"/>
        </w:numPr>
        <w:ind w:left="1980"/>
        <w:rPr>
          <w:rFonts w:ascii="Calibri" w:hAnsi="Calibri"/>
        </w:rPr>
      </w:pPr>
      <w:r w:rsidRPr="001E2912">
        <w:rPr>
          <w:color w:val="000000"/>
        </w:rPr>
        <w:t xml:space="preserve">Applications cannot include greater than 10% of the total project budget for earlier stage </w:t>
      </w:r>
      <w:r w:rsidR="00BA1BF6">
        <w:rPr>
          <w:color w:val="000000"/>
        </w:rPr>
        <w:t>RD&amp;D</w:t>
      </w:r>
      <w:r w:rsidRPr="001E2912">
        <w:rPr>
          <w:color w:val="000000"/>
        </w:rPr>
        <w:t xml:space="preserve"> (&lt;TRL </w:t>
      </w:r>
      <w:r>
        <w:rPr>
          <w:color w:val="000000"/>
        </w:rPr>
        <w:t>5</w:t>
      </w:r>
      <w:r w:rsidRPr="001E2912">
        <w:rPr>
          <w:color w:val="000000"/>
        </w:rPr>
        <w:t>), including expenses for equipment, salaries, and supplies. </w:t>
      </w:r>
    </w:p>
    <w:p w14:paraId="1C763E10" w14:textId="77777777" w:rsidR="00FC0DE0" w:rsidRPr="001E2912" w:rsidRDefault="00FC0DE0" w:rsidP="00FC0DE0">
      <w:pPr>
        <w:numPr>
          <w:ilvl w:val="0"/>
          <w:numId w:val="151"/>
        </w:numPr>
        <w:ind w:left="1980"/>
        <w:rPr>
          <w:rFonts w:ascii="Calibri" w:hAnsi="Calibri"/>
          <w:color w:val="000000"/>
        </w:rPr>
      </w:pPr>
      <w:r w:rsidRPr="001E2912">
        <w:rPr>
          <w:rFonts w:ascii="Calibri" w:hAnsi="Calibri"/>
          <w:color w:val="000000"/>
        </w:rPr>
        <w:t>Biofuels (and bioproducts) must be produced in the U.S.</w:t>
      </w:r>
    </w:p>
    <w:p w14:paraId="7F379A44" w14:textId="77777777" w:rsidR="00FC0DE0" w:rsidRDefault="00FC0DE0" w:rsidP="00FC0DE0">
      <w:pPr>
        <w:ind w:left="1296"/>
        <w:rPr>
          <w:b/>
          <w:color w:val="000000"/>
        </w:rPr>
      </w:pPr>
    </w:p>
    <w:p w14:paraId="13261439" w14:textId="77777777" w:rsidR="00FC0DE0" w:rsidRPr="001E2912" w:rsidRDefault="00FC0DE0" w:rsidP="00FC0DE0">
      <w:pPr>
        <w:ind w:left="1296"/>
        <w:rPr>
          <w:b/>
          <w:color w:val="000000"/>
        </w:rPr>
      </w:pPr>
      <w:r>
        <w:rPr>
          <w:b/>
          <w:color w:val="000000"/>
        </w:rPr>
        <w:t>Topic Area 1</w:t>
      </w:r>
      <w:r w:rsidRPr="001E2912">
        <w:rPr>
          <w:b/>
          <w:color w:val="000000"/>
        </w:rPr>
        <w:t xml:space="preserve"> Applications Specifically Not of Interest</w:t>
      </w:r>
    </w:p>
    <w:p w14:paraId="36E28960" w14:textId="77777777" w:rsidR="00FC0DE0" w:rsidRPr="001E2912" w:rsidRDefault="00FC0DE0" w:rsidP="00FC0DE0">
      <w:pPr>
        <w:ind w:left="1296"/>
      </w:pPr>
    </w:p>
    <w:p w14:paraId="2BBD0A55" w14:textId="77777777" w:rsidR="00FC0DE0" w:rsidRPr="001E2912" w:rsidRDefault="00FC0DE0" w:rsidP="00FC0DE0">
      <w:pPr>
        <w:numPr>
          <w:ilvl w:val="0"/>
          <w:numId w:val="151"/>
        </w:numPr>
        <w:ind w:left="2016"/>
      </w:pPr>
      <w:r w:rsidRPr="001E2912">
        <w:t>Those identified in Section I.D. of the FOA</w:t>
      </w:r>
      <w:r>
        <w:t>.</w:t>
      </w:r>
    </w:p>
    <w:p w14:paraId="0E422C48" w14:textId="77777777" w:rsidR="00FC0DE0" w:rsidRDefault="00FC0DE0" w:rsidP="00FC0DE0">
      <w:pPr>
        <w:rPr>
          <w:rFonts w:ascii="Calibri" w:hAnsi="Calibri"/>
          <w:b/>
          <w:color w:val="000000"/>
        </w:rPr>
      </w:pPr>
    </w:p>
    <w:p w14:paraId="1BA991FC" w14:textId="77777777" w:rsidR="00FC0DE0" w:rsidRDefault="00FC0DE0" w:rsidP="00FC0DE0">
      <w:pPr>
        <w:ind w:left="1260"/>
        <w:rPr>
          <w:rFonts w:ascii="Calibri" w:hAnsi="Calibri"/>
          <w:b/>
          <w:color w:val="000000"/>
        </w:rPr>
      </w:pPr>
      <w:r>
        <w:rPr>
          <w:rFonts w:ascii="Calibri" w:hAnsi="Calibri"/>
          <w:b/>
          <w:color w:val="000000"/>
        </w:rPr>
        <w:t>T</w:t>
      </w:r>
      <w:r w:rsidRPr="001E2912">
        <w:rPr>
          <w:rFonts w:ascii="Calibri" w:hAnsi="Calibri"/>
          <w:b/>
          <w:color w:val="000000"/>
        </w:rPr>
        <w:t xml:space="preserve">opic Area </w:t>
      </w:r>
      <w:r>
        <w:rPr>
          <w:rFonts w:ascii="Calibri" w:hAnsi="Calibri"/>
          <w:b/>
          <w:color w:val="000000"/>
        </w:rPr>
        <w:t xml:space="preserve">1 </w:t>
      </w:r>
      <w:r w:rsidRPr="001E2912">
        <w:rPr>
          <w:rFonts w:ascii="Calibri" w:hAnsi="Calibri"/>
          <w:b/>
          <w:color w:val="000000"/>
        </w:rPr>
        <w:t>Special Deliverables</w:t>
      </w:r>
    </w:p>
    <w:p w14:paraId="5352437E" w14:textId="77777777" w:rsidR="00FC0DE0" w:rsidRPr="001E2912" w:rsidRDefault="00FC0DE0" w:rsidP="00FC0DE0">
      <w:pPr>
        <w:ind w:left="1260"/>
        <w:rPr>
          <w:rFonts w:ascii="Calibri" w:hAnsi="Calibri"/>
          <w:b/>
          <w:color w:val="000000"/>
        </w:rPr>
      </w:pPr>
    </w:p>
    <w:p w14:paraId="15F4158A" w14:textId="77777777" w:rsidR="00FC0DE0" w:rsidRPr="001E2912" w:rsidRDefault="00FC0DE0" w:rsidP="00FC0DE0">
      <w:pPr>
        <w:ind w:left="1296"/>
        <w:rPr>
          <w:rFonts w:ascii="Calibri" w:hAnsi="Calibri"/>
        </w:rPr>
      </w:pPr>
      <w:r w:rsidRPr="001E2912">
        <w:rPr>
          <w:rFonts w:ascii="Calibri" w:hAnsi="Calibri"/>
          <w:color w:val="000000"/>
        </w:rPr>
        <w:t xml:space="preserve">In addition to the deliverables required in the Federal Assistance Reporting Checklist, the following deliverables are required for awards made under </w:t>
      </w:r>
      <w:r>
        <w:rPr>
          <w:rFonts w:ascii="Calibri" w:hAnsi="Calibri"/>
          <w:color w:val="000000"/>
        </w:rPr>
        <w:t>Topic Area 1</w:t>
      </w:r>
      <w:r w:rsidRPr="001E2912">
        <w:rPr>
          <w:rFonts w:ascii="Calibri" w:hAnsi="Calibri"/>
          <w:color w:val="000000"/>
        </w:rPr>
        <w:t>: </w:t>
      </w:r>
      <w:r w:rsidRPr="001E2912">
        <w:rPr>
          <w:rFonts w:ascii="Calibri" w:hAnsi="Calibri"/>
        </w:rPr>
        <w:t> </w:t>
      </w:r>
    </w:p>
    <w:p w14:paraId="4FEAFDAA" w14:textId="77777777" w:rsidR="00FC0DE0" w:rsidRPr="001E2912" w:rsidRDefault="00FC0DE0" w:rsidP="00FC0DE0">
      <w:pPr>
        <w:ind w:left="1296"/>
        <w:rPr>
          <w:rFonts w:ascii="Calibri" w:hAnsi="Calibri"/>
        </w:rPr>
      </w:pPr>
    </w:p>
    <w:p w14:paraId="051234E2" w14:textId="77777777" w:rsidR="00FC0DE0" w:rsidRPr="00DB5654" w:rsidRDefault="00FC0DE0" w:rsidP="00FC0DE0">
      <w:pPr>
        <w:pStyle w:val="ListParagraph"/>
        <w:numPr>
          <w:ilvl w:val="0"/>
          <w:numId w:val="150"/>
        </w:numPr>
        <w:ind w:left="2016"/>
        <w:rPr>
          <w:rFonts w:ascii="Calibri" w:hAnsi="Calibri"/>
        </w:rPr>
      </w:pPr>
      <w:bookmarkStart w:id="32" w:name="_Hlk91672860"/>
      <w:r w:rsidRPr="00030F1C">
        <w:rPr>
          <w:szCs w:val="24"/>
        </w:rPr>
        <w:t xml:space="preserve">Attendance and participation at the BETO Biennial Peer Review is required so that external subject matter experts can review project accomplishments and provide feedback to ensure optimal use of BETO funds. </w:t>
      </w:r>
      <w:bookmarkEnd w:id="32"/>
    </w:p>
    <w:p w14:paraId="26837894" w14:textId="77777777" w:rsidR="00FC0DE0" w:rsidRPr="00DB5654" w:rsidRDefault="00FC0DE0" w:rsidP="00FC0DE0">
      <w:pPr>
        <w:numPr>
          <w:ilvl w:val="0"/>
          <w:numId w:val="150"/>
        </w:numPr>
        <w:ind w:left="2016"/>
        <w:rPr>
          <w:rFonts w:ascii="Calibri" w:hAnsi="Calibri"/>
        </w:rPr>
      </w:pPr>
      <w:r w:rsidRPr="00030F1C">
        <w:rPr>
          <w:color w:val="000000"/>
        </w:rPr>
        <w:t>A publicly releasable final technical report describing how the technology would contribute to the BETO 2030 goal being cost competitive with petroleum-based fuels (model TEA for nth plant) with at least 70% reduction in greenhouse gas emissions relative to petroleum derived fuels. </w:t>
      </w:r>
    </w:p>
    <w:p w14:paraId="1CB57B44" w14:textId="77777777" w:rsidR="00FC0DE0" w:rsidRPr="00460E65" w:rsidRDefault="00FC0DE0" w:rsidP="00FC0DE0">
      <w:pPr>
        <w:pStyle w:val="ListParagraph"/>
        <w:numPr>
          <w:ilvl w:val="0"/>
          <w:numId w:val="150"/>
        </w:numPr>
        <w:ind w:left="1980"/>
      </w:pPr>
      <w:r w:rsidRPr="008D6CBF">
        <w:rPr>
          <w:rFonts w:ascii="Calibri" w:eastAsia="Calibri" w:hAnsi="Calibri"/>
        </w:rPr>
        <w:t>Recipients will be required to provide input for DOE’s design cases</w:t>
      </w:r>
      <w:r>
        <w:rPr>
          <w:rFonts w:ascii="Calibri" w:eastAsia="Calibri" w:hAnsi="Calibri"/>
        </w:rPr>
        <w:t xml:space="preserve"> (link to our latest State of Technology Report that discusses these design cases can be found at the link provided below) </w:t>
      </w:r>
      <w:r w:rsidRPr="008D6CBF">
        <w:rPr>
          <w:rFonts w:ascii="Calibri" w:eastAsia="Calibri" w:hAnsi="Calibri"/>
        </w:rPr>
        <w:t xml:space="preserve">to refine the </w:t>
      </w:r>
      <w:r>
        <w:rPr>
          <w:rFonts w:ascii="Calibri" w:eastAsia="Calibri" w:hAnsi="Calibri"/>
        </w:rPr>
        <w:t xml:space="preserve">various program </w:t>
      </w:r>
      <w:r w:rsidRPr="008D6CBF">
        <w:rPr>
          <w:rFonts w:ascii="Calibri" w:eastAsia="Calibri" w:hAnsi="Calibri"/>
        </w:rPr>
        <w:t>models</w:t>
      </w:r>
      <w:r>
        <w:rPr>
          <w:rFonts w:ascii="Calibri" w:eastAsia="Calibri" w:hAnsi="Calibri"/>
        </w:rPr>
        <w:t xml:space="preserve"> </w:t>
      </w:r>
      <w:r>
        <w:rPr>
          <w:rFonts w:ascii="Calibri" w:eastAsia="Calibri" w:hAnsi="Calibri"/>
        </w:rPr>
        <w:lastRenderedPageBreak/>
        <w:t>(such as TEA and LCA)</w:t>
      </w:r>
      <w:r w:rsidRPr="008D6CBF">
        <w:rPr>
          <w:rFonts w:ascii="Calibri" w:eastAsia="Calibri" w:hAnsi="Calibri"/>
        </w:rPr>
        <w:t xml:space="preserve"> in an anonymous manner</w:t>
      </w:r>
      <w:r>
        <w:rPr>
          <w:rFonts w:ascii="Calibri" w:eastAsia="Calibri" w:hAnsi="Calibri"/>
        </w:rPr>
        <w:t xml:space="preserve"> (permitting</w:t>
      </w:r>
      <w:r w:rsidRPr="008D6CBF">
        <w:rPr>
          <w:rFonts w:ascii="Calibri" w:eastAsia="Calibri" w:hAnsi="Calibri"/>
        </w:rPr>
        <w:t xml:space="preserve"> the data </w:t>
      </w:r>
      <w:r>
        <w:rPr>
          <w:rFonts w:ascii="Calibri" w:eastAsia="Calibri" w:hAnsi="Calibri"/>
        </w:rPr>
        <w:t>to</w:t>
      </w:r>
      <w:r w:rsidRPr="008D6CBF">
        <w:rPr>
          <w:rFonts w:ascii="Calibri" w:eastAsia="Calibri" w:hAnsi="Calibri"/>
        </w:rPr>
        <w:t xml:space="preserve"> be made</w:t>
      </w:r>
      <w:r>
        <w:rPr>
          <w:rFonts w:ascii="Calibri" w:eastAsia="Calibri" w:hAnsi="Calibri"/>
        </w:rPr>
        <w:t xml:space="preserve"> publicly</w:t>
      </w:r>
      <w:r w:rsidRPr="008D6CBF">
        <w:rPr>
          <w:rFonts w:ascii="Calibri" w:eastAsia="Calibri" w:hAnsi="Calibri"/>
        </w:rPr>
        <w:t xml:space="preserve"> available</w:t>
      </w:r>
      <w:r>
        <w:rPr>
          <w:rFonts w:ascii="Calibri" w:eastAsia="Calibri" w:hAnsi="Calibri"/>
        </w:rPr>
        <w:t>)</w:t>
      </w:r>
      <w:r w:rsidRPr="008D6CBF">
        <w:rPr>
          <w:rFonts w:ascii="Calibri" w:eastAsia="Calibri" w:hAnsi="Calibri"/>
        </w:rPr>
        <w:t>.</w:t>
      </w:r>
    </w:p>
    <w:p w14:paraId="7946ADB3" w14:textId="77777777" w:rsidR="00FC0DE0" w:rsidRPr="008D6CBF" w:rsidRDefault="00FC0DE0" w:rsidP="00FC0DE0">
      <w:pPr>
        <w:pStyle w:val="ListParagraph"/>
        <w:numPr>
          <w:ilvl w:val="1"/>
          <w:numId w:val="150"/>
        </w:numPr>
        <w:ind w:left="2520"/>
      </w:pPr>
      <w:r>
        <w:rPr>
          <w:rFonts w:ascii="Calibri" w:eastAsia="Calibri" w:hAnsi="Calibri"/>
        </w:rPr>
        <w:t>(</w:t>
      </w:r>
      <w:r w:rsidRPr="00C05C64">
        <w:rPr>
          <w:rFonts w:ascii="Calibri" w:eastAsia="Calibri" w:hAnsi="Calibri"/>
        </w:rPr>
        <w:t>https://www.energy.gov/sites/prod/files/2020/07/f76/beto-2019-state-of-technology-july-2020-r1.pdf</w:t>
      </w:r>
      <w:r>
        <w:rPr>
          <w:rFonts w:ascii="Calibri" w:eastAsia="Calibri" w:hAnsi="Calibri"/>
        </w:rPr>
        <w:t>)</w:t>
      </w:r>
    </w:p>
    <w:p w14:paraId="2782AF9A" w14:textId="77777777" w:rsidR="00FC0DE0" w:rsidRDefault="00FC0DE0" w:rsidP="00FC0DE0">
      <w:pPr>
        <w:pStyle w:val="FOATemplateBody"/>
        <w:ind w:left="1260"/>
        <w:rPr>
          <w:color w:val="000000"/>
        </w:rPr>
      </w:pPr>
    </w:p>
    <w:p w14:paraId="5B977F49" w14:textId="77777777" w:rsidR="00FC0DE0" w:rsidRDefault="00FC0DE0" w:rsidP="00FC0DE0">
      <w:pPr>
        <w:pStyle w:val="FOATemplateBody"/>
        <w:ind w:left="1260"/>
        <w:rPr>
          <w:color w:val="000000"/>
        </w:rPr>
      </w:pPr>
      <w:r w:rsidRPr="00F30CC2">
        <w:rPr>
          <w:color w:val="000000"/>
        </w:rPr>
        <w:t>All work under EERE funding agreements must be performed in the United States. See Section IV.K.iii. and Appendix C.</w:t>
      </w:r>
    </w:p>
    <w:p w14:paraId="0BE145EB" w14:textId="77777777" w:rsidR="00FC0DE0" w:rsidRDefault="00FC0DE0" w:rsidP="00FC0DE0">
      <w:pPr>
        <w:pStyle w:val="FOAHeading3"/>
        <w:numPr>
          <w:ilvl w:val="0"/>
          <w:numId w:val="0"/>
        </w:numPr>
        <w:ind w:left="1710"/>
        <w:outlineLvl w:val="2"/>
      </w:pPr>
    </w:p>
    <w:p w14:paraId="071655C4" w14:textId="77777777" w:rsidR="00FC0DE0" w:rsidRDefault="00FC0DE0" w:rsidP="008B0D95">
      <w:pPr>
        <w:pStyle w:val="FOAHeading3"/>
        <w:numPr>
          <w:ilvl w:val="0"/>
          <w:numId w:val="0"/>
        </w:numPr>
        <w:ind w:left="1710"/>
        <w:outlineLvl w:val="2"/>
      </w:pPr>
    </w:p>
    <w:p w14:paraId="708D96EE" w14:textId="385933A2" w:rsidR="000032BC" w:rsidRDefault="000032BC">
      <w:pPr>
        <w:pStyle w:val="FOAHeading3"/>
        <w:ind w:left="1710"/>
        <w:outlineLvl w:val="2"/>
      </w:pPr>
      <w:bookmarkStart w:id="33" w:name="_Toc176864406"/>
      <w:r>
        <w:t xml:space="preserve">Topic Area </w:t>
      </w:r>
      <w:r w:rsidR="00FC0DE0">
        <w:t xml:space="preserve">2: </w:t>
      </w:r>
      <w:r w:rsidR="00FC0DE0">
        <w:rPr>
          <w:rStyle w:val="PlaceholderText"/>
          <w:color w:val="auto"/>
        </w:rPr>
        <w:t>Demonstration Scale-up of Integrated Biorefineries – Phase 1 Preliminary Design and Phased Construction</w:t>
      </w:r>
      <w:bookmarkEnd w:id="33"/>
      <w:r w:rsidR="00FC0DE0" w:rsidDel="00FC0DE0">
        <w:t xml:space="preserve"> </w:t>
      </w:r>
    </w:p>
    <w:p w14:paraId="017F5752" w14:textId="77777777" w:rsidR="002073B5" w:rsidRDefault="002073B5" w:rsidP="008B0D95">
      <w:pPr>
        <w:rPr>
          <w:color w:val="000000"/>
        </w:rPr>
      </w:pPr>
    </w:p>
    <w:p w14:paraId="664AA546" w14:textId="71CA85E3" w:rsidR="00FC0DE0" w:rsidRPr="00701165" w:rsidRDefault="00FC0DE0" w:rsidP="008B0D95">
      <w:pPr>
        <w:ind w:left="1260"/>
        <w:rPr>
          <w:color w:val="000000"/>
        </w:rPr>
      </w:pPr>
      <w:r w:rsidRPr="00701165">
        <w:rPr>
          <w:color w:val="000000"/>
        </w:rPr>
        <w:t xml:space="preserve">Topic Area </w:t>
      </w:r>
      <w:r>
        <w:rPr>
          <w:color w:val="000000"/>
        </w:rPr>
        <w:t>2</w:t>
      </w:r>
      <w:r w:rsidRPr="00701165">
        <w:rPr>
          <w:color w:val="000000"/>
        </w:rPr>
        <w:t xml:space="preserve"> will identify, evaluate, and select applications proposing project definition, development, and execution plans for the scaling of pilot biofuel and bioproduct technologies to </w:t>
      </w:r>
      <w:r>
        <w:rPr>
          <w:color w:val="000000"/>
        </w:rPr>
        <w:t>demonstration</w:t>
      </w:r>
      <w:r w:rsidRPr="00701165">
        <w:rPr>
          <w:color w:val="000000"/>
        </w:rPr>
        <w:t xml:space="preserve"> scale</w:t>
      </w:r>
      <w:r>
        <w:rPr>
          <w:color w:val="000000"/>
        </w:rPr>
        <w:t>,</w:t>
      </w:r>
      <w:r w:rsidRPr="00701165">
        <w:rPr>
          <w:color w:val="000000"/>
        </w:rPr>
        <w:t xml:space="preserve"> including</w:t>
      </w:r>
      <w:r w:rsidR="00E81A9D">
        <w:rPr>
          <w:color w:val="000000"/>
        </w:rPr>
        <w:t xml:space="preserve"> only the following activities</w:t>
      </w:r>
      <w:r w:rsidRPr="00701165">
        <w:rPr>
          <w:color w:val="000000"/>
        </w:rPr>
        <w:t>:</w:t>
      </w:r>
    </w:p>
    <w:p w14:paraId="58B35AA0" w14:textId="77777777" w:rsidR="00FC0DE0" w:rsidRPr="00701165" w:rsidRDefault="00FC0DE0" w:rsidP="00FC0DE0">
      <w:pPr>
        <w:ind w:left="1296"/>
        <w:rPr>
          <w:color w:val="000000"/>
        </w:rPr>
      </w:pPr>
    </w:p>
    <w:p w14:paraId="73A8910D" w14:textId="67225347" w:rsidR="00FC0DE0" w:rsidRDefault="00962521" w:rsidP="00FC0DE0">
      <w:pPr>
        <w:numPr>
          <w:ilvl w:val="0"/>
          <w:numId w:val="149"/>
        </w:numPr>
        <w:pBdr>
          <w:top w:val="nil"/>
          <w:left w:val="nil"/>
          <w:bottom w:val="nil"/>
          <w:right w:val="nil"/>
          <w:between w:val="nil"/>
        </w:pBdr>
        <w:rPr>
          <w:rFonts w:ascii="Calibri" w:hAnsi="Calibri"/>
          <w:color w:val="000000"/>
        </w:rPr>
      </w:pPr>
      <w:r w:rsidRPr="00701165">
        <w:rPr>
          <w:rFonts w:ascii="Calibri" w:hAnsi="Calibri"/>
          <w:color w:val="000000"/>
        </w:rPr>
        <w:t xml:space="preserve">the manufacturing of sustainable aviation fuel, </w:t>
      </w:r>
      <w:r>
        <w:rPr>
          <w:rFonts w:ascii="Calibri" w:hAnsi="Calibri"/>
          <w:color w:val="000000"/>
        </w:rPr>
        <w:t>heavy-duty truck fuel</w:t>
      </w:r>
      <w:r w:rsidRPr="00701165">
        <w:rPr>
          <w:rFonts w:ascii="Calibri" w:hAnsi="Calibri"/>
          <w:color w:val="000000"/>
        </w:rPr>
        <w:t xml:space="preserve">, </w:t>
      </w:r>
      <w:r>
        <w:rPr>
          <w:rFonts w:ascii="Calibri" w:hAnsi="Calibri"/>
          <w:color w:val="000000"/>
        </w:rPr>
        <w:t xml:space="preserve">off-road vehicle fuel, </w:t>
      </w:r>
      <w:r w:rsidRPr="00701165">
        <w:rPr>
          <w:rFonts w:ascii="Calibri" w:hAnsi="Calibri"/>
          <w:color w:val="000000"/>
        </w:rPr>
        <w:t>sustainable marine fuel, and/or sustainable rail fuel</w:t>
      </w:r>
      <w:r w:rsidR="00FC0DE0" w:rsidRPr="00701165">
        <w:rPr>
          <w:rFonts w:ascii="Calibri" w:hAnsi="Calibri"/>
          <w:color w:val="000000"/>
        </w:rPr>
        <w:t xml:space="preserve">; </w:t>
      </w:r>
    </w:p>
    <w:p w14:paraId="0812F9DA" w14:textId="0BD22A81" w:rsidR="00B47C08" w:rsidRPr="00701165" w:rsidRDefault="00B47C08" w:rsidP="00FC0DE0">
      <w:pPr>
        <w:numPr>
          <w:ilvl w:val="0"/>
          <w:numId w:val="149"/>
        </w:numPr>
        <w:pBdr>
          <w:top w:val="nil"/>
          <w:left w:val="nil"/>
          <w:bottom w:val="nil"/>
          <w:right w:val="nil"/>
          <w:between w:val="nil"/>
        </w:pBdr>
        <w:rPr>
          <w:rFonts w:ascii="Calibri" w:hAnsi="Calibri"/>
          <w:color w:val="000000"/>
        </w:rPr>
      </w:pPr>
      <w:r>
        <w:rPr>
          <w:rFonts w:ascii="Calibri" w:hAnsi="Calibri"/>
          <w:color w:val="000000"/>
        </w:rPr>
        <w:t>fuel</w:t>
      </w:r>
      <w:r w:rsidR="00002A63">
        <w:rPr>
          <w:rFonts w:ascii="Calibri" w:hAnsi="Calibri"/>
          <w:color w:val="000000"/>
        </w:rPr>
        <w:t>s may be liquid or gaseous at standard temperature and pressure</w:t>
      </w:r>
      <w:r w:rsidR="000E1085">
        <w:rPr>
          <w:rFonts w:ascii="Calibri" w:hAnsi="Calibri"/>
          <w:color w:val="000000"/>
        </w:rPr>
        <w:t>;</w:t>
      </w:r>
    </w:p>
    <w:p w14:paraId="24D19344" w14:textId="77777777" w:rsidR="00FC0DE0" w:rsidRPr="00701165" w:rsidRDefault="00FC0DE0" w:rsidP="00FC0DE0">
      <w:pPr>
        <w:numPr>
          <w:ilvl w:val="0"/>
          <w:numId w:val="149"/>
        </w:numPr>
        <w:pBdr>
          <w:top w:val="nil"/>
          <w:left w:val="nil"/>
          <w:bottom w:val="nil"/>
          <w:right w:val="nil"/>
          <w:between w:val="nil"/>
        </w:pBdr>
        <w:rPr>
          <w:rFonts w:ascii="Calibri" w:hAnsi="Calibri"/>
          <w:color w:val="000000"/>
        </w:rPr>
      </w:pPr>
      <w:r w:rsidRPr="00701165">
        <w:rPr>
          <w:rFonts w:ascii="Calibri" w:hAnsi="Calibri"/>
          <w:color w:val="000000"/>
        </w:rPr>
        <w:t>novel process technologies that leverage existing first generation, grain starch, biorefinery assets and infrastructure; and/or</w:t>
      </w:r>
    </w:p>
    <w:p w14:paraId="170B4EC7" w14:textId="6C72D1EA" w:rsidR="00FC0DE0" w:rsidRPr="00701165" w:rsidRDefault="00FC0DE0" w:rsidP="00FC0DE0">
      <w:pPr>
        <w:pStyle w:val="ListParagraph"/>
        <w:numPr>
          <w:ilvl w:val="0"/>
          <w:numId w:val="149"/>
        </w:numPr>
        <w:rPr>
          <w:rFonts w:ascii="Calibri" w:hAnsi="Calibri"/>
          <w:color w:val="000000"/>
        </w:rPr>
      </w:pPr>
      <w:r w:rsidRPr="00701165">
        <w:rPr>
          <w:rFonts w:ascii="Calibri" w:hAnsi="Calibri"/>
          <w:color w:val="000000"/>
        </w:rPr>
        <w:t xml:space="preserve">novel process technologies that leverage US-produced, oilseed crops (see Appendix </w:t>
      </w:r>
      <w:r w:rsidR="00150325">
        <w:rPr>
          <w:rFonts w:ascii="Calibri" w:hAnsi="Calibri"/>
          <w:color w:val="000000"/>
        </w:rPr>
        <w:t>E</w:t>
      </w:r>
      <w:r w:rsidRPr="00701165">
        <w:rPr>
          <w:rFonts w:ascii="Calibri" w:hAnsi="Calibri"/>
          <w:color w:val="000000"/>
        </w:rPr>
        <w:t xml:space="preserve">) that meet all other metrics of the topic area, including achieving at least </w:t>
      </w:r>
      <w:r w:rsidRPr="00EB634B">
        <w:rPr>
          <w:rFonts w:ascii="Calibri" w:hAnsi="Calibri"/>
          <w:color w:val="000000"/>
        </w:rPr>
        <w:t>70% GHG reductions</w:t>
      </w:r>
      <w:r>
        <w:rPr>
          <w:rFonts w:ascii="Calibri" w:hAnsi="Calibri"/>
          <w:color w:val="000000"/>
        </w:rPr>
        <w:t xml:space="preserve">. </w:t>
      </w:r>
      <w:r>
        <w:rPr>
          <w:color w:val="000000"/>
        </w:rPr>
        <w:t>This can include the utilization of oil-seed cover crops, the co-processing of intermediates and oilseed oils, blending of SAFs from various feedstocks, among other innovative concepts.</w:t>
      </w:r>
    </w:p>
    <w:p w14:paraId="27D9EF2D" w14:textId="77777777" w:rsidR="00FC0DE0" w:rsidRPr="00701165" w:rsidRDefault="00FC0DE0" w:rsidP="00FC0DE0">
      <w:pPr>
        <w:pStyle w:val="ListParagraph"/>
        <w:ind w:left="2016"/>
        <w:rPr>
          <w:rFonts w:ascii="Calibri" w:hAnsi="Calibri"/>
          <w:color w:val="000000"/>
        </w:rPr>
      </w:pPr>
    </w:p>
    <w:p w14:paraId="6EB964BE" w14:textId="5E288706" w:rsidR="00FC0DE0" w:rsidRPr="00701165" w:rsidRDefault="00FC0DE0" w:rsidP="00FC0DE0">
      <w:pPr>
        <w:ind w:left="1296"/>
        <w:rPr>
          <w:color w:val="000000"/>
        </w:rPr>
      </w:pPr>
      <w:r w:rsidRPr="00701165">
        <w:rPr>
          <w:rFonts w:cstheme="minorHAnsi"/>
          <w:szCs w:val="24"/>
        </w:rPr>
        <w:t xml:space="preserve">Topic Area </w:t>
      </w:r>
      <w:r>
        <w:rPr>
          <w:rFonts w:cstheme="minorHAnsi"/>
          <w:szCs w:val="24"/>
        </w:rPr>
        <w:t xml:space="preserve">2, </w:t>
      </w:r>
      <w:r w:rsidR="00812DB5">
        <w:rPr>
          <w:rFonts w:cstheme="minorHAnsi"/>
          <w:szCs w:val="24"/>
        </w:rPr>
        <w:t xml:space="preserve">Demonstration Scale-up </w:t>
      </w:r>
      <w:r w:rsidR="0017028B">
        <w:rPr>
          <w:rFonts w:cstheme="minorHAnsi"/>
          <w:szCs w:val="24"/>
        </w:rPr>
        <w:t xml:space="preserve">of Integrated Biorefineries – Phase 1 </w:t>
      </w:r>
      <w:r w:rsidRPr="00701165">
        <w:rPr>
          <w:rFonts w:cstheme="minorHAnsi"/>
          <w:szCs w:val="24"/>
        </w:rPr>
        <w:t xml:space="preserve">Preliminary Design and Phased Construction, is intended for projects that have all prior scale data and are ready to design a </w:t>
      </w:r>
      <w:r>
        <w:rPr>
          <w:rFonts w:cstheme="minorHAnsi"/>
          <w:szCs w:val="24"/>
        </w:rPr>
        <w:t>demonstration-scale</w:t>
      </w:r>
      <w:r w:rsidRPr="00701165">
        <w:rPr>
          <w:rFonts w:cstheme="minorHAnsi"/>
          <w:szCs w:val="24"/>
        </w:rPr>
        <w:t xml:space="preserve"> facility. Projects selected under </w:t>
      </w:r>
      <w:r>
        <w:rPr>
          <w:rFonts w:cstheme="minorHAnsi"/>
          <w:szCs w:val="24"/>
        </w:rPr>
        <w:t>Topic Area 2</w:t>
      </w:r>
      <w:r w:rsidRPr="00701165">
        <w:rPr>
          <w:rFonts w:cstheme="minorHAnsi"/>
          <w:szCs w:val="24"/>
        </w:rPr>
        <w:t xml:space="preserve"> </w:t>
      </w:r>
      <w:r>
        <w:rPr>
          <w:rFonts w:cstheme="minorHAnsi"/>
          <w:szCs w:val="24"/>
        </w:rPr>
        <w:t>may</w:t>
      </w:r>
      <w:r w:rsidRPr="00701165">
        <w:rPr>
          <w:rFonts w:cstheme="minorHAnsi"/>
          <w:szCs w:val="24"/>
        </w:rPr>
        <w:t xml:space="preserve"> have an opportunity to construct and operate their designed pilot facility based on the down-select process described below</w:t>
      </w:r>
      <w:r>
        <w:rPr>
          <w:rFonts w:cstheme="minorHAnsi"/>
          <w:szCs w:val="24"/>
        </w:rPr>
        <w:t>.</w:t>
      </w:r>
    </w:p>
    <w:p w14:paraId="595AAD3B" w14:textId="77777777" w:rsidR="00FC0DE0" w:rsidRPr="00701165" w:rsidRDefault="00FC0DE0" w:rsidP="00FC0DE0">
      <w:pPr>
        <w:ind w:left="1296"/>
        <w:rPr>
          <w:color w:val="000000"/>
        </w:rPr>
      </w:pPr>
    </w:p>
    <w:p w14:paraId="06B492F8" w14:textId="20B2680B" w:rsidR="00FC0DE0" w:rsidRPr="00AF2E02" w:rsidRDefault="00FC0DE0" w:rsidP="00FC0DE0">
      <w:pPr>
        <w:ind w:left="1296"/>
        <w:rPr>
          <w:color w:val="000000"/>
        </w:rPr>
      </w:pPr>
      <w:r w:rsidRPr="00701165">
        <w:rPr>
          <w:color w:val="000000"/>
        </w:rPr>
        <w:t xml:space="preserve">Topic Area </w:t>
      </w:r>
      <w:r>
        <w:rPr>
          <w:color w:val="000000"/>
        </w:rPr>
        <w:t>2</w:t>
      </w:r>
      <w:r w:rsidRPr="00701165">
        <w:rPr>
          <w:color w:val="000000"/>
        </w:rPr>
        <w:t xml:space="preserve"> will provide the ability for </w:t>
      </w:r>
      <w:r>
        <w:rPr>
          <w:color w:val="000000"/>
        </w:rPr>
        <w:t xml:space="preserve">proven, integrated </w:t>
      </w:r>
      <w:r w:rsidRPr="00701165">
        <w:rPr>
          <w:color w:val="000000"/>
        </w:rPr>
        <w:t>pilot technologies</w:t>
      </w:r>
      <w:r w:rsidRPr="00AF2E02">
        <w:rPr>
          <w:color w:val="000000"/>
        </w:rPr>
        <w:t xml:space="preserve"> to scale to </w:t>
      </w:r>
      <w:r>
        <w:rPr>
          <w:color w:val="000000"/>
        </w:rPr>
        <w:t>demonstration</w:t>
      </w:r>
      <w:r w:rsidRPr="00AF2E02">
        <w:rPr>
          <w:color w:val="000000"/>
        </w:rPr>
        <w:t xml:space="preserve"> scale. </w:t>
      </w:r>
      <w:r>
        <w:rPr>
          <w:color w:val="000000"/>
        </w:rPr>
        <w:t>Demonstration</w:t>
      </w:r>
      <w:r w:rsidRPr="00AF2E02">
        <w:rPr>
          <w:color w:val="000000"/>
        </w:rPr>
        <w:t xml:space="preserve"> scale facilities developed under </w:t>
      </w:r>
      <w:r>
        <w:rPr>
          <w:color w:val="000000"/>
        </w:rPr>
        <w:t>Topic Area 2</w:t>
      </w:r>
      <w:r w:rsidRPr="00AF2E02">
        <w:rPr>
          <w:color w:val="000000"/>
        </w:rPr>
        <w:t xml:space="preserve"> must produce at </w:t>
      </w:r>
      <w:r w:rsidRPr="00AF2E02">
        <w:t xml:space="preserve">the plant’s rated capacity, a minimum quantity of </w:t>
      </w:r>
      <w:r>
        <w:t>1,000</w:t>
      </w:r>
      <w:r w:rsidRPr="00AF2E02">
        <w:t xml:space="preserve">,000 gallons per year of liquid biobased hydrocarbon fuel for aviation, marine, </w:t>
      </w:r>
      <w:r>
        <w:t>rail, or heavy</w:t>
      </w:r>
      <w:r w:rsidR="0017028B">
        <w:t>-</w:t>
      </w:r>
      <w:r>
        <w:t>duty</w:t>
      </w:r>
      <w:r w:rsidRPr="00AF2E02">
        <w:t xml:space="preserve"> applications.</w:t>
      </w:r>
    </w:p>
    <w:p w14:paraId="5876E219" w14:textId="77777777" w:rsidR="00FC0DE0" w:rsidRPr="00AF2E02" w:rsidRDefault="00FC0DE0" w:rsidP="00FC0DE0">
      <w:pPr>
        <w:ind w:left="1296"/>
      </w:pPr>
    </w:p>
    <w:p w14:paraId="63CCC726" w14:textId="77777777" w:rsidR="00FC0DE0" w:rsidRPr="00AF2E02" w:rsidRDefault="00FC0DE0" w:rsidP="00FC0DE0">
      <w:pPr>
        <w:ind w:left="1296"/>
        <w:rPr>
          <w:color w:val="000000"/>
        </w:rPr>
      </w:pPr>
      <w:r w:rsidRPr="00AF2E02">
        <w:rPr>
          <w:color w:val="000000"/>
        </w:rPr>
        <w:lastRenderedPageBreak/>
        <w:t>Scale</w:t>
      </w:r>
      <w:r>
        <w:rPr>
          <w:color w:val="000000"/>
        </w:rPr>
        <w:t>d</w:t>
      </w:r>
      <w:r w:rsidRPr="00AF2E02">
        <w:rPr>
          <w:color w:val="000000"/>
        </w:rPr>
        <w:t xml:space="preserve">-up and </w:t>
      </w:r>
      <w:r>
        <w:rPr>
          <w:color w:val="000000"/>
        </w:rPr>
        <w:t>integrated operations</w:t>
      </w:r>
      <w:r w:rsidRPr="00AF2E02">
        <w:rPr>
          <w:color w:val="000000"/>
        </w:rPr>
        <w:t xml:space="preserve"> of these process technologies </w:t>
      </w:r>
      <w:r>
        <w:rPr>
          <w:color w:val="000000"/>
        </w:rPr>
        <w:t>are</w:t>
      </w:r>
      <w:r w:rsidRPr="00AF2E02">
        <w:rPr>
          <w:color w:val="000000"/>
        </w:rPr>
        <w:t xml:space="preserve"> essential to enable the industry to build future </w:t>
      </w:r>
      <w:r>
        <w:rPr>
          <w:color w:val="000000"/>
        </w:rPr>
        <w:t xml:space="preserve">demonstration, </w:t>
      </w:r>
      <w:r w:rsidRPr="00AF2E02">
        <w:rPr>
          <w:color w:val="000000"/>
        </w:rPr>
        <w:t>pioneer</w:t>
      </w:r>
      <w:r>
        <w:rPr>
          <w:color w:val="000000"/>
        </w:rPr>
        <w:t>,</w:t>
      </w:r>
      <w:r w:rsidRPr="00AF2E02">
        <w:rPr>
          <w:color w:val="000000"/>
        </w:rPr>
        <w:t xml:space="preserve"> and commercial scale facilities. Successfully scaling and </w:t>
      </w:r>
      <w:r>
        <w:rPr>
          <w:color w:val="000000"/>
        </w:rPr>
        <w:t>operating</w:t>
      </w:r>
      <w:r w:rsidRPr="00AF2E02">
        <w:rPr>
          <w:color w:val="000000"/>
        </w:rPr>
        <w:t xml:space="preserve"> process technology is critical for biotechnologies to remain a significant near-term decarbonization pathway.</w:t>
      </w:r>
    </w:p>
    <w:p w14:paraId="4200F67D" w14:textId="77777777" w:rsidR="00FC0DE0" w:rsidRPr="00AF2E02" w:rsidRDefault="00FC0DE0" w:rsidP="00FC0DE0">
      <w:pPr>
        <w:rPr>
          <w:color w:val="000000"/>
        </w:rPr>
      </w:pPr>
    </w:p>
    <w:p w14:paraId="39FCF2A7" w14:textId="7670BD89" w:rsidR="00FC0DE0" w:rsidRDefault="00FC0DE0" w:rsidP="00FC0DE0">
      <w:pPr>
        <w:pStyle w:val="FOATemplateBody"/>
        <w:ind w:left="1260"/>
        <w:rPr>
          <w:color w:val="000000"/>
        </w:rPr>
      </w:pPr>
      <w:r w:rsidRPr="00AF2E02">
        <w:rPr>
          <w:color w:val="000000"/>
        </w:rPr>
        <w:t xml:space="preserve">Applications submitted under </w:t>
      </w:r>
      <w:r>
        <w:rPr>
          <w:color w:val="000000"/>
        </w:rPr>
        <w:t>Topic Area 2</w:t>
      </w:r>
      <w:r w:rsidRPr="00AF2E02">
        <w:rPr>
          <w:color w:val="000000"/>
        </w:rPr>
        <w:t xml:space="preserve"> must meet a minimum neat biofuel throughput of </w:t>
      </w:r>
      <w:r>
        <w:rPr>
          <w:color w:val="000000"/>
        </w:rPr>
        <w:t>1,000</w:t>
      </w:r>
      <w:r w:rsidRPr="00AF2E02">
        <w:rPr>
          <w:color w:val="000000"/>
        </w:rPr>
        <w:t xml:space="preserve">,000 gallons per year equivalent. Proposed technologies must </w:t>
      </w:r>
      <w:r w:rsidRPr="00967D2B">
        <w:rPr>
          <w:color w:val="000000"/>
        </w:rPr>
        <w:t xml:space="preserve">meet 70% GHG reduction relative to the petroleum-derived alternative. </w:t>
      </w:r>
      <w:r w:rsidRPr="00967D2B">
        <w:rPr>
          <w:b/>
          <w:color w:val="000000"/>
        </w:rPr>
        <w:t xml:space="preserve">Although 70% GHG reduction is the minimum allowable, applications with greater GHG reductions are highly encouraged and may </w:t>
      </w:r>
      <w:sdt>
        <w:sdtPr>
          <w:tag w:val="goog_rdk_73"/>
          <w:id w:val="-785961656"/>
        </w:sdtPr>
        <w:sdtEndPr/>
        <w:sdtContent/>
      </w:sdt>
      <w:sdt>
        <w:sdtPr>
          <w:tag w:val="goog_rdk_74"/>
          <w:id w:val="2098211131"/>
        </w:sdtPr>
        <w:sdtEndPr/>
        <w:sdtContent/>
      </w:sdt>
      <w:sdt>
        <w:sdtPr>
          <w:tag w:val="goog_rdk_75"/>
          <w:id w:val="172309454"/>
        </w:sdtPr>
        <w:sdtEndPr/>
        <w:sdtContent/>
      </w:sdt>
      <w:sdt>
        <w:sdtPr>
          <w:tag w:val="goog_rdk_76"/>
          <w:id w:val="-1753428849"/>
        </w:sdtPr>
        <w:sdtEndPr/>
        <w:sdtContent/>
      </w:sdt>
      <w:r w:rsidRPr="004832AB">
        <w:rPr>
          <w:b/>
          <w:color w:val="000000"/>
        </w:rPr>
        <w:t>receive preference</w:t>
      </w:r>
      <w:r>
        <w:rPr>
          <w:b/>
          <w:color w:val="000000"/>
        </w:rPr>
        <w:t xml:space="preserve"> by way of a Program Policy Factor (section V.C.i)</w:t>
      </w:r>
      <w:r w:rsidRPr="004832AB">
        <w:rPr>
          <w:b/>
          <w:color w:val="000000"/>
        </w:rPr>
        <w:t>.</w:t>
      </w:r>
      <w:r w:rsidRPr="00967D2B">
        <w:rPr>
          <w:color w:val="000000"/>
        </w:rPr>
        <w:t xml:space="preserve"> The minimum baseline technology readiness level for projects submitted under this topic is TRL</w:t>
      </w:r>
      <w:r>
        <w:rPr>
          <w:color w:val="000000"/>
        </w:rPr>
        <w:t xml:space="preserve"> 6</w:t>
      </w:r>
      <w:r w:rsidRPr="00967D2B">
        <w:rPr>
          <w:color w:val="000000"/>
        </w:rPr>
        <w:t xml:space="preserve"> with a maximum of TRL </w:t>
      </w:r>
      <w:r>
        <w:rPr>
          <w:color w:val="000000"/>
        </w:rPr>
        <w:t>7</w:t>
      </w:r>
      <w:r w:rsidRPr="00967D2B">
        <w:rPr>
          <w:color w:val="000000"/>
        </w:rPr>
        <w:t xml:space="preserve"> at the conclusion of the project. </w:t>
      </w:r>
      <w:r>
        <w:rPr>
          <w:color w:val="000000"/>
        </w:rPr>
        <w:t xml:space="preserve">Minimum requirements for Topic Area </w:t>
      </w:r>
      <w:r w:rsidR="00A00655">
        <w:rPr>
          <w:color w:val="000000"/>
        </w:rPr>
        <w:t>2</w:t>
      </w:r>
      <w:r>
        <w:rPr>
          <w:color w:val="000000"/>
        </w:rPr>
        <w:t xml:space="preserve"> are shown in </w:t>
      </w:r>
      <w:r w:rsidR="008C01C5">
        <w:rPr>
          <w:color w:val="0070C0"/>
          <w:u w:val="single"/>
        </w:rPr>
        <w:fldChar w:fldCharType="begin"/>
      </w:r>
      <w:r w:rsidR="008C01C5">
        <w:rPr>
          <w:color w:val="0070C0"/>
          <w:u w:val="single"/>
        </w:rPr>
        <w:instrText xml:space="preserve"> REF  _Ref170220358  \* MERGEFORMAT </w:instrText>
      </w:r>
      <w:r w:rsidR="008C01C5">
        <w:rPr>
          <w:color w:val="0070C0"/>
          <w:u w:val="single"/>
        </w:rPr>
        <w:fldChar w:fldCharType="separate"/>
      </w:r>
      <w:r w:rsidR="001B6894">
        <w:t xml:space="preserve">Table </w:t>
      </w:r>
      <w:r w:rsidR="001B6894">
        <w:rPr>
          <w:noProof/>
        </w:rPr>
        <w:t>3</w:t>
      </w:r>
      <w:r w:rsidR="008C01C5">
        <w:rPr>
          <w:color w:val="0070C0"/>
          <w:u w:val="single"/>
        </w:rPr>
        <w:fldChar w:fldCharType="end"/>
      </w:r>
      <w:r w:rsidR="00BC7849">
        <w:rPr>
          <w:color w:val="000000"/>
        </w:rPr>
        <w:t xml:space="preserve"> </w:t>
      </w:r>
      <w:r>
        <w:rPr>
          <w:color w:val="000000"/>
        </w:rPr>
        <w:t>below</w:t>
      </w:r>
      <w:r w:rsidRPr="00967D2B">
        <w:rPr>
          <w:color w:val="000000"/>
        </w:rPr>
        <w:t>:</w:t>
      </w:r>
    </w:p>
    <w:p w14:paraId="37F5B0F5" w14:textId="77777777" w:rsidR="00FC0DE0" w:rsidRDefault="00FC0DE0" w:rsidP="00FC0DE0">
      <w:pPr>
        <w:pStyle w:val="FOATemplateBody"/>
        <w:ind w:left="1260"/>
        <w:rPr>
          <w:color w:val="000000"/>
        </w:rPr>
      </w:pPr>
    </w:p>
    <w:p w14:paraId="7C22CBE7" w14:textId="09746552" w:rsidR="00D723BC" w:rsidRDefault="00D723BC" w:rsidP="008B0D95">
      <w:pPr>
        <w:pStyle w:val="Caption"/>
        <w:keepNext/>
      </w:pPr>
      <w:bookmarkStart w:id="34" w:name="_Ref170220358"/>
      <w:bookmarkStart w:id="35" w:name="_Ref170220328"/>
      <w:r>
        <w:t xml:space="preserve">Table </w:t>
      </w:r>
      <w:r>
        <w:fldChar w:fldCharType="begin"/>
      </w:r>
      <w:r>
        <w:instrText xml:space="preserve"> SEQ Table \* ARABIC </w:instrText>
      </w:r>
      <w:r>
        <w:fldChar w:fldCharType="separate"/>
      </w:r>
      <w:r w:rsidR="001B6894">
        <w:rPr>
          <w:noProof/>
        </w:rPr>
        <w:t>3</w:t>
      </w:r>
      <w:r>
        <w:fldChar w:fldCharType="end"/>
      </w:r>
      <w:bookmarkEnd w:id="34"/>
      <w:r>
        <w:t xml:space="preserve">: </w:t>
      </w:r>
      <w:r w:rsidRPr="00A65C99">
        <w:t>Topic Area 2 Minimum Requirements</w:t>
      </w:r>
      <w:bookmarkEnd w:id="35"/>
    </w:p>
    <w:tbl>
      <w:tblPr>
        <w:tblStyle w:val="31"/>
        <w:tblW w:w="8100" w:type="dxa"/>
        <w:tblInd w:w="1250" w:type="dxa"/>
        <w:tblLayout w:type="fixed"/>
        <w:tblLook w:val="0400" w:firstRow="0" w:lastRow="0" w:firstColumn="0" w:lastColumn="0" w:noHBand="0" w:noVBand="1"/>
      </w:tblPr>
      <w:tblGrid>
        <w:gridCol w:w="2525"/>
        <w:gridCol w:w="5575"/>
      </w:tblGrid>
      <w:tr w:rsidR="00FC0DE0" w:rsidRPr="00AF2E02" w14:paraId="217A1015" w14:textId="77777777" w:rsidTr="00634646">
        <w:trPr>
          <w:trHeight w:val="169"/>
        </w:trPr>
        <w:tc>
          <w:tcPr>
            <w:tcW w:w="2525" w:type="dxa"/>
            <w:tcBorders>
              <w:top w:val="single" w:sz="8" w:space="0" w:color="000000"/>
              <w:left w:val="single" w:sz="8" w:space="0" w:color="000000"/>
              <w:bottom w:val="single" w:sz="8" w:space="0" w:color="000000"/>
              <w:right w:val="nil"/>
            </w:tcBorders>
            <w:shd w:val="clear" w:color="auto" w:fill="auto"/>
            <w:vAlign w:val="bottom"/>
          </w:tcPr>
          <w:p w14:paraId="79857A3A"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Metric: </w:t>
            </w:r>
          </w:p>
        </w:tc>
        <w:tc>
          <w:tcPr>
            <w:tcW w:w="5575"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0AEEB00"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Minimum: </w:t>
            </w:r>
          </w:p>
        </w:tc>
      </w:tr>
      <w:tr w:rsidR="00FC0DE0" w:rsidRPr="00AF2E02" w14:paraId="6502E17E" w14:textId="77777777" w:rsidTr="00634646">
        <w:trPr>
          <w:trHeight w:val="161"/>
        </w:trPr>
        <w:tc>
          <w:tcPr>
            <w:tcW w:w="2525" w:type="dxa"/>
            <w:tcBorders>
              <w:top w:val="nil"/>
              <w:left w:val="single" w:sz="8" w:space="0" w:color="000000"/>
              <w:bottom w:val="single" w:sz="4" w:space="0" w:color="000000"/>
              <w:right w:val="nil"/>
            </w:tcBorders>
            <w:shd w:val="clear" w:color="auto" w:fill="auto"/>
            <w:vAlign w:val="center"/>
          </w:tcPr>
          <w:p w14:paraId="62C7A821" w14:textId="0AED14C7" w:rsidR="00FC0DE0" w:rsidRPr="00AF2E02" w:rsidRDefault="00FC0DE0" w:rsidP="00634646">
            <w:pPr>
              <w:rPr>
                <w:rFonts w:ascii="Calibri" w:hAnsi="Calibri"/>
                <w:color w:val="000000"/>
                <w:sz w:val="22"/>
                <w:szCs w:val="22"/>
              </w:rPr>
            </w:pPr>
            <w:r w:rsidRPr="003E06C5">
              <w:rPr>
                <w:color w:val="000000"/>
                <w:sz w:val="22"/>
                <w:szCs w:val="22"/>
              </w:rPr>
              <w:t>Fuel Type</w:t>
            </w:r>
            <w:r w:rsidR="00EB3CDE">
              <w:rPr>
                <w:rStyle w:val="FootnoteReference"/>
                <w:color w:val="000000"/>
                <w:sz w:val="22"/>
                <w:szCs w:val="22"/>
              </w:rPr>
              <w:footnoteReference w:id="22"/>
            </w:r>
          </w:p>
        </w:tc>
        <w:tc>
          <w:tcPr>
            <w:tcW w:w="5575" w:type="dxa"/>
            <w:tcBorders>
              <w:top w:val="nil"/>
              <w:left w:val="single" w:sz="8" w:space="0" w:color="000000"/>
              <w:bottom w:val="single" w:sz="4" w:space="0" w:color="000000"/>
              <w:right w:val="single" w:sz="8" w:space="0" w:color="000000"/>
            </w:tcBorders>
            <w:shd w:val="clear" w:color="auto" w:fill="auto"/>
          </w:tcPr>
          <w:p w14:paraId="2089E42A" w14:textId="61E27BF2" w:rsidR="00FC0DE0" w:rsidRPr="004832AB" w:rsidRDefault="00871F15" w:rsidP="00634646">
            <w:pPr>
              <w:rPr>
                <w:rFonts w:ascii="Calibri" w:hAnsi="Calibri"/>
                <w:color w:val="000000"/>
                <w:sz w:val="22"/>
                <w:szCs w:val="22"/>
              </w:rPr>
            </w:pPr>
            <w:r>
              <w:rPr>
                <w:rFonts w:ascii="Calibri" w:hAnsi="Calibri"/>
                <w:color w:val="000000"/>
                <w:sz w:val="22"/>
                <w:szCs w:val="22"/>
              </w:rPr>
              <w:t>S</w:t>
            </w:r>
            <w:r w:rsidR="00FC0DE0" w:rsidRPr="00082273">
              <w:rPr>
                <w:rFonts w:ascii="Calibri" w:hAnsi="Calibri"/>
                <w:color w:val="000000"/>
                <w:sz w:val="22"/>
                <w:szCs w:val="22"/>
              </w:rPr>
              <w:t xml:space="preserve">ustainable aviation fuel, renewable diesel, sustainable marine fuel, </w:t>
            </w:r>
            <w:r w:rsidR="002C6D1C">
              <w:rPr>
                <w:rFonts w:ascii="Calibri" w:hAnsi="Calibri"/>
                <w:color w:val="000000"/>
                <w:sz w:val="22"/>
                <w:szCs w:val="22"/>
              </w:rPr>
              <w:t xml:space="preserve">off-road vehicle fuel </w:t>
            </w:r>
            <w:r w:rsidR="00FC0DE0" w:rsidRPr="00082273">
              <w:rPr>
                <w:rFonts w:ascii="Calibri" w:hAnsi="Calibri"/>
                <w:color w:val="000000"/>
                <w:sz w:val="22"/>
                <w:szCs w:val="22"/>
              </w:rPr>
              <w:t>and/or sustainable rail fuel</w:t>
            </w:r>
          </w:p>
        </w:tc>
      </w:tr>
      <w:tr w:rsidR="00FC0DE0" w:rsidRPr="00AF2E02" w14:paraId="0E8BF138" w14:textId="77777777" w:rsidTr="00634646">
        <w:trPr>
          <w:trHeight w:val="161"/>
        </w:trPr>
        <w:tc>
          <w:tcPr>
            <w:tcW w:w="2525" w:type="dxa"/>
            <w:tcBorders>
              <w:top w:val="nil"/>
              <w:left w:val="single" w:sz="8" w:space="0" w:color="000000"/>
              <w:bottom w:val="single" w:sz="4" w:space="0" w:color="000000"/>
              <w:right w:val="nil"/>
            </w:tcBorders>
            <w:shd w:val="clear" w:color="auto" w:fill="auto"/>
            <w:vAlign w:val="center"/>
          </w:tcPr>
          <w:p w14:paraId="3A918E7E"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Fuel Selling Price</w:t>
            </w:r>
          </w:p>
        </w:tc>
        <w:tc>
          <w:tcPr>
            <w:tcW w:w="5575" w:type="dxa"/>
            <w:tcBorders>
              <w:top w:val="nil"/>
              <w:left w:val="single" w:sz="8" w:space="0" w:color="000000"/>
              <w:bottom w:val="single" w:sz="4" w:space="0" w:color="000000"/>
              <w:right w:val="single" w:sz="8" w:space="0" w:color="000000"/>
            </w:tcBorders>
            <w:shd w:val="clear" w:color="auto" w:fill="auto"/>
          </w:tcPr>
          <w:p w14:paraId="7D144AF1" w14:textId="77777777" w:rsidR="00FC0DE0" w:rsidRPr="004509A9" w:rsidRDefault="00FC0DE0" w:rsidP="00634646">
            <w:pPr>
              <w:rPr>
                <w:rFonts w:ascii="Calibri" w:hAnsi="Calibri"/>
                <w:color w:val="000000"/>
                <w:sz w:val="22"/>
                <w:szCs w:val="22"/>
              </w:rPr>
            </w:pPr>
            <w:r w:rsidRPr="004832AB">
              <w:rPr>
                <w:rFonts w:ascii="Calibri" w:hAnsi="Calibri"/>
                <w:color w:val="000000"/>
                <w:sz w:val="22"/>
                <w:szCs w:val="22"/>
              </w:rPr>
              <w:t>Cost competitive with petroleum-based fuels (model TEA for n</w:t>
            </w:r>
            <w:r w:rsidRPr="004832AB">
              <w:rPr>
                <w:rFonts w:ascii="Calibri" w:hAnsi="Calibri"/>
                <w:color w:val="000000"/>
                <w:sz w:val="22"/>
                <w:szCs w:val="22"/>
                <w:vertAlign w:val="superscript"/>
              </w:rPr>
              <w:t>th</w:t>
            </w:r>
            <w:r w:rsidRPr="004832AB">
              <w:rPr>
                <w:rFonts w:ascii="Calibri" w:hAnsi="Calibri"/>
                <w:color w:val="000000"/>
                <w:sz w:val="22"/>
                <w:szCs w:val="22"/>
              </w:rPr>
              <w:t xml:space="preserve"> plant)</w:t>
            </w:r>
          </w:p>
        </w:tc>
      </w:tr>
      <w:tr w:rsidR="00FC0DE0" w:rsidRPr="00AF2E02" w14:paraId="453CA4EC" w14:textId="77777777" w:rsidTr="00634646">
        <w:trPr>
          <w:trHeight w:val="323"/>
        </w:trPr>
        <w:tc>
          <w:tcPr>
            <w:tcW w:w="2525" w:type="dxa"/>
            <w:tcBorders>
              <w:top w:val="nil"/>
              <w:left w:val="single" w:sz="8" w:space="0" w:color="000000"/>
              <w:bottom w:val="single" w:sz="4" w:space="0" w:color="000000"/>
              <w:right w:val="nil"/>
            </w:tcBorders>
            <w:shd w:val="clear" w:color="auto" w:fill="auto"/>
            <w:vAlign w:val="center"/>
          </w:tcPr>
          <w:p w14:paraId="29B1B9F3"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Cumulative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2237797E" w14:textId="26866900" w:rsidR="00FC0DE0" w:rsidRPr="00AF2E02" w:rsidRDefault="00FC0DE0" w:rsidP="00634646">
            <w:pPr>
              <w:rPr>
                <w:rFonts w:ascii="Calibri" w:hAnsi="Calibri"/>
                <w:color w:val="000000"/>
                <w:sz w:val="22"/>
                <w:szCs w:val="22"/>
              </w:rPr>
            </w:pPr>
            <w:r w:rsidRPr="00B94238">
              <w:rPr>
                <w:rFonts w:ascii="Calibri" w:hAnsi="Calibri"/>
                <w:color w:val="000000"/>
                <w:sz w:val="22"/>
                <w:szCs w:val="22"/>
              </w:rPr>
              <w:t>1,</w:t>
            </w:r>
            <w:r w:rsidR="00F30DCE">
              <w:rPr>
                <w:rFonts w:ascii="Calibri" w:hAnsi="Calibri"/>
                <w:color w:val="000000"/>
                <w:sz w:val="22"/>
                <w:szCs w:val="22"/>
              </w:rPr>
              <w:t>5</w:t>
            </w:r>
            <w:r w:rsidRPr="00B94238">
              <w:rPr>
                <w:rFonts w:ascii="Calibri" w:hAnsi="Calibri"/>
                <w:color w:val="000000"/>
                <w:sz w:val="22"/>
                <w:szCs w:val="22"/>
              </w:rPr>
              <w:t>00 hours</w:t>
            </w:r>
          </w:p>
        </w:tc>
      </w:tr>
      <w:tr w:rsidR="00FC0DE0" w:rsidRPr="00AF2E02" w14:paraId="053D770A" w14:textId="77777777" w:rsidTr="00634646">
        <w:trPr>
          <w:trHeight w:val="323"/>
        </w:trPr>
        <w:tc>
          <w:tcPr>
            <w:tcW w:w="2525" w:type="dxa"/>
            <w:tcBorders>
              <w:top w:val="nil"/>
              <w:left w:val="single" w:sz="8" w:space="0" w:color="000000"/>
              <w:bottom w:val="single" w:sz="4" w:space="0" w:color="000000"/>
              <w:right w:val="nil"/>
            </w:tcBorders>
            <w:shd w:val="clear" w:color="auto" w:fill="auto"/>
            <w:vAlign w:val="center"/>
          </w:tcPr>
          <w:p w14:paraId="428FDCE2"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Continuous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24199A34" w14:textId="470EBE41" w:rsidR="00FC0DE0" w:rsidRPr="00B94238" w:rsidRDefault="00EB3B23" w:rsidP="00634646">
            <w:pPr>
              <w:rPr>
                <w:rFonts w:ascii="Calibri" w:hAnsi="Calibri"/>
                <w:color w:val="000000"/>
                <w:sz w:val="22"/>
                <w:szCs w:val="22"/>
              </w:rPr>
            </w:pPr>
            <w:r>
              <w:rPr>
                <w:rFonts w:ascii="Calibri" w:hAnsi="Calibri"/>
                <w:color w:val="000000"/>
                <w:sz w:val="22"/>
                <w:szCs w:val="22"/>
              </w:rPr>
              <w:t>1</w:t>
            </w:r>
            <w:r w:rsidR="00B56BB8">
              <w:rPr>
                <w:rFonts w:ascii="Calibri" w:hAnsi="Calibri"/>
                <w:color w:val="000000"/>
                <w:sz w:val="22"/>
                <w:szCs w:val="22"/>
              </w:rPr>
              <w:t>,</w:t>
            </w:r>
            <w:r>
              <w:rPr>
                <w:rFonts w:ascii="Calibri" w:hAnsi="Calibri"/>
                <w:color w:val="000000"/>
                <w:sz w:val="22"/>
                <w:szCs w:val="22"/>
              </w:rPr>
              <w:t>000</w:t>
            </w:r>
            <w:r w:rsidR="00FC0DE0" w:rsidRPr="00B94238">
              <w:rPr>
                <w:rFonts w:ascii="Calibri" w:hAnsi="Calibri"/>
                <w:color w:val="000000"/>
                <w:sz w:val="22"/>
                <w:szCs w:val="22"/>
              </w:rPr>
              <w:t xml:space="preserve"> hours</w:t>
            </w:r>
          </w:p>
        </w:tc>
      </w:tr>
      <w:tr w:rsidR="00FC0DE0" w:rsidRPr="00AF2E02" w14:paraId="1B2BBF7C" w14:textId="77777777" w:rsidTr="00634646">
        <w:trPr>
          <w:trHeight w:val="626"/>
        </w:trPr>
        <w:tc>
          <w:tcPr>
            <w:tcW w:w="2525" w:type="dxa"/>
            <w:tcBorders>
              <w:top w:val="single" w:sz="4" w:space="0" w:color="000000"/>
              <w:left w:val="single" w:sz="4" w:space="0" w:color="000000"/>
              <w:bottom w:val="single" w:sz="4" w:space="0" w:color="000000"/>
              <w:right w:val="nil"/>
            </w:tcBorders>
            <w:shd w:val="clear" w:color="auto" w:fill="auto"/>
            <w:vAlign w:val="center"/>
          </w:tcPr>
          <w:p w14:paraId="220C6C50"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Throughput Equivalent </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1A3FCF2" w14:textId="77777777" w:rsidR="00FC0DE0" w:rsidRPr="00240059" w:rsidRDefault="00FC0DE0" w:rsidP="00634646">
            <w:pPr>
              <w:rPr>
                <w:rFonts w:ascii="Calibri" w:hAnsi="Calibri"/>
                <w:color w:val="000000"/>
                <w:sz w:val="22"/>
                <w:szCs w:val="22"/>
              </w:rPr>
            </w:pPr>
            <w:r>
              <w:rPr>
                <w:rFonts w:ascii="Calibri" w:hAnsi="Calibri"/>
                <w:color w:val="000000"/>
                <w:sz w:val="22"/>
                <w:szCs w:val="22"/>
              </w:rPr>
              <w:t>1,000</w:t>
            </w:r>
            <w:r w:rsidRPr="00772DBE">
              <w:rPr>
                <w:rFonts w:ascii="Calibri" w:hAnsi="Calibri"/>
                <w:color w:val="000000"/>
                <w:sz w:val="22"/>
                <w:szCs w:val="22"/>
              </w:rPr>
              <w:t>,000 gallons of biofuel per year equivalent</w:t>
            </w:r>
            <w:r w:rsidRPr="00240059">
              <w:rPr>
                <w:rFonts w:ascii="Calibri" w:eastAsia="Times New Roman" w:hAnsi="Calibri"/>
                <w:color w:val="000000"/>
                <w:sz w:val="22"/>
                <w:szCs w:val="22"/>
              </w:rPr>
              <w:t xml:space="preserve"> </w:t>
            </w:r>
          </w:p>
        </w:tc>
      </w:tr>
      <w:tr w:rsidR="00FC0DE0" w:rsidRPr="00AF2E02" w14:paraId="2D2C2F40" w14:textId="77777777" w:rsidTr="00634646">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785DBD47" w14:textId="77777777" w:rsidR="00FC0DE0" w:rsidRPr="00AF2E02" w:rsidRDefault="00FC0DE0" w:rsidP="00634646">
            <w:pPr>
              <w:rPr>
                <w:rFonts w:ascii="Calibri" w:hAnsi="Calibri"/>
                <w:color w:val="000000"/>
                <w:sz w:val="22"/>
                <w:szCs w:val="22"/>
              </w:rPr>
            </w:pPr>
            <w:r w:rsidRPr="00AF2E02">
              <w:rPr>
                <w:rFonts w:ascii="Calibri" w:hAnsi="Calibri"/>
                <w:color w:val="000000"/>
                <w:sz w:val="22"/>
                <w:szCs w:val="22"/>
              </w:rPr>
              <w:t>GHG Reductions</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F3346B4" w14:textId="77777777" w:rsidR="00FC0DE0" w:rsidRPr="00772DBE" w:rsidRDefault="00FC0DE0" w:rsidP="00634646">
            <w:pPr>
              <w:rPr>
                <w:rFonts w:ascii="Calibri" w:hAnsi="Calibri"/>
                <w:color w:val="000000"/>
                <w:sz w:val="22"/>
                <w:szCs w:val="22"/>
              </w:rPr>
            </w:pPr>
            <w:r w:rsidRPr="00772DBE">
              <w:rPr>
                <w:rFonts w:ascii="Calibri" w:hAnsi="Calibri"/>
                <w:color w:val="000000"/>
                <w:sz w:val="22"/>
                <w:szCs w:val="22"/>
              </w:rPr>
              <w:t>70%</w:t>
            </w:r>
          </w:p>
        </w:tc>
      </w:tr>
      <w:tr w:rsidR="00FC0DE0" w:rsidRPr="00AF2E02" w14:paraId="3B166917" w14:textId="77777777" w:rsidTr="00634646">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131D6526" w14:textId="77777777" w:rsidR="00FC0DE0" w:rsidRPr="00AF2E02" w:rsidRDefault="00FC0DE0" w:rsidP="00634646">
            <w:pPr>
              <w:rPr>
                <w:rFonts w:ascii="Calibri" w:hAnsi="Calibri"/>
                <w:color w:val="000000"/>
                <w:sz w:val="22"/>
                <w:szCs w:val="22"/>
              </w:rPr>
            </w:pPr>
            <w:r>
              <w:rPr>
                <w:rFonts w:ascii="Calibri" w:hAnsi="Calibri"/>
                <w:color w:val="000000"/>
                <w:sz w:val="22"/>
                <w:szCs w:val="22"/>
              </w:rPr>
              <w:t>Allowable Feedstocks</w:t>
            </w:r>
            <w:r>
              <w:rPr>
                <w:rStyle w:val="FootnoteReference"/>
                <w:rFonts w:ascii="Calibri" w:hAnsi="Calibri"/>
                <w:color w:val="000000"/>
                <w:sz w:val="22"/>
                <w:szCs w:val="22"/>
              </w:rPr>
              <w:footnoteReference w:id="23"/>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9BE0D70" w14:textId="77777777" w:rsidR="00FC0DE0" w:rsidRPr="00A10799" w:rsidRDefault="00FC0DE0" w:rsidP="00634646">
            <w:pPr>
              <w:rPr>
                <w:rFonts w:ascii="Calibri" w:hAnsi="Calibri"/>
                <w:color w:val="000000"/>
                <w:sz w:val="22"/>
                <w:szCs w:val="22"/>
              </w:rPr>
            </w:pPr>
            <w:r w:rsidRPr="00772DBE">
              <w:rPr>
                <w:rFonts w:ascii="Calibri" w:hAnsi="Calibri"/>
                <w:color w:val="000000"/>
                <w:sz w:val="22"/>
                <w:szCs w:val="22"/>
              </w:rPr>
              <w:t>Lignocellulosic Feedstocks, Algae</w:t>
            </w:r>
            <w:r w:rsidRPr="00240059">
              <w:rPr>
                <w:rFonts w:ascii="Calibri" w:hAnsi="Calibri"/>
                <w:color w:val="000000"/>
                <w:sz w:val="22"/>
                <w:szCs w:val="22"/>
              </w:rPr>
              <w:t>, Organic Wet Waste, Sorted Municipal Solid Waste, Food Waste, Biogas, Grain Starch, Oilseed Crops</w:t>
            </w:r>
            <w:r>
              <w:rPr>
                <w:rFonts w:ascii="Calibri" w:hAnsi="Calibri"/>
                <w:color w:val="000000"/>
                <w:sz w:val="22"/>
                <w:szCs w:val="22"/>
              </w:rPr>
              <w:t xml:space="preserve">, C&amp;D Waste, </w:t>
            </w:r>
            <w:r w:rsidRPr="00240059">
              <w:rPr>
                <w:rFonts w:ascii="Calibri" w:hAnsi="Calibri"/>
                <w:color w:val="000000"/>
                <w:sz w:val="22"/>
                <w:szCs w:val="22"/>
              </w:rPr>
              <w:t>Waste CO</w:t>
            </w:r>
            <w:r w:rsidRPr="000867A8">
              <w:rPr>
                <w:rFonts w:ascii="Calibri" w:hAnsi="Calibri"/>
                <w:color w:val="000000"/>
                <w:sz w:val="22"/>
                <w:szCs w:val="22"/>
                <w:vertAlign w:val="subscript"/>
              </w:rPr>
              <w:t>2</w:t>
            </w:r>
            <w:r w:rsidRPr="00A10799">
              <w:rPr>
                <w:rFonts w:ascii="Calibri" w:hAnsi="Calibri"/>
                <w:color w:val="000000"/>
                <w:sz w:val="22"/>
                <w:szCs w:val="22"/>
              </w:rPr>
              <w:t>,</w:t>
            </w:r>
            <w:r>
              <w:rPr>
                <w:rFonts w:ascii="Calibri" w:hAnsi="Calibri"/>
                <w:color w:val="000000"/>
                <w:sz w:val="22"/>
                <w:szCs w:val="22"/>
              </w:rPr>
              <w:t xml:space="preserve"> and </w:t>
            </w:r>
            <w:r w:rsidRPr="00240059">
              <w:rPr>
                <w:rFonts w:ascii="Calibri" w:hAnsi="Calibri"/>
                <w:color w:val="000000"/>
                <w:sz w:val="22"/>
                <w:szCs w:val="22"/>
              </w:rPr>
              <w:t>CO</w:t>
            </w:r>
            <w:r w:rsidRPr="000867A8">
              <w:rPr>
                <w:rFonts w:ascii="Calibri" w:hAnsi="Calibri"/>
                <w:color w:val="000000"/>
                <w:sz w:val="22"/>
                <w:szCs w:val="22"/>
                <w:vertAlign w:val="subscript"/>
              </w:rPr>
              <w:t>2</w:t>
            </w:r>
            <w:r>
              <w:rPr>
                <w:rFonts w:ascii="Calibri" w:hAnsi="Calibri"/>
                <w:color w:val="000000"/>
                <w:sz w:val="22"/>
                <w:szCs w:val="22"/>
              </w:rPr>
              <w:t xml:space="preserve"> by Direct Air Capture</w:t>
            </w:r>
          </w:p>
        </w:tc>
      </w:tr>
      <w:tr w:rsidR="00FC0DE0" w:rsidRPr="00AF2E02" w14:paraId="2076F315" w14:textId="77777777" w:rsidTr="00634646">
        <w:trPr>
          <w:trHeight w:val="90"/>
        </w:trPr>
        <w:tc>
          <w:tcPr>
            <w:tcW w:w="8100"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65CA644E" w14:textId="72CFEBDE" w:rsidR="00FC0DE0" w:rsidRPr="00E1049F" w:rsidRDefault="00FC0DE0" w:rsidP="00634646">
            <w:pPr>
              <w:rPr>
                <w:rFonts w:ascii="Calibri" w:hAnsi="Calibri"/>
                <w:color w:val="000000"/>
                <w:sz w:val="22"/>
                <w:szCs w:val="22"/>
              </w:rPr>
            </w:pPr>
            <w:r>
              <w:rPr>
                <w:rFonts w:ascii="Calibri" w:hAnsi="Calibri"/>
                <w:color w:val="000000"/>
                <w:sz w:val="22"/>
                <w:szCs w:val="22"/>
              </w:rPr>
              <w:t>*</w:t>
            </w:r>
            <w:r w:rsidR="0072019A">
              <w:rPr>
                <w:rFonts w:ascii="Calibri" w:hAnsi="Calibri"/>
                <w:color w:val="000000"/>
                <w:sz w:val="22"/>
                <w:szCs w:val="22"/>
              </w:rPr>
              <w:t>Applications submitted under Topic Area 2</w:t>
            </w:r>
            <w:r w:rsidR="001F1EA0">
              <w:rPr>
                <w:rFonts w:ascii="Calibri" w:hAnsi="Calibri"/>
                <w:color w:val="000000"/>
                <w:sz w:val="22"/>
                <w:szCs w:val="22"/>
              </w:rPr>
              <w:t xml:space="preserve"> must reflect the minimum requirements indicated in this table as the expectation for an eventual facility that may be constructed and operated in Phase 2, subject to the application’s down-selection from Phase 1.</w:t>
            </w:r>
            <w:r w:rsidR="001F1EA0">
              <w:rPr>
                <w:rStyle w:val="CommentReference"/>
                <w:rFonts w:eastAsia="Times New Roman" w:cs="Times New Roman"/>
              </w:rPr>
              <w:t xml:space="preserve"> </w:t>
            </w:r>
          </w:p>
        </w:tc>
      </w:tr>
    </w:tbl>
    <w:p w14:paraId="0E5831F1" w14:textId="77777777" w:rsidR="00FC0DE0" w:rsidRDefault="00FC0DE0" w:rsidP="00FC0DE0">
      <w:pPr>
        <w:pStyle w:val="FOATemplateBody"/>
        <w:ind w:left="1260"/>
        <w:rPr>
          <w:color w:val="000000"/>
        </w:rPr>
      </w:pPr>
    </w:p>
    <w:p w14:paraId="68809EB3" w14:textId="37E1C7A8" w:rsidR="00FC0DE0" w:rsidRDefault="00FC0DE0" w:rsidP="00FC0DE0">
      <w:pPr>
        <w:pStyle w:val="FOATemplateBody"/>
        <w:ind w:left="1260"/>
        <w:rPr>
          <w:color w:val="000000"/>
        </w:rPr>
      </w:pPr>
      <w:r w:rsidRPr="00AF2E02">
        <w:rPr>
          <w:color w:val="000000"/>
        </w:rPr>
        <w:t xml:space="preserve">Given the high cost and complexity of </w:t>
      </w:r>
      <w:r>
        <w:rPr>
          <w:color w:val="000000"/>
        </w:rPr>
        <w:t>demonstration-</w:t>
      </w:r>
      <w:r w:rsidRPr="00AF2E02">
        <w:rPr>
          <w:color w:val="000000"/>
        </w:rPr>
        <w:t xml:space="preserve">scale projects, </w:t>
      </w:r>
      <w:r w:rsidR="001F1EA0">
        <w:rPr>
          <w:color w:val="000000"/>
        </w:rPr>
        <w:t>selected applicants</w:t>
      </w:r>
      <w:r w:rsidRPr="00AF2E02">
        <w:rPr>
          <w:color w:val="000000"/>
        </w:rPr>
        <w:t xml:space="preserve"> in </w:t>
      </w:r>
      <w:r>
        <w:rPr>
          <w:color w:val="000000"/>
        </w:rPr>
        <w:t>Topic Area 2</w:t>
      </w:r>
      <w:r w:rsidRPr="00AF2E02">
        <w:rPr>
          <w:color w:val="000000"/>
        </w:rPr>
        <w:t xml:space="preserve"> will undergo</w:t>
      </w:r>
      <w:r>
        <w:rPr>
          <w:color w:val="000000"/>
        </w:rPr>
        <w:t xml:space="preserve"> a phased approach as depicted in </w:t>
      </w:r>
      <w:r w:rsidR="008C01C5">
        <w:rPr>
          <w:color w:val="0070C0"/>
          <w:u w:val="single"/>
        </w:rPr>
        <w:fldChar w:fldCharType="begin"/>
      </w:r>
      <w:r w:rsidR="008C01C5">
        <w:rPr>
          <w:color w:val="0070C0"/>
          <w:u w:val="single"/>
        </w:rPr>
        <w:instrText xml:space="preserve"> REF  _Ref170220478  \* MERGEFORMAT </w:instrText>
      </w:r>
      <w:r w:rsidR="008C01C5">
        <w:rPr>
          <w:color w:val="0070C0"/>
          <w:u w:val="single"/>
        </w:rPr>
        <w:fldChar w:fldCharType="separate"/>
      </w:r>
      <w:r w:rsidR="001B6894">
        <w:t xml:space="preserve">Table </w:t>
      </w:r>
      <w:r w:rsidR="001B6894">
        <w:rPr>
          <w:noProof/>
        </w:rPr>
        <w:t>4</w:t>
      </w:r>
      <w:r w:rsidR="008C01C5">
        <w:rPr>
          <w:color w:val="0070C0"/>
          <w:u w:val="single"/>
        </w:rPr>
        <w:fldChar w:fldCharType="end"/>
      </w:r>
      <w:r w:rsidR="00A83809">
        <w:rPr>
          <w:color w:val="000000"/>
        </w:rPr>
        <w:t xml:space="preserve"> </w:t>
      </w:r>
      <w:r>
        <w:rPr>
          <w:color w:val="000000"/>
        </w:rPr>
        <w:t>below.</w:t>
      </w:r>
      <w:r w:rsidRPr="00AF2E02">
        <w:rPr>
          <w:color w:val="000000"/>
        </w:rPr>
        <w:t xml:space="preserve"> </w:t>
      </w:r>
      <w:r>
        <w:rPr>
          <w:color w:val="000000"/>
        </w:rPr>
        <w:t>Phase 1 will consist of a</w:t>
      </w:r>
      <w:r w:rsidRPr="00AF2E02">
        <w:rPr>
          <w:color w:val="000000"/>
        </w:rPr>
        <w:t xml:space="preserve"> </w:t>
      </w:r>
      <w:r w:rsidRPr="004F771F">
        <w:rPr>
          <w:color w:val="000000"/>
        </w:rPr>
        <w:t xml:space="preserve">24-month </w:t>
      </w:r>
      <w:r>
        <w:rPr>
          <w:color w:val="000000"/>
        </w:rPr>
        <w:t>“</w:t>
      </w:r>
      <w:r w:rsidRPr="004F771F">
        <w:rPr>
          <w:color w:val="000000"/>
        </w:rPr>
        <w:t>Verification</w:t>
      </w:r>
      <w:r w:rsidRPr="00AF2E02">
        <w:rPr>
          <w:color w:val="000000"/>
        </w:rPr>
        <w:t xml:space="preserve"> &amp; Design Basis Definition</w:t>
      </w:r>
      <w:r>
        <w:rPr>
          <w:color w:val="000000"/>
        </w:rPr>
        <w:t>”</w:t>
      </w:r>
      <w:r w:rsidRPr="00AF2E02">
        <w:rPr>
          <w:color w:val="000000"/>
        </w:rPr>
        <w:t xml:space="preserve"> </w:t>
      </w:r>
      <w:r w:rsidRPr="00AF2E02">
        <w:rPr>
          <w:color w:val="000000"/>
        </w:rPr>
        <w:lastRenderedPageBreak/>
        <w:t xml:space="preserve">phase to </w:t>
      </w:r>
      <w:r>
        <w:rPr>
          <w:color w:val="000000"/>
        </w:rPr>
        <w:t>verify</w:t>
      </w:r>
      <w:r w:rsidRPr="00AF2E02">
        <w:rPr>
          <w:color w:val="000000"/>
        </w:rPr>
        <w:t xml:space="preserve"> prior</w:t>
      </w:r>
      <w:r>
        <w:rPr>
          <w:color w:val="000000"/>
        </w:rPr>
        <w:t>-</w:t>
      </w:r>
      <w:r w:rsidRPr="00AF2E02">
        <w:rPr>
          <w:color w:val="000000"/>
        </w:rPr>
        <w:t>scale data and readiness to proceed</w:t>
      </w:r>
      <w:r>
        <w:rPr>
          <w:color w:val="000000"/>
        </w:rPr>
        <w:t xml:space="preserve">. </w:t>
      </w:r>
      <w:r w:rsidRPr="004F771F">
        <w:rPr>
          <w:color w:val="000000"/>
        </w:rPr>
        <w:t>Up to $3,000,000</w:t>
      </w:r>
      <w:r>
        <w:rPr>
          <w:color w:val="000000"/>
        </w:rPr>
        <w:t xml:space="preserve"> of federal funds will be made available for each Phase 1 project. A minimum of 50% cost share is required for Phase 1. </w:t>
      </w:r>
      <w:r w:rsidRPr="00AF2E02">
        <w:rPr>
          <w:color w:val="000000"/>
        </w:rPr>
        <w:t xml:space="preserve">DOE will conduct a down-select review between Phase 1 and the </w:t>
      </w:r>
      <w:r>
        <w:rPr>
          <w:color w:val="000000"/>
        </w:rPr>
        <w:t xml:space="preserve">final </w:t>
      </w:r>
      <w:r w:rsidRPr="00AF2E02">
        <w:rPr>
          <w:color w:val="000000"/>
        </w:rPr>
        <w:t>design/construction/operation phase (Phase 2), also referred to as Critical Decision (CD) 2</w:t>
      </w:r>
      <w:r w:rsidR="00DB57A1">
        <w:rPr>
          <w:color w:val="000000"/>
        </w:rPr>
        <w:t>.</w:t>
      </w:r>
      <w:r w:rsidRPr="00AF2E02">
        <w:rPr>
          <w:rStyle w:val="FootnoteReference"/>
          <w:color w:val="000000"/>
        </w:rPr>
        <w:footnoteReference w:id="24"/>
      </w:r>
      <w:r w:rsidRPr="00AF2E02">
        <w:rPr>
          <w:color w:val="000000"/>
        </w:rPr>
        <w:t xml:space="preserve">  The down-select decision will be made by DOE at the completion of the </w:t>
      </w:r>
      <w:r>
        <w:rPr>
          <w:color w:val="000000"/>
        </w:rPr>
        <w:t>24</w:t>
      </w:r>
      <w:r w:rsidRPr="00AF2E02">
        <w:rPr>
          <w:color w:val="000000"/>
        </w:rPr>
        <w:t>-month Phase 1</w:t>
      </w:r>
      <w:r>
        <w:rPr>
          <w:color w:val="000000"/>
        </w:rPr>
        <w:t xml:space="preserve"> period</w:t>
      </w:r>
      <w:r w:rsidRPr="00AF2E02">
        <w:rPr>
          <w:color w:val="000000"/>
        </w:rPr>
        <w:t xml:space="preserve">. Project performance in Phase 1, as well as portfolio balance, </w:t>
      </w:r>
      <w:r>
        <w:rPr>
          <w:color w:val="000000"/>
        </w:rPr>
        <w:t>availab</w:t>
      </w:r>
      <w:r w:rsidR="005F5EF1">
        <w:rPr>
          <w:color w:val="000000"/>
        </w:rPr>
        <w:t>ility</w:t>
      </w:r>
      <w:r w:rsidRPr="00AF2E02">
        <w:rPr>
          <w:color w:val="000000"/>
        </w:rPr>
        <w:t xml:space="preserve"> of funds, and other factors, will be considered in the </w:t>
      </w:r>
      <w:r>
        <w:rPr>
          <w:color w:val="000000"/>
        </w:rPr>
        <w:t>down-select</w:t>
      </w:r>
      <w:r w:rsidRPr="00AF2E02">
        <w:rPr>
          <w:color w:val="000000"/>
        </w:rPr>
        <w:t xml:space="preserve"> process.  </w:t>
      </w:r>
      <w:r>
        <w:rPr>
          <w:color w:val="000000"/>
        </w:rPr>
        <w:t xml:space="preserve">Please see Appendix I – Preliminary Design Requirements for a list of the criteria upon which EERE will evaluate Phase 1 projects.  </w:t>
      </w:r>
      <w:r w:rsidRPr="00AF2E02">
        <w:rPr>
          <w:color w:val="000000"/>
        </w:rPr>
        <w:t xml:space="preserve">Only projects selected by DOE as a result of the down-select process will be eligible to receive additional </w:t>
      </w:r>
      <w:r>
        <w:rPr>
          <w:color w:val="000000"/>
        </w:rPr>
        <w:t xml:space="preserve">Phase 2 </w:t>
      </w:r>
      <w:r w:rsidRPr="00AF2E02">
        <w:rPr>
          <w:color w:val="000000"/>
        </w:rPr>
        <w:t xml:space="preserve">funding, subject to </w:t>
      </w:r>
      <w:r w:rsidR="006452C5">
        <w:rPr>
          <w:color w:val="000000"/>
        </w:rPr>
        <w:t xml:space="preserve">future appropriations and </w:t>
      </w:r>
      <w:r w:rsidRPr="00AF2E02">
        <w:rPr>
          <w:color w:val="000000"/>
        </w:rPr>
        <w:t>the availability</w:t>
      </w:r>
      <w:r>
        <w:rPr>
          <w:color w:val="000000"/>
        </w:rPr>
        <w:t xml:space="preserve"> </w:t>
      </w:r>
      <w:r w:rsidRPr="00AF2E02">
        <w:rPr>
          <w:color w:val="000000"/>
        </w:rPr>
        <w:t xml:space="preserve">of </w:t>
      </w:r>
      <w:r w:rsidR="00F9206A">
        <w:rPr>
          <w:color w:val="000000"/>
        </w:rPr>
        <w:t>funds</w:t>
      </w:r>
      <w:r w:rsidRPr="00AF2E02">
        <w:rPr>
          <w:color w:val="000000"/>
        </w:rPr>
        <w:t xml:space="preserve">, and be permitted to proceed into the </w:t>
      </w:r>
      <w:r>
        <w:rPr>
          <w:color w:val="000000"/>
        </w:rPr>
        <w:t>36</w:t>
      </w:r>
      <w:r w:rsidRPr="00AF2E02">
        <w:rPr>
          <w:color w:val="000000"/>
        </w:rPr>
        <w:t>-</w:t>
      </w:r>
      <w:r w:rsidR="00F9206A">
        <w:rPr>
          <w:color w:val="000000"/>
        </w:rPr>
        <w:t>60</w:t>
      </w:r>
      <w:r w:rsidRPr="00AF2E02">
        <w:rPr>
          <w:color w:val="000000"/>
        </w:rPr>
        <w:t xml:space="preserve"> month design/construction/operation phase (Phase 2).</w:t>
      </w:r>
      <w:r>
        <w:rPr>
          <w:color w:val="000000"/>
        </w:rPr>
        <w:t xml:space="preserve">  </w:t>
      </w:r>
    </w:p>
    <w:p w14:paraId="2955230D" w14:textId="77777777" w:rsidR="00FC0DE0" w:rsidRDefault="00FC0DE0" w:rsidP="00FC0DE0">
      <w:pPr>
        <w:pStyle w:val="FOATemplateBody"/>
        <w:ind w:left="1260"/>
        <w:rPr>
          <w:color w:val="000000"/>
        </w:rPr>
      </w:pPr>
    </w:p>
    <w:p w14:paraId="1CAF2808" w14:textId="5D74D79F" w:rsidR="00271998" w:rsidRDefault="00271998" w:rsidP="008B0D95">
      <w:pPr>
        <w:pStyle w:val="Caption"/>
        <w:keepNext/>
      </w:pPr>
      <w:bookmarkStart w:id="36" w:name="_Ref170220478"/>
      <w:r>
        <w:t xml:space="preserve">Table </w:t>
      </w:r>
      <w:r>
        <w:fldChar w:fldCharType="begin"/>
      </w:r>
      <w:r>
        <w:instrText xml:space="preserve"> SEQ Table \* ARABIC </w:instrText>
      </w:r>
      <w:r>
        <w:fldChar w:fldCharType="separate"/>
      </w:r>
      <w:r w:rsidR="001B6894">
        <w:rPr>
          <w:noProof/>
        </w:rPr>
        <w:t>4</w:t>
      </w:r>
      <w:r>
        <w:fldChar w:fldCharType="end"/>
      </w:r>
      <w:bookmarkEnd w:id="36"/>
      <w:r>
        <w:t xml:space="preserve">: </w:t>
      </w:r>
      <w:r w:rsidRPr="006C019C">
        <w:t>Topic Area 2 Award Structure</w:t>
      </w:r>
      <w:r w:rsidR="00A541A2">
        <w:t xml:space="preserve"> – Preliminary Design and Phased Construction</w:t>
      </w:r>
    </w:p>
    <w:tbl>
      <w:tblPr>
        <w:tblStyle w:val="29"/>
        <w:tblW w:w="8015" w:type="dxa"/>
        <w:tblInd w:w="1250" w:type="dxa"/>
        <w:tblLayout w:type="fixed"/>
        <w:tblLook w:val="0400" w:firstRow="0" w:lastRow="0" w:firstColumn="0" w:lastColumn="0" w:noHBand="0" w:noVBand="1"/>
      </w:tblPr>
      <w:tblGrid>
        <w:gridCol w:w="2160"/>
        <w:gridCol w:w="990"/>
        <w:gridCol w:w="4865"/>
      </w:tblGrid>
      <w:tr w:rsidR="00FC0DE0" w:rsidRPr="00AF2E02" w14:paraId="6225E851" w14:textId="77777777" w:rsidTr="00634646">
        <w:trPr>
          <w:trHeight w:val="300"/>
        </w:trPr>
        <w:tc>
          <w:tcPr>
            <w:tcW w:w="216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D999B91"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Phases</w:t>
            </w:r>
          </w:p>
        </w:tc>
        <w:tc>
          <w:tcPr>
            <w:tcW w:w="990" w:type="dxa"/>
            <w:tcBorders>
              <w:top w:val="single" w:sz="8" w:space="0" w:color="000000"/>
              <w:left w:val="nil"/>
              <w:bottom w:val="single" w:sz="8" w:space="0" w:color="000000"/>
              <w:right w:val="single" w:sz="4" w:space="0" w:color="000000"/>
            </w:tcBorders>
            <w:shd w:val="clear" w:color="auto" w:fill="auto"/>
            <w:vAlign w:val="center"/>
          </w:tcPr>
          <w:p w14:paraId="58F1B5BC"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Budget Periods</w:t>
            </w:r>
          </w:p>
        </w:tc>
        <w:tc>
          <w:tcPr>
            <w:tcW w:w="4865" w:type="dxa"/>
            <w:tcBorders>
              <w:top w:val="single" w:sz="8" w:space="0" w:color="000000"/>
              <w:left w:val="nil"/>
              <w:bottom w:val="single" w:sz="8" w:space="0" w:color="000000"/>
              <w:right w:val="single" w:sz="8" w:space="0" w:color="000000"/>
            </w:tcBorders>
            <w:shd w:val="clear" w:color="auto" w:fill="auto"/>
            <w:vAlign w:val="center"/>
          </w:tcPr>
          <w:p w14:paraId="4BD5BFA5" w14:textId="77777777" w:rsidR="00FC0DE0" w:rsidRPr="00AF2E02" w:rsidRDefault="00FC0DE0" w:rsidP="00634646">
            <w:pPr>
              <w:rPr>
                <w:rFonts w:ascii="Calibri" w:hAnsi="Calibri"/>
                <w:b/>
                <w:color w:val="000000"/>
                <w:sz w:val="22"/>
                <w:szCs w:val="22"/>
              </w:rPr>
            </w:pPr>
            <w:r w:rsidRPr="00AF2E02">
              <w:rPr>
                <w:rFonts w:ascii="Calibri" w:hAnsi="Calibri"/>
                <w:b/>
                <w:color w:val="000000"/>
                <w:sz w:val="22"/>
                <w:szCs w:val="22"/>
              </w:rPr>
              <w:t>Scope</w:t>
            </w:r>
          </w:p>
        </w:tc>
      </w:tr>
      <w:tr w:rsidR="00FC0DE0" w:rsidRPr="00AF2E02" w14:paraId="654DC3F7" w14:textId="77777777" w:rsidTr="00634646">
        <w:trPr>
          <w:trHeight w:val="430"/>
        </w:trPr>
        <w:tc>
          <w:tcPr>
            <w:tcW w:w="2160"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14:paraId="634E6149" w14:textId="77777777" w:rsidR="00FC0DE0" w:rsidRDefault="00FC0DE0" w:rsidP="00634646">
            <w:pPr>
              <w:jc w:val="center"/>
              <w:rPr>
                <w:rFonts w:ascii="Calibri" w:hAnsi="Calibri"/>
                <w:color w:val="000000"/>
                <w:sz w:val="22"/>
                <w:szCs w:val="22"/>
              </w:rPr>
            </w:pPr>
            <w:r w:rsidRPr="00AF2E02">
              <w:rPr>
                <w:rFonts w:ascii="Calibri" w:hAnsi="Calibri"/>
                <w:color w:val="000000"/>
                <w:sz w:val="22"/>
                <w:szCs w:val="22"/>
              </w:rPr>
              <w:t>Phase 1 – Verification &amp; Design Basis Definition</w:t>
            </w:r>
            <w:r w:rsidRPr="00AF2E02">
              <w:rPr>
                <w:rFonts w:ascii="Calibri" w:hAnsi="Calibri"/>
                <w:color w:val="000000"/>
                <w:sz w:val="22"/>
                <w:szCs w:val="22"/>
              </w:rPr>
              <w:br/>
              <w:t>(12</w:t>
            </w:r>
            <w:r>
              <w:rPr>
                <w:rFonts w:ascii="Calibri" w:hAnsi="Calibri"/>
                <w:color w:val="000000"/>
                <w:sz w:val="22"/>
                <w:szCs w:val="22"/>
              </w:rPr>
              <w:t xml:space="preserve"> - 24</w:t>
            </w:r>
            <w:r w:rsidRPr="00AF2E02">
              <w:rPr>
                <w:rFonts w:ascii="Calibri" w:hAnsi="Calibri"/>
                <w:color w:val="000000"/>
                <w:sz w:val="22"/>
                <w:szCs w:val="22"/>
              </w:rPr>
              <w:t xml:space="preserve"> Months)</w:t>
            </w:r>
          </w:p>
          <w:p w14:paraId="50F72302" w14:textId="77777777" w:rsidR="00FC0DE0" w:rsidRPr="00AF2E02" w:rsidRDefault="00FC0DE0" w:rsidP="00634646">
            <w:pPr>
              <w:jc w:val="center"/>
              <w:rPr>
                <w:rFonts w:ascii="Calibri" w:hAnsi="Calibri"/>
                <w:color w:val="000000"/>
                <w:sz w:val="22"/>
                <w:szCs w:val="22"/>
              </w:rPr>
            </w:pPr>
          </w:p>
        </w:tc>
        <w:tc>
          <w:tcPr>
            <w:tcW w:w="990" w:type="dxa"/>
            <w:tcBorders>
              <w:top w:val="single" w:sz="8" w:space="0" w:color="000000"/>
              <w:left w:val="nil"/>
              <w:bottom w:val="single" w:sz="4" w:space="0" w:color="000000"/>
              <w:right w:val="single" w:sz="4" w:space="0" w:color="000000"/>
            </w:tcBorders>
            <w:shd w:val="clear" w:color="auto" w:fill="auto"/>
            <w:vAlign w:val="center"/>
          </w:tcPr>
          <w:p w14:paraId="3406D660"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BP1</w:t>
            </w:r>
          </w:p>
        </w:tc>
        <w:tc>
          <w:tcPr>
            <w:tcW w:w="4865" w:type="dxa"/>
            <w:tcBorders>
              <w:top w:val="single" w:sz="8" w:space="0" w:color="000000"/>
              <w:left w:val="nil"/>
              <w:bottom w:val="single" w:sz="4" w:space="0" w:color="000000"/>
              <w:right w:val="single" w:sz="8" w:space="0" w:color="000000"/>
            </w:tcBorders>
            <w:shd w:val="clear" w:color="auto" w:fill="auto"/>
            <w:vAlign w:val="center"/>
          </w:tcPr>
          <w:p w14:paraId="055AE1C4"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 xml:space="preserve">Verification of baseline data presented in application </w:t>
            </w:r>
          </w:p>
          <w:p w14:paraId="0A93DB39" w14:textId="77777777" w:rsidR="00FC0DE0" w:rsidRPr="00AF2E02" w:rsidRDefault="00FC0DE0" w:rsidP="00634646">
            <w:pPr>
              <w:rPr>
                <w:rFonts w:ascii="Calibri" w:hAnsi="Calibri"/>
                <w:color w:val="000000"/>
                <w:sz w:val="22"/>
                <w:szCs w:val="22"/>
              </w:rPr>
            </w:pPr>
          </w:p>
        </w:tc>
      </w:tr>
      <w:tr w:rsidR="00FC0DE0" w:rsidRPr="00AF2E02" w14:paraId="1885006D" w14:textId="77777777" w:rsidTr="00634646">
        <w:trPr>
          <w:trHeight w:val="431"/>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7363C5A6"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4" w:space="0" w:color="000000"/>
            </w:tcBorders>
            <w:shd w:val="clear" w:color="auto" w:fill="auto"/>
            <w:vAlign w:val="center"/>
          </w:tcPr>
          <w:p w14:paraId="55A27939" w14:textId="77777777" w:rsidR="00FC0DE0" w:rsidRPr="00AF2E02" w:rsidRDefault="00FC0DE0" w:rsidP="00634646">
            <w:pPr>
              <w:jc w:val="center"/>
              <w:rPr>
                <w:rFonts w:ascii="Calibri" w:hAnsi="Calibri"/>
                <w:b/>
                <w:color w:val="000000"/>
                <w:sz w:val="22"/>
                <w:szCs w:val="22"/>
              </w:rPr>
            </w:pPr>
            <w:r w:rsidRPr="00AF2E02">
              <w:rPr>
                <w:rFonts w:ascii="Calibri" w:hAnsi="Calibri"/>
                <w:b/>
                <w:color w:val="000000"/>
                <w:sz w:val="22"/>
                <w:szCs w:val="22"/>
              </w:rPr>
              <w:t>Go/No-Go</w:t>
            </w:r>
          </w:p>
          <w:p w14:paraId="55116CBA"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Review of Verification outcome</w:t>
            </w:r>
          </w:p>
        </w:tc>
      </w:tr>
      <w:tr w:rsidR="00FC0DE0" w:rsidRPr="00AF2E02" w14:paraId="2B9993AA" w14:textId="77777777" w:rsidTr="00634646">
        <w:trPr>
          <w:trHeight w:val="708"/>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416E1BCE"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single" w:sz="4" w:space="0" w:color="000000"/>
              <w:left w:val="nil"/>
              <w:bottom w:val="single" w:sz="4" w:space="0" w:color="000000"/>
              <w:right w:val="single" w:sz="4" w:space="0" w:color="000000"/>
            </w:tcBorders>
            <w:shd w:val="clear" w:color="auto" w:fill="auto"/>
            <w:vAlign w:val="center"/>
          </w:tcPr>
          <w:p w14:paraId="382D8F3E"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BP2</w:t>
            </w:r>
          </w:p>
        </w:tc>
        <w:tc>
          <w:tcPr>
            <w:tcW w:w="4865" w:type="dxa"/>
            <w:tcBorders>
              <w:top w:val="single" w:sz="4" w:space="0" w:color="000000"/>
              <w:left w:val="nil"/>
              <w:bottom w:val="single" w:sz="4" w:space="0" w:color="000000"/>
              <w:right w:val="single" w:sz="8" w:space="0" w:color="000000"/>
            </w:tcBorders>
            <w:shd w:val="clear" w:color="auto" w:fill="auto"/>
            <w:vAlign w:val="center"/>
          </w:tcPr>
          <w:p w14:paraId="46DD1C75"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Design Basis Definition</w:t>
            </w:r>
          </w:p>
        </w:tc>
      </w:tr>
      <w:tr w:rsidR="00FC0DE0" w:rsidRPr="00AF2E02" w14:paraId="70ABA634" w14:textId="77777777" w:rsidTr="00634646">
        <w:trPr>
          <w:trHeight w:val="628"/>
        </w:trPr>
        <w:tc>
          <w:tcPr>
            <w:tcW w:w="801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DC2AE75" w14:textId="27C6ED19" w:rsidR="00FC0DE0" w:rsidRPr="00AF2E02" w:rsidRDefault="00FC0DE0" w:rsidP="00634646">
            <w:pPr>
              <w:jc w:val="center"/>
              <w:rPr>
                <w:rFonts w:ascii="Calibri" w:hAnsi="Calibri"/>
                <w:color w:val="000000"/>
                <w:sz w:val="22"/>
                <w:szCs w:val="22"/>
              </w:rPr>
            </w:pPr>
            <w:r>
              <w:rPr>
                <w:rFonts w:ascii="Calibri" w:hAnsi="Calibri"/>
                <w:b/>
                <w:color w:val="000000"/>
                <w:sz w:val="22"/>
                <w:szCs w:val="22"/>
              </w:rPr>
              <w:t>Down-select</w:t>
            </w:r>
            <w:r w:rsidRPr="00AF2E02">
              <w:rPr>
                <w:rFonts w:ascii="Calibri" w:hAnsi="Calibri"/>
                <w:b/>
                <w:color w:val="000000"/>
                <w:sz w:val="22"/>
                <w:szCs w:val="22"/>
              </w:rPr>
              <w:t xml:space="preserve"> (CD-2)</w:t>
            </w:r>
            <w:r w:rsidRPr="00AF2E02">
              <w:rPr>
                <w:rFonts w:ascii="Calibri" w:hAnsi="Calibri"/>
                <w:color w:val="000000"/>
                <w:sz w:val="22"/>
                <w:szCs w:val="22"/>
              </w:rPr>
              <w:br/>
              <w:t>Approve project scope and begin design (Subject to future appropriations</w:t>
            </w:r>
            <w:r w:rsidR="00A541A2">
              <w:rPr>
                <w:rFonts w:ascii="Calibri" w:hAnsi="Calibri"/>
                <w:color w:val="000000"/>
                <w:sz w:val="22"/>
                <w:szCs w:val="22"/>
              </w:rPr>
              <w:t xml:space="preserve"> and availability of funds</w:t>
            </w:r>
            <w:r w:rsidRPr="00AF2E02">
              <w:rPr>
                <w:rFonts w:ascii="Calibri" w:hAnsi="Calibri"/>
                <w:color w:val="000000"/>
                <w:sz w:val="22"/>
                <w:szCs w:val="22"/>
              </w:rPr>
              <w:t xml:space="preserve">) </w:t>
            </w:r>
          </w:p>
        </w:tc>
      </w:tr>
      <w:tr w:rsidR="00FC0DE0" w:rsidRPr="00AF2E02" w14:paraId="691B485E" w14:textId="77777777" w:rsidTr="00634646">
        <w:trPr>
          <w:trHeight w:val="600"/>
        </w:trPr>
        <w:tc>
          <w:tcPr>
            <w:tcW w:w="2160" w:type="dxa"/>
            <w:vMerge w:val="restart"/>
            <w:tcBorders>
              <w:top w:val="nil"/>
              <w:left w:val="single" w:sz="8" w:space="0" w:color="000000"/>
              <w:bottom w:val="single" w:sz="8" w:space="0" w:color="000000"/>
              <w:right w:val="single" w:sz="4" w:space="0" w:color="000000"/>
            </w:tcBorders>
            <w:shd w:val="clear" w:color="auto" w:fill="auto"/>
            <w:vAlign w:val="center"/>
          </w:tcPr>
          <w:p w14:paraId="041401B8" w14:textId="77777777" w:rsidR="00FC0DE0" w:rsidRPr="00D85084" w:rsidRDefault="00FC0DE0" w:rsidP="00634646">
            <w:pPr>
              <w:jc w:val="center"/>
              <w:rPr>
                <w:rFonts w:ascii="Calibri" w:hAnsi="Calibri"/>
                <w:color w:val="000000"/>
                <w:sz w:val="22"/>
                <w:szCs w:val="22"/>
              </w:rPr>
            </w:pPr>
            <w:r w:rsidRPr="00D85084">
              <w:rPr>
                <w:rFonts w:ascii="Calibri" w:hAnsi="Calibri"/>
                <w:color w:val="000000"/>
                <w:sz w:val="22"/>
                <w:szCs w:val="22"/>
              </w:rPr>
              <w:t>Phase 2 – Final Design, Construction, Operation</w:t>
            </w:r>
            <w:r w:rsidRPr="00D85084">
              <w:rPr>
                <w:rFonts w:ascii="Calibri" w:hAnsi="Calibri"/>
                <w:color w:val="000000"/>
                <w:sz w:val="22"/>
                <w:szCs w:val="22"/>
              </w:rPr>
              <w:br/>
              <w:t>(</w:t>
            </w:r>
            <w:r>
              <w:rPr>
                <w:rFonts w:ascii="Calibri" w:hAnsi="Calibri"/>
                <w:color w:val="000000"/>
                <w:sz w:val="22"/>
                <w:szCs w:val="22"/>
              </w:rPr>
              <w:t>36</w:t>
            </w:r>
            <w:r w:rsidRPr="00D85084">
              <w:rPr>
                <w:rFonts w:ascii="Calibri" w:hAnsi="Calibri"/>
                <w:color w:val="000000"/>
                <w:sz w:val="22"/>
                <w:szCs w:val="22"/>
              </w:rPr>
              <w:t>-</w:t>
            </w:r>
            <w:r>
              <w:rPr>
                <w:rFonts w:ascii="Calibri" w:hAnsi="Calibri"/>
                <w:color w:val="000000"/>
                <w:sz w:val="22"/>
                <w:szCs w:val="22"/>
              </w:rPr>
              <w:t>60</w:t>
            </w:r>
            <w:r w:rsidRPr="00D85084">
              <w:rPr>
                <w:rFonts w:ascii="Calibri" w:hAnsi="Calibri"/>
                <w:color w:val="000000"/>
                <w:sz w:val="22"/>
                <w:szCs w:val="22"/>
              </w:rPr>
              <w:t xml:space="preserve"> Months)</w:t>
            </w:r>
          </w:p>
          <w:p w14:paraId="0E92A7D2" w14:textId="77777777" w:rsidR="00FC0DE0" w:rsidRPr="00D85084" w:rsidRDefault="00FC0DE0" w:rsidP="00634646">
            <w:pPr>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2B3CCAB4" w14:textId="77777777" w:rsidR="00FC0DE0" w:rsidRPr="00D85084" w:rsidRDefault="00FC0DE0" w:rsidP="00634646">
            <w:pPr>
              <w:jc w:val="center"/>
              <w:rPr>
                <w:rFonts w:ascii="Calibri" w:hAnsi="Calibri"/>
                <w:color w:val="000000"/>
                <w:sz w:val="22"/>
                <w:szCs w:val="22"/>
              </w:rPr>
            </w:pPr>
            <w:r w:rsidRPr="00D85084">
              <w:rPr>
                <w:rFonts w:ascii="Calibri" w:hAnsi="Calibri"/>
                <w:color w:val="000000"/>
                <w:sz w:val="22"/>
                <w:szCs w:val="22"/>
              </w:rPr>
              <w:t>BP3</w:t>
            </w:r>
          </w:p>
        </w:tc>
        <w:tc>
          <w:tcPr>
            <w:tcW w:w="4865" w:type="dxa"/>
            <w:tcBorders>
              <w:top w:val="nil"/>
              <w:left w:val="nil"/>
              <w:bottom w:val="single" w:sz="4" w:space="0" w:color="000000"/>
              <w:right w:val="single" w:sz="8" w:space="0" w:color="000000"/>
            </w:tcBorders>
            <w:shd w:val="clear" w:color="auto" w:fill="auto"/>
            <w:vAlign w:val="center"/>
          </w:tcPr>
          <w:p w14:paraId="563923B2" w14:textId="77777777" w:rsidR="00FC0DE0" w:rsidRPr="00D85084" w:rsidRDefault="00FC0DE0" w:rsidP="00634646">
            <w:pPr>
              <w:jc w:val="center"/>
              <w:rPr>
                <w:rFonts w:ascii="Calibri" w:hAnsi="Calibri"/>
                <w:color w:val="000000"/>
                <w:sz w:val="22"/>
                <w:szCs w:val="22"/>
              </w:rPr>
            </w:pPr>
            <w:r w:rsidRPr="00D85084">
              <w:rPr>
                <w:rFonts w:ascii="Calibri" w:hAnsi="Calibri"/>
                <w:color w:val="000000"/>
                <w:sz w:val="22"/>
                <w:szCs w:val="22"/>
              </w:rPr>
              <w:t>Project Definition - preliminary planning and design</w:t>
            </w:r>
          </w:p>
        </w:tc>
      </w:tr>
      <w:tr w:rsidR="00FC0DE0" w:rsidRPr="00AF2E02" w14:paraId="474EA485" w14:textId="77777777" w:rsidTr="00634646">
        <w:trPr>
          <w:trHeight w:val="61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56B41CC8" w14:textId="77777777" w:rsidR="00FC0DE0" w:rsidRPr="00D85084"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56C10E4E" w14:textId="77777777" w:rsidR="00FC0DE0" w:rsidRPr="00D85084" w:rsidRDefault="00FC0DE0" w:rsidP="00634646">
            <w:pPr>
              <w:jc w:val="center"/>
              <w:rPr>
                <w:rFonts w:ascii="Calibri" w:hAnsi="Calibri"/>
                <w:color w:val="000000"/>
                <w:sz w:val="22"/>
                <w:szCs w:val="22"/>
              </w:rPr>
            </w:pPr>
            <w:r w:rsidRPr="00D85084">
              <w:rPr>
                <w:rFonts w:ascii="Calibri" w:hAnsi="Calibri"/>
                <w:b/>
                <w:color w:val="000000"/>
                <w:sz w:val="22"/>
                <w:szCs w:val="22"/>
              </w:rPr>
              <w:t>Go/No-Go (CD-3)</w:t>
            </w:r>
            <w:r w:rsidRPr="00D85084">
              <w:rPr>
                <w:rFonts w:ascii="Calibri" w:hAnsi="Calibri"/>
                <w:color w:val="000000"/>
                <w:sz w:val="22"/>
                <w:szCs w:val="22"/>
              </w:rPr>
              <w:br/>
              <w:t>Review to approve start of construction</w:t>
            </w:r>
          </w:p>
        </w:tc>
      </w:tr>
      <w:tr w:rsidR="00FC0DE0" w:rsidRPr="00AF2E02" w14:paraId="4E87F9D6" w14:textId="77777777" w:rsidTr="00634646">
        <w:trPr>
          <w:trHeight w:val="288"/>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2F0A6885" w14:textId="77777777" w:rsidR="00FC0DE0" w:rsidRPr="00D85084"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3D5886DD" w14:textId="77777777" w:rsidR="00FC0DE0" w:rsidRPr="00D85084" w:rsidRDefault="00FC0DE0" w:rsidP="00634646">
            <w:pPr>
              <w:jc w:val="center"/>
              <w:rPr>
                <w:rFonts w:ascii="Calibri" w:hAnsi="Calibri"/>
                <w:color w:val="000000"/>
                <w:sz w:val="22"/>
                <w:szCs w:val="22"/>
              </w:rPr>
            </w:pPr>
            <w:r w:rsidRPr="00D85084">
              <w:rPr>
                <w:rFonts w:ascii="Calibri" w:hAnsi="Calibri"/>
                <w:color w:val="000000"/>
                <w:sz w:val="22"/>
                <w:szCs w:val="22"/>
              </w:rPr>
              <w:t>BP4</w:t>
            </w:r>
          </w:p>
        </w:tc>
        <w:tc>
          <w:tcPr>
            <w:tcW w:w="4865" w:type="dxa"/>
            <w:tcBorders>
              <w:top w:val="nil"/>
              <w:left w:val="nil"/>
              <w:bottom w:val="single" w:sz="4" w:space="0" w:color="000000"/>
              <w:right w:val="single" w:sz="8" w:space="0" w:color="000000"/>
            </w:tcBorders>
            <w:shd w:val="clear" w:color="auto" w:fill="auto"/>
            <w:vAlign w:val="center"/>
          </w:tcPr>
          <w:p w14:paraId="083AB03E" w14:textId="77777777" w:rsidR="00FC0DE0" w:rsidRPr="00D85084" w:rsidRDefault="00FC0DE0" w:rsidP="00634646">
            <w:pPr>
              <w:jc w:val="center"/>
              <w:rPr>
                <w:rFonts w:ascii="Calibri" w:hAnsi="Calibri"/>
                <w:color w:val="000000"/>
                <w:sz w:val="22"/>
                <w:szCs w:val="22"/>
              </w:rPr>
            </w:pPr>
            <w:r w:rsidRPr="00D85084">
              <w:rPr>
                <w:rFonts w:ascii="Calibri" w:hAnsi="Calibri"/>
                <w:color w:val="000000"/>
                <w:sz w:val="22"/>
                <w:szCs w:val="22"/>
              </w:rPr>
              <w:t>Project Execution - complete final design and construction</w:t>
            </w:r>
          </w:p>
        </w:tc>
      </w:tr>
      <w:tr w:rsidR="00FC0DE0" w:rsidRPr="00AF2E02" w14:paraId="43DE61A3" w14:textId="77777777" w:rsidTr="00634646">
        <w:trPr>
          <w:trHeight w:val="583"/>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5188733D" w14:textId="77777777" w:rsidR="00FC0DE0" w:rsidRPr="00D85084"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7AB9C598" w14:textId="77777777" w:rsidR="00FC0DE0" w:rsidRPr="00D85084" w:rsidRDefault="00FC0DE0" w:rsidP="00634646">
            <w:pPr>
              <w:jc w:val="center"/>
              <w:rPr>
                <w:rFonts w:ascii="Calibri" w:hAnsi="Calibri"/>
                <w:color w:val="000000"/>
                <w:sz w:val="22"/>
                <w:szCs w:val="22"/>
              </w:rPr>
            </w:pPr>
            <w:r w:rsidRPr="00D85084">
              <w:rPr>
                <w:rFonts w:ascii="Calibri" w:hAnsi="Calibri"/>
                <w:b/>
                <w:color w:val="000000"/>
                <w:sz w:val="22"/>
                <w:szCs w:val="22"/>
              </w:rPr>
              <w:t>Go/No-Go (CD-4)</w:t>
            </w:r>
            <w:r w:rsidRPr="00D85084">
              <w:rPr>
                <w:rFonts w:ascii="Calibri" w:hAnsi="Calibri"/>
                <w:color w:val="000000"/>
                <w:sz w:val="22"/>
                <w:szCs w:val="22"/>
              </w:rPr>
              <w:br/>
              <w:t>Performance test to verify readiness to begin operations</w:t>
            </w:r>
          </w:p>
        </w:tc>
      </w:tr>
      <w:tr w:rsidR="00FC0DE0" w:rsidRPr="00AF2E02" w14:paraId="17CE0DAA" w14:textId="77777777" w:rsidTr="00634646">
        <w:trPr>
          <w:trHeight w:val="30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45548926" w14:textId="77777777" w:rsidR="00FC0DE0" w:rsidRPr="00AF2E02" w:rsidRDefault="00FC0DE0" w:rsidP="00634646">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8" w:space="0" w:color="000000"/>
              <w:right w:val="single" w:sz="4" w:space="0" w:color="000000"/>
            </w:tcBorders>
            <w:shd w:val="clear" w:color="auto" w:fill="auto"/>
            <w:vAlign w:val="center"/>
          </w:tcPr>
          <w:p w14:paraId="571E55F6"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BP5</w:t>
            </w:r>
          </w:p>
        </w:tc>
        <w:tc>
          <w:tcPr>
            <w:tcW w:w="4865" w:type="dxa"/>
            <w:tcBorders>
              <w:top w:val="nil"/>
              <w:left w:val="nil"/>
              <w:bottom w:val="single" w:sz="8" w:space="0" w:color="000000"/>
              <w:right w:val="single" w:sz="8" w:space="0" w:color="000000"/>
            </w:tcBorders>
            <w:shd w:val="clear" w:color="auto" w:fill="auto"/>
            <w:vAlign w:val="center"/>
          </w:tcPr>
          <w:p w14:paraId="41D4B26E" w14:textId="77777777" w:rsidR="00FC0DE0" w:rsidRPr="00AF2E02" w:rsidRDefault="00FC0DE0" w:rsidP="00634646">
            <w:pPr>
              <w:jc w:val="center"/>
              <w:rPr>
                <w:rFonts w:ascii="Calibri" w:hAnsi="Calibri"/>
                <w:color w:val="000000"/>
                <w:sz w:val="22"/>
                <w:szCs w:val="22"/>
              </w:rPr>
            </w:pPr>
            <w:r w:rsidRPr="00AF2E02">
              <w:rPr>
                <w:rFonts w:ascii="Calibri" w:hAnsi="Calibri"/>
                <w:color w:val="000000"/>
                <w:sz w:val="22"/>
                <w:szCs w:val="22"/>
              </w:rPr>
              <w:t>Operations</w:t>
            </w:r>
          </w:p>
        </w:tc>
      </w:tr>
    </w:tbl>
    <w:p w14:paraId="56EEF538" w14:textId="77777777" w:rsidR="00FC0DE0" w:rsidRDefault="00FC0DE0" w:rsidP="00FC0DE0">
      <w:pPr>
        <w:pStyle w:val="FOATemplateBody"/>
        <w:ind w:left="1260"/>
        <w:rPr>
          <w:color w:val="000000"/>
        </w:rPr>
      </w:pPr>
    </w:p>
    <w:p w14:paraId="2842439B" w14:textId="77777777" w:rsidR="00FC0DE0" w:rsidRDefault="00FC0DE0" w:rsidP="00FC0DE0">
      <w:pPr>
        <w:pStyle w:val="FOATemplateBody"/>
        <w:ind w:left="1260"/>
        <w:rPr>
          <w:color w:val="000000"/>
        </w:rPr>
      </w:pPr>
    </w:p>
    <w:p w14:paraId="1128581E" w14:textId="50F4F27C" w:rsidR="00FC0DE0" w:rsidRPr="00240059" w:rsidRDefault="00FC0DE0" w:rsidP="00FC0DE0">
      <w:pPr>
        <w:ind w:left="1260"/>
        <w:rPr>
          <w:rFonts w:ascii="Calibri" w:hAnsi="Calibri"/>
          <w:color w:val="000000"/>
        </w:rPr>
      </w:pPr>
      <w:r>
        <w:t>Applications</w:t>
      </w:r>
      <w:r w:rsidRPr="000867A8">
        <w:t xml:space="preserve"> should consider Phase 2 (</w:t>
      </w:r>
      <w:r>
        <w:t xml:space="preserve">Final </w:t>
      </w:r>
      <w:r w:rsidRPr="000867A8">
        <w:t xml:space="preserve">Design, Construction, Operation) projects on </w:t>
      </w:r>
      <w:r w:rsidRPr="0039543D">
        <w:t>the order of $100,000,000</w:t>
      </w:r>
      <w:r w:rsidRPr="000867A8">
        <w:t xml:space="preserve"> of federal funds plus a minimum of 50% </w:t>
      </w:r>
      <w:r w:rsidR="00FA5BE7">
        <w:lastRenderedPageBreak/>
        <w:t>a</w:t>
      </w:r>
      <w:r>
        <w:t>pplicant</w:t>
      </w:r>
      <w:r w:rsidRPr="000867A8">
        <w:t xml:space="preserve"> cost-share when developing the</w:t>
      </w:r>
      <w:r w:rsidR="009D2579">
        <w:t>ir</w:t>
      </w:r>
      <w:r w:rsidRPr="000867A8">
        <w:t xml:space="preserve"> Phase 1 </w:t>
      </w:r>
      <w:r>
        <w:t>application</w:t>
      </w:r>
      <w:r w:rsidRPr="000867A8">
        <w:t xml:space="preserve">s. </w:t>
      </w:r>
      <w:r w:rsidRPr="008F610F">
        <w:t>Only Phase 1 funds will be obligated at time of initial award.</w:t>
      </w:r>
      <w:r w:rsidRPr="005B52F3">
        <w:rPr>
          <w:b/>
          <w:bCs/>
        </w:rPr>
        <w:t xml:space="preserve"> Selection for Phase 1 award does not guarantee a Phase 2 award.  Phase 2 funds are subject to future appropriations and availability of funds, which may be obligated to successful Phase 2 awards </w:t>
      </w:r>
      <w:r>
        <w:rPr>
          <w:b/>
          <w:bCs/>
        </w:rPr>
        <w:t>in the event that</w:t>
      </w:r>
      <w:r w:rsidRPr="005B52F3">
        <w:rPr>
          <w:b/>
          <w:bCs/>
        </w:rPr>
        <w:t xml:space="preserve"> a down-select occurs (see section </w:t>
      </w:r>
      <w:r w:rsidRPr="00D85084">
        <w:rPr>
          <w:b/>
          <w:bCs/>
        </w:rPr>
        <w:t>VI.C</w:t>
      </w:r>
      <w:r w:rsidRPr="005B52F3">
        <w:rPr>
          <w:b/>
          <w:bCs/>
        </w:rPr>
        <w:t>.).</w:t>
      </w:r>
      <w:r w:rsidRPr="002C0058">
        <w:t xml:space="preserve"> </w:t>
      </w:r>
      <w:r w:rsidRPr="002C0058">
        <w:rPr>
          <w:color w:val="000000"/>
        </w:rPr>
        <w:t xml:space="preserve"> </w:t>
      </w:r>
    </w:p>
    <w:p w14:paraId="53C94353" w14:textId="77777777" w:rsidR="00FC0DE0" w:rsidRDefault="00FC0DE0" w:rsidP="00FC0DE0">
      <w:pPr>
        <w:pStyle w:val="FOATemplateBody"/>
        <w:ind w:left="1260"/>
        <w:rPr>
          <w:color w:val="000000"/>
        </w:rPr>
      </w:pPr>
    </w:p>
    <w:p w14:paraId="6B28AB7B" w14:textId="77777777" w:rsidR="00FC0DE0" w:rsidRPr="00AF2E02" w:rsidRDefault="00FC0DE0" w:rsidP="00FC0DE0">
      <w:pPr>
        <w:ind w:left="1260"/>
        <w:rPr>
          <w:b/>
        </w:rPr>
      </w:pPr>
      <w:r>
        <w:rPr>
          <w:b/>
        </w:rPr>
        <w:t>Topic Area 2</w:t>
      </w:r>
      <w:r w:rsidRPr="00AF2E02">
        <w:rPr>
          <w:b/>
        </w:rPr>
        <w:t xml:space="preserve"> Phase 1 Deliverables</w:t>
      </w:r>
    </w:p>
    <w:p w14:paraId="12476FD8" w14:textId="77777777" w:rsidR="00FC0DE0" w:rsidRPr="00AF2E02" w:rsidRDefault="00FC0DE0" w:rsidP="00FC0DE0">
      <w:pPr>
        <w:ind w:left="1260"/>
      </w:pPr>
    </w:p>
    <w:p w14:paraId="599A6325" w14:textId="60075A3C" w:rsidR="00FC0DE0" w:rsidRDefault="00FC0DE0" w:rsidP="00FC0DE0">
      <w:pPr>
        <w:spacing w:line="256" w:lineRule="auto"/>
        <w:ind w:left="1260"/>
      </w:pPr>
      <w:r>
        <w:t xml:space="preserve">At the end of Phase 1, a full </w:t>
      </w:r>
      <w:r w:rsidR="00E4397B">
        <w:t xml:space="preserve">engineering </w:t>
      </w:r>
      <w:r>
        <w:t xml:space="preserve">design package </w:t>
      </w:r>
      <w:r w:rsidR="00E4397B">
        <w:t xml:space="preserve">and other project deliverables </w:t>
      </w:r>
      <w:r>
        <w:t xml:space="preserve">will be reviewed and verified by DOE and </w:t>
      </w:r>
      <w:r w:rsidR="003C2E12">
        <w:t>its</w:t>
      </w:r>
      <w:r>
        <w:t xml:space="preserve"> Independent Engineer. The full design package includes items such as </w:t>
      </w:r>
      <w:r w:rsidRPr="008015FD">
        <w:rPr>
          <w:rFonts w:ascii="Calibri" w:hAnsi="Calibri"/>
          <w:color w:val="000000"/>
        </w:rPr>
        <w:t>Process Design Basis Document</w:t>
      </w:r>
      <w:r>
        <w:rPr>
          <w:rFonts w:ascii="Calibri" w:hAnsi="Calibri"/>
          <w:color w:val="000000"/>
        </w:rPr>
        <w:t xml:space="preserve">s, </w:t>
      </w:r>
      <w:r>
        <w:t xml:space="preserve">Process Flow Diagrams, Mass and Energy Balances, budgetary estimates, and schedules. A more extensive list of design package elements is found in </w:t>
      </w:r>
      <w:r w:rsidRPr="00D85084">
        <w:t>Appendix I</w:t>
      </w:r>
      <w:r>
        <w:t xml:space="preserve">. </w:t>
      </w:r>
    </w:p>
    <w:p w14:paraId="12DA6CB1" w14:textId="77777777" w:rsidR="00FC0DE0" w:rsidRDefault="00FC0DE0" w:rsidP="00FC0DE0">
      <w:pPr>
        <w:pStyle w:val="FOATemplateBody"/>
        <w:ind w:left="1260"/>
        <w:rPr>
          <w:color w:val="000000"/>
        </w:rPr>
      </w:pPr>
    </w:p>
    <w:p w14:paraId="60888B81" w14:textId="77777777" w:rsidR="00FC0DE0" w:rsidRPr="008015FD" w:rsidRDefault="00FC0DE0" w:rsidP="00FC0DE0">
      <w:pPr>
        <w:ind w:left="1260"/>
        <w:rPr>
          <w:b/>
          <w:color w:val="000000"/>
        </w:rPr>
      </w:pPr>
      <w:r>
        <w:rPr>
          <w:b/>
          <w:color w:val="000000"/>
        </w:rPr>
        <w:t>Topic Area 2</w:t>
      </w:r>
      <w:r w:rsidRPr="008015FD">
        <w:rPr>
          <w:b/>
          <w:color w:val="000000"/>
        </w:rPr>
        <w:t xml:space="preserve"> Initial Project </w:t>
      </w:r>
      <w:sdt>
        <w:sdtPr>
          <w:tag w:val="goog_rdk_77"/>
          <w:id w:val="-354042741"/>
        </w:sdtPr>
        <w:sdtEndPr/>
        <w:sdtContent/>
      </w:sdt>
      <w:sdt>
        <w:sdtPr>
          <w:tag w:val="goog_rdk_78"/>
          <w:id w:val="-2067782829"/>
        </w:sdtPr>
        <w:sdtEndPr/>
        <w:sdtContent/>
      </w:sdt>
      <w:r w:rsidRPr="008015FD">
        <w:rPr>
          <w:b/>
          <w:color w:val="000000"/>
        </w:rPr>
        <w:t>Verification</w:t>
      </w:r>
    </w:p>
    <w:p w14:paraId="715CBF75" w14:textId="77777777" w:rsidR="00FC0DE0" w:rsidRPr="008015FD" w:rsidRDefault="00FC0DE0" w:rsidP="00FC0DE0">
      <w:pPr>
        <w:ind w:left="1260"/>
        <w:rPr>
          <w:b/>
          <w:color w:val="000000"/>
        </w:rPr>
      </w:pPr>
    </w:p>
    <w:p w14:paraId="6C265341" w14:textId="77777777" w:rsidR="009E65D2" w:rsidRDefault="00FC0DE0" w:rsidP="00FC0DE0">
      <w:pPr>
        <w:ind w:left="1260"/>
      </w:pPr>
      <w:r>
        <w:t>A</w:t>
      </w:r>
      <w:r w:rsidRPr="008015FD">
        <w:t xml:space="preserve">ll </w:t>
      </w:r>
      <w:r>
        <w:t>Topic Area 2, Phase 1</w:t>
      </w:r>
      <w:r w:rsidRPr="008015FD">
        <w:t xml:space="preserve"> projects will be subject to an initial verification effort to review their baseline and proposed targets and will result in a Go/No-Go decision </w:t>
      </w:r>
      <w:r w:rsidRPr="002C0058">
        <w:t>(</w:t>
      </w:r>
      <w:r w:rsidRPr="00B423F2">
        <w:t xml:space="preserve">see Section </w:t>
      </w:r>
      <w:r w:rsidRPr="009F23FE">
        <w:t>VI.B.xv</w:t>
      </w:r>
      <w:r w:rsidRPr="002C0058">
        <w:t xml:space="preserve">). </w:t>
      </w:r>
      <w:r w:rsidRPr="008015FD">
        <w:t xml:space="preserve">The verification will require that the </w:t>
      </w:r>
      <w:r>
        <w:t>R</w:t>
      </w:r>
      <w:r w:rsidRPr="008015FD">
        <w:t xml:space="preserve">ecipient conduct a performance test of the process proposed in its application. The performance test will require that the </w:t>
      </w:r>
      <w:r>
        <w:t>R</w:t>
      </w:r>
      <w:r w:rsidRPr="008015FD">
        <w:t>ecipient reproduce data sets commensurate to the prior</w:t>
      </w:r>
      <w:r>
        <w:t>-</w:t>
      </w:r>
      <w:r w:rsidRPr="008015FD">
        <w:t>scale work presented in the application. The prior</w:t>
      </w:r>
      <w:r>
        <w:t>-</w:t>
      </w:r>
      <w:r w:rsidRPr="008015FD">
        <w:t>scale data sets must be avai</w:t>
      </w:r>
      <w:r>
        <w:t>lab</w:t>
      </w:r>
      <w:r w:rsidRPr="008015FD">
        <w:t xml:space="preserve">le to DOE, (which may include delivery to DOE), or its representatives (such as an Independent Engineer), for review in support of the </w:t>
      </w:r>
      <w:r>
        <w:t>verification</w:t>
      </w:r>
      <w:r w:rsidRPr="008015FD">
        <w:t xml:space="preserve"> effort. The outcome of this performance test will be a primary component of the Go/No-Go decision. </w:t>
      </w:r>
      <w:r>
        <w:t>Applicant</w:t>
      </w:r>
      <w:r w:rsidRPr="008015FD">
        <w:t xml:space="preserve">s </w:t>
      </w:r>
      <w:r>
        <w:t>must</w:t>
      </w:r>
      <w:r w:rsidRPr="008015FD">
        <w:t xml:space="preserve"> include this task within their proposed scope, schedule, and budget. It is anticipated that the initial verification can take up to six months; </w:t>
      </w:r>
      <w:r>
        <w:t>Applicant</w:t>
      </w:r>
      <w:r w:rsidRPr="008015FD">
        <w:t xml:space="preserve">s must include this task in their schedule as Budget Period 1. </w:t>
      </w:r>
    </w:p>
    <w:p w14:paraId="3DA53B21" w14:textId="77777777" w:rsidR="009E65D2" w:rsidRDefault="009E65D2" w:rsidP="00FC0DE0">
      <w:pPr>
        <w:ind w:left="1260"/>
      </w:pPr>
    </w:p>
    <w:p w14:paraId="0E29E56A" w14:textId="1EC5582D" w:rsidR="00FC0DE0" w:rsidRPr="008015FD" w:rsidRDefault="009E65D2" w:rsidP="00FC0DE0">
      <w:pPr>
        <w:ind w:left="1260"/>
      </w:pPr>
      <w:r>
        <w:rPr>
          <w:b/>
          <w:bCs/>
        </w:rPr>
        <w:t xml:space="preserve">Note: </w:t>
      </w:r>
      <w:r w:rsidR="00FC0DE0">
        <w:t>Applicant</w:t>
      </w:r>
      <w:r w:rsidR="00FC0DE0" w:rsidRPr="008015FD">
        <w:t xml:space="preserve">s will be required to execute the appropriate Conflict of Interest and Non-disclosure Agreements (COI/NDA) with DOE’s representatives immediately after negotiation and execution of an award. Failure to execute the COI/NDAs in a reasonable amount of time to enable the </w:t>
      </w:r>
      <w:r w:rsidR="00FC0DE0">
        <w:t>verification</w:t>
      </w:r>
      <w:r w:rsidR="00FC0DE0" w:rsidRPr="008015FD">
        <w:t xml:space="preserve"> review will result in a ‘No-Go’ decision. Projects that receive a ‘Go’ decision at the conclusion of the initial </w:t>
      </w:r>
      <w:r w:rsidR="00FC0DE0">
        <w:t>verification</w:t>
      </w:r>
      <w:r w:rsidR="00FC0DE0" w:rsidRPr="008015FD">
        <w:t xml:space="preserve"> effort and proceed to Budget Period 2 will also be subject to a final </w:t>
      </w:r>
      <w:r w:rsidR="00FC0DE0">
        <w:t>verification</w:t>
      </w:r>
      <w:r w:rsidR="00FC0DE0" w:rsidRPr="008015FD">
        <w:t xml:space="preserve"> review as part of the down-select process prior to Phase 2. </w:t>
      </w:r>
    </w:p>
    <w:p w14:paraId="7852DB5C" w14:textId="77777777" w:rsidR="00FC0DE0" w:rsidRDefault="00FC0DE0" w:rsidP="00FC0DE0">
      <w:pPr>
        <w:ind w:left="1260"/>
      </w:pPr>
    </w:p>
    <w:p w14:paraId="1DB6600B" w14:textId="77777777" w:rsidR="00FC0DE0" w:rsidRPr="008015FD" w:rsidRDefault="00FC0DE0" w:rsidP="00FC0DE0">
      <w:pPr>
        <w:ind w:left="1260"/>
        <w:rPr>
          <w:b/>
        </w:rPr>
      </w:pPr>
      <w:r>
        <w:rPr>
          <w:b/>
        </w:rPr>
        <w:t>Topic Area 2</w:t>
      </w:r>
      <w:r w:rsidRPr="008015FD">
        <w:rPr>
          <w:b/>
        </w:rPr>
        <w:t xml:space="preserve"> National Environmental Policy Act (NEPA) Considerations</w:t>
      </w:r>
    </w:p>
    <w:p w14:paraId="788F5724" w14:textId="77777777" w:rsidR="00FC0DE0" w:rsidRPr="008015FD" w:rsidRDefault="00FC0DE0" w:rsidP="00FC0DE0">
      <w:pPr>
        <w:ind w:left="1260"/>
        <w:rPr>
          <w:b/>
        </w:rPr>
      </w:pPr>
    </w:p>
    <w:p w14:paraId="2E0EF56B" w14:textId="77777777" w:rsidR="00FC0DE0" w:rsidRPr="000106CD" w:rsidRDefault="00FC0DE0" w:rsidP="00FC0DE0">
      <w:pPr>
        <w:ind w:left="1260"/>
        <w:rPr>
          <w:szCs w:val="24"/>
        </w:rPr>
      </w:pPr>
      <w:r w:rsidRPr="000106CD">
        <w:rPr>
          <w:szCs w:val="24"/>
        </w:rPr>
        <w:t xml:space="preserve">All </w:t>
      </w:r>
      <w:r>
        <w:rPr>
          <w:szCs w:val="24"/>
        </w:rPr>
        <w:t>Topic Area 2</w:t>
      </w:r>
      <w:r w:rsidRPr="000106CD">
        <w:rPr>
          <w:szCs w:val="24"/>
        </w:rPr>
        <w:t xml:space="preserve"> project activities will be subject to NEPA review.  Applicants must account for NEPA related efforts in the project scope, schedule, and budget.  Phase 1 of each award will be limited in scope, as it will focus only on project development and design activities related to future pilot</w:t>
      </w:r>
      <w:r>
        <w:rPr>
          <w:szCs w:val="24"/>
        </w:rPr>
        <w:t>- or demonstration-</w:t>
      </w:r>
      <w:r w:rsidRPr="000106CD">
        <w:rPr>
          <w:szCs w:val="24"/>
        </w:rPr>
        <w:t xml:space="preserve">scale </w:t>
      </w:r>
      <w:r w:rsidRPr="000106CD">
        <w:rPr>
          <w:szCs w:val="24"/>
        </w:rPr>
        <w:lastRenderedPageBreak/>
        <w:t xml:space="preserve">integrated biorefineries. Under Phase 1, limited modifications to existing facilities to complete the prior scale data set may be allowed; construction of new facilities will not be allowed.  </w:t>
      </w:r>
    </w:p>
    <w:p w14:paraId="0EE9CEBC" w14:textId="77777777" w:rsidR="00FC0DE0" w:rsidRPr="008015FD" w:rsidRDefault="00FC0DE0" w:rsidP="00FC0DE0">
      <w:pPr>
        <w:ind w:left="1260"/>
      </w:pPr>
    </w:p>
    <w:p w14:paraId="3AACB300" w14:textId="5012DDF4" w:rsidR="00FC0DE0" w:rsidRPr="008015FD" w:rsidRDefault="00FC0DE0" w:rsidP="00FC0DE0">
      <w:pPr>
        <w:ind w:left="1260"/>
      </w:pPr>
      <w:r w:rsidRPr="008015FD">
        <w:t xml:space="preserve">Any construction activities will be restricted to Phase 2.  </w:t>
      </w:r>
      <w:r w:rsidRPr="00DC69D5">
        <w:t xml:space="preserve">DOE will complete additional NEPA review and </w:t>
      </w:r>
      <w:r>
        <w:t xml:space="preserve">NEPA </w:t>
      </w:r>
      <w:r w:rsidRPr="00DC69D5">
        <w:t>determination for Phase 2 activities.</w:t>
      </w:r>
      <w:r w:rsidRPr="008015FD">
        <w:t xml:space="preserve">  See SectionVI.B.vi for additional information on NEPA requirements. It should be noted that new construction or significant modification of an existing facility will likely trigger an Environmental Assessment</w:t>
      </w:r>
      <w:r>
        <w:t xml:space="preserve"> or Environmental Impact Statement</w:t>
      </w:r>
      <w:r w:rsidRPr="008015FD">
        <w:t xml:space="preserve">. Proper budgeting and scheduling </w:t>
      </w:r>
      <w:r>
        <w:t>must</w:t>
      </w:r>
      <w:r w:rsidRPr="008015FD">
        <w:t xml:space="preserve"> be accounted for within the proposed project’s application.  </w:t>
      </w:r>
    </w:p>
    <w:p w14:paraId="0E5BE364" w14:textId="77777777" w:rsidR="00FC0DE0" w:rsidRDefault="00FC0DE0" w:rsidP="00FC0DE0">
      <w:pPr>
        <w:pBdr>
          <w:top w:val="nil"/>
          <w:left w:val="nil"/>
          <w:bottom w:val="nil"/>
          <w:right w:val="nil"/>
          <w:between w:val="nil"/>
        </w:pBdr>
        <w:ind w:left="1260"/>
        <w:rPr>
          <w:rFonts w:ascii="Calibri" w:hAnsi="Calibri"/>
          <w:b/>
          <w:color w:val="000000"/>
        </w:rPr>
      </w:pPr>
    </w:p>
    <w:p w14:paraId="762F2561" w14:textId="77777777" w:rsidR="00FC0DE0" w:rsidRPr="008015FD" w:rsidRDefault="00FC0DE0" w:rsidP="00FC0DE0">
      <w:pPr>
        <w:pBdr>
          <w:top w:val="nil"/>
          <w:left w:val="nil"/>
          <w:bottom w:val="nil"/>
          <w:right w:val="nil"/>
          <w:between w:val="nil"/>
        </w:pBdr>
        <w:ind w:left="1260"/>
        <w:rPr>
          <w:rFonts w:ascii="Calibri" w:hAnsi="Calibri"/>
          <w:b/>
          <w:color w:val="000000"/>
        </w:rPr>
      </w:pPr>
      <w:r>
        <w:rPr>
          <w:rFonts w:ascii="Calibri" w:hAnsi="Calibri"/>
          <w:b/>
          <w:color w:val="000000"/>
        </w:rPr>
        <w:t>Topic Area 2</w:t>
      </w:r>
      <w:r w:rsidRPr="008015FD">
        <w:rPr>
          <w:rFonts w:ascii="Calibri" w:hAnsi="Calibri"/>
          <w:b/>
          <w:color w:val="000000"/>
        </w:rPr>
        <w:t xml:space="preserve"> Additional Financial Requirements</w:t>
      </w:r>
    </w:p>
    <w:p w14:paraId="09B9E0F8" w14:textId="77777777" w:rsidR="00FC0DE0" w:rsidRPr="008015FD" w:rsidRDefault="00FC0DE0" w:rsidP="00FC0DE0">
      <w:pPr>
        <w:pBdr>
          <w:top w:val="nil"/>
          <w:left w:val="nil"/>
          <w:bottom w:val="nil"/>
          <w:right w:val="nil"/>
          <w:between w:val="nil"/>
        </w:pBdr>
        <w:ind w:left="1260"/>
        <w:rPr>
          <w:rFonts w:ascii="Calibri" w:hAnsi="Calibri"/>
          <w:color w:val="000000"/>
          <w:u w:val="single"/>
        </w:rPr>
      </w:pPr>
    </w:p>
    <w:p w14:paraId="3AF83EC5" w14:textId="35F70264" w:rsidR="00FC0DE0" w:rsidRPr="008015FD" w:rsidRDefault="005C1577" w:rsidP="00FC0DE0">
      <w:pPr>
        <w:pBdr>
          <w:top w:val="nil"/>
          <w:left w:val="nil"/>
          <w:bottom w:val="nil"/>
          <w:right w:val="nil"/>
          <w:between w:val="nil"/>
        </w:pBdr>
        <w:ind w:left="1260"/>
        <w:rPr>
          <w:rFonts w:ascii="Calibri" w:hAnsi="Calibri"/>
          <w:color w:val="000000"/>
        </w:rPr>
      </w:pPr>
      <w:r>
        <w:rPr>
          <w:rFonts w:ascii="Calibri" w:hAnsi="Calibri"/>
          <w:color w:val="000000"/>
        </w:rPr>
        <w:t>If selected through DOE’s down-selection process, award recipients will be required to demonstrate their financial readiness to proceed into Phase 2.</w:t>
      </w:r>
      <w:r w:rsidR="00FC0DE0" w:rsidRPr="008015FD">
        <w:rPr>
          <w:rFonts w:ascii="Calibri" w:hAnsi="Calibri"/>
          <w:color w:val="000000"/>
        </w:rPr>
        <w:t xml:space="preserve"> This includes demonstrating the ability to provide all required cost share and contingency </w:t>
      </w:r>
      <w:r w:rsidR="00FF3A32">
        <w:rPr>
          <w:rFonts w:ascii="Calibri" w:hAnsi="Calibri"/>
          <w:color w:val="000000"/>
        </w:rPr>
        <w:t>funds</w:t>
      </w:r>
      <w:r w:rsidR="0057500D">
        <w:rPr>
          <w:rFonts w:ascii="Calibri" w:hAnsi="Calibri"/>
          <w:color w:val="000000"/>
        </w:rPr>
        <w:t xml:space="preserve"> reserve</w:t>
      </w:r>
      <w:r w:rsidR="00FF3A32">
        <w:rPr>
          <w:rFonts w:ascii="Calibri" w:hAnsi="Calibri"/>
          <w:color w:val="000000"/>
        </w:rPr>
        <w:t xml:space="preserve"> </w:t>
      </w:r>
      <w:r w:rsidR="00FC0DE0">
        <w:rPr>
          <w:rFonts w:ascii="Calibri" w:hAnsi="Calibri"/>
          <w:color w:val="000000"/>
        </w:rPr>
        <w:t xml:space="preserve">(see below) </w:t>
      </w:r>
      <w:r w:rsidR="00FC0DE0" w:rsidRPr="008015FD">
        <w:rPr>
          <w:rFonts w:ascii="Calibri" w:hAnsi="Calibri"/>
          <w:color w:val="000000"/>
        </w:rPr>
        <w:t xml:space="preserve">prior to entering into </w:t>
      </w:r>
      <w:r w:rsidR="00FC0DE0">
        <w:rPr>
          <w:rFonts w:ascii="Calibri" w:hAnsi="Calibri"/>
          <w:color w:val="000000"/>
        </w:rPr>
        <w:t>Phase 2</w:t>
      </w:r>
      <w:r w:rsidR="00FC0DE0" w:rsidRPr="008015FD">
        <w:rPr>
          <w:rFonts w:ascii="Calibri" w:hAnsi="Calibri"/>
          <w:color w:val="000000"/>
        </w:rPr>
        <w:t xml:space="preserve"> of the project. Recipients are required to secure all cost share and contingency </w:t>
      </w:r>
      <w:r w:rsidR="0057500D">
        <w:rPr>
          <w:rFonts w:ascii="Calibri" w:hAnsi="Calibri"/>
          <w:color w:val="000000"/>
        </w:rPr>
        <w:t xml:space="preserve">funds </w:t>
      </w:r>
      <w:r w:rsidR="00FF3A32">
        <w:rPr>
          <w:rFonts w:ascii="Calibri" w:hAnsi="Calibri"/>
          <w:color w:val="000000"/>
        </w:rPr>
        <w:t xml:space="preserve">reserve </w:t>
      </w:r>
      <w:r w:rsidR="00FC0DE0" w:rsidRPr="008015FD">
        <w:rPr>
          <w:rFonts w:ascii="Calibri" w:hAnsi="Calibri"/>
          <w:color w:val="000000"/>
        </w:rPr>
        <w:t xml:space="preserve">prior to proceeding into </w:t>
      </w:r>
      <w:r w:rsidR="00FC0DE0">
        <w:rPr>
          <w:rFonts w:ascii="Calibri" w:hAnsi="Calibri"/>
          <w:color w:val="000000"/>
        </w:rPr>
        <w:t>P</w:t>
      </w:r>
      <w:r w:rsidR="00FC0DE0" w:rsidRPr="008015FD">
        <w:rPr>
          <w:rFonts w:ascii="Calibri" w:hAnsi="Calibri"/>
          <w:color w:val="000000"/>
        </w:rPr>
        <w:t>hase</w:t>
      </w:r>
      <w:r w:rsidR="00FC0DE0">
        <w:rPr>
          <w:rFonts w:ascii="Calibri" w:hAnsi="Calibri"/>
          <w:color w:val="000000"/>
        </w:rPr>
        <w:t xml:space="preserve"> 2</w:t>
      </w:r>
      <w:r w:rsidR="00FC0DE0" w:rsidRPr="008015FD">
        <w:rPr>
          <w:rFonts w:ascii="Calibri" w:hAnsi="Calibri"/>
          <w:color w:val="000000"/>
        </w:rPr>
        <w:t xml:space="preserve">. Throughout the award life cycle, DOE will review and monitor the financial capability of the </w:t>
      </w:r>
      <w:r w:rsidR="00FC0DE0">
        <w:rPr>
          <w:rFonts w:ascii="Calibri" w:hAnsi="Calibri"/>
          <w:color w:val="000000"/>
        </w:rPr>
        <w:t>R</w:t>
      </w:r>
      <w:r w:rsidR="00FC0DE0" w:rsidRPr="008015FD">
        <w:rPr>
          <w:rFonts w:ascii="Calibri" w:hAnsi="Calibri"/>
          <w:color w:val="000000"/>
        </w:rPr>
        <w:t xml:space="preserve">ecipient and other key organizations within the project team, such as parent companies or cost share providers. DOE may also conduct pre-award accounting system audits, financial capability reviews, or reviews of financial or compliance audits.  </w:t>
      </w:r>
    </w:p>
    <w:p w14:paraId="608CD9A4" w14:textId="77777777" w:rsidR="00FC0DE0" w:rsidRPr="008015FD" w:rsidRDefault="00FC0DE0" w:rsidP="00FC0DE0">
      <w:pPr>
        <w:pBdr>
          <w:top w:val="nil"/>
          <w:left w:val="nil"/>
          <w:bottom w:val="nil"/>
          <w:right w:val="nil"/>
          <w:between w:val="nil"/>
        </w:pBdr>
        <w:ind w:left="1260"/>
        <w:rPr>
          <w:rFonts w:ascii="Calibri" w:hAnsi="Calibri"/>
          <w:color w:val="000000"/>
        </w:rPr>
      </w:pPr>
    </w:p>
    <w:p w14:paraId="16864CC3" w14:textId="7ED9B952" w:rsidR="00FC0DE0" w:rsidRPr="008015FD" w:rsidRDefault="00FC0DE0" w:rsidP="00FC0DE0">
      <w:pPr>
        <w:pBdr>
          <w:top w:val="nil"/>
          <w:left w:val="nil"/>
          <w:bottom w:val="nil"/>
          <w:right w:val="nil"/>
          <w:between w:val="nil"/>
        </w:pBdr>
        <w:ind w:left="1260"/>
        <w:rPr>
          <w:rFonts w:ascii="Calibri" w:hAnsi="Calibri"/>
          <w:color w:val="000000"/>
        </w:rPr>
      </w:pPr>
      <w:r w:rsidRPr="008015FD">
        <w:rPr>
          <w:rFonts w:ascii="Calibri" w:hAnsi="Calibri"/>
          <w:color w:val="000000"/>
        </w:rPr>
        <w:t xml:space="preserve">A contingency </w:t>
      </w:r>
      <w:r w:rsidR="0057500D">
        <w:rPr>
          <w:rFonts w:ascii="Calibri" w:hAnsi="Calibri"/>
          <w:color w:val="000000"/>
        </w:rPr>
        <w:t xml:space="preserve">funds </w:t>
      </w:r>
      <w:r w:rsidRPr="008015FD">
        <w:rPr>
          <w:rFonts w:ascii="Calibri" w:hAnsi="Calibri"/>
          <w:color w:val="000000"/>
        </w:rPr>
        <w:t xml:space="preserve">reserve is required for all Phase 2 activities. DOE experience and industry best practice show that a minimum of 25% of Total Project Cost (federal share and cost share) </w:t>
      </w:r>
      <w:r>
        <w:rPr>
          <w:rFonts w:ascii="Calibri" w:hAnsi="Calibri"/>
          <w:color w:val="000000"/>
        </w:rPr>
        <w:t xml:space="preserve">for </w:t>
      </w:r>
      <w:r w:rsidRPr="008015FD">
        <w:rPr>
          <w:rFonts w:ascii="Calibri" w:hAnsi="Calibri"/>
          <w:color w:val="000000"/>
        </w:rPr>
        <w:t xml:space="preserve">Phase 2 Costs is necessary to allow the project to continue when unexpected expenses are encountered.  </w:t>
      </w:r>
      <w:r>
        <w:t xml:space="preserve">Recipients must demonstrate that they can meet the financial needs of Phase 2 of their project when submitting a continuation application. The continuation application (see Section VI.B.xv) for Phase 2 must include documentation showing that the Recipient has access to this minimum </w:t>
      </w:r>
      <w:r w:rsidRPr="00A20B3D">
        <w:t>25% required contingency</w:t>
      </w:r>
      <w:r w:rsidR="00055E6B">
        <w:t xml:space="preserve"> funds</w:t>
      </w:r>
      <w:r w:rsidRPr="008015FD">
        <w:rPr>
          <w:rFonts w:ascii="Calibri" w:hAnsi="Calibri"/>
          <w:color w:val="000000"/>
        </w:rPr>
        <w:t>. Contingency funds must be: (a) liquid, (b) immediately available, and (c) unrestricted funds dedicated exclusively to the project for the purpose of mitigating project performance baseline risk. The contingency</w:t>
      </w:r>
      <w:r w:rsidR="00762C96">
        <w:rPr>
          <w:rFonts w:ascii="Calibri" w:hAnsi="Calibri"/>
          <w:color w:val="000000"/>
        </w:rPr>
        <w:t xml:space="preserve"> funds </w:t>
      </w:r>
      <w:r w:rsidRPr="008015FD">
        <w:rPr>
          <w:rFonts w:ascii="Calibri" w:hAnsi="Calibri"/>
          <w:color w:val="000000"/>
        </w:rPr>
        <w:t xml:space="preserve">reserve is in addition to Total Project Costs and cannot count towards cost share, until expended.  If expended, the contingency will not result in reimbursement by DOE above the total federal share approved in the award.  </w:t>
      </w:r>
      <w:r w:rsidRPr="00A20B3D">
        <w:rPr>
          <w:rFonts w:ascii="Calibri" w:hAnsi="Calibri"/>
          <w:color w:val="000000"/>
        </w:rPr>
        <w:t xml:space="preserve">DOE highly discourages </w:t>
      </w:r>
      <w:r w:rsidR="00C1629C">
        <w:rPr>
          <w:rFonts w:ascii="Calibri" w:hAnsi="Calibri"/>
          <w:color w:val="000000"/>
        </w:rPr>
        <w:t>selected applicants</w:t>
      </w:r>
      <w:r w:rsidRPr="00A20B3D">
        <w:rPr>
          <w:rFonts w:ascii="Calibri" w:hAnsi="Calibri"/>
          <w:color w:val="000000"/>
        </w:rPr>
        <w:t xml:space="preserve"> from reducing scope to comply with the contingency reserve requirement.</w:t>
      </w:r>
    </w:p>
    <w:p w14:paraId="393B82B2" w14:textId="77777777" w:rsidR="00FC0DE0" w:rsidRDefault="00FC0DE0" w:rsidP="00FC0DE0">
      <w:pPr>
        <w:pStyle w:val="FOATemplateBody"/>
        <w:ind w:left="1260"/>
        <w:rPr>
          <w:color w:val="000000"/>
        </w:rPr>
      </w:pPr>
    </w:p>
    <w:p w14:paraId="51BB41D8" w14:textId="77777777" w:rsidR="009E0B77" w:rsidRDefault="009E0B77">
      <w:pPr>
        <w:rPr>
          <w:b/>
          <w:color w:val="000000"/>
        </w:rPr>
      </w:pPr>
      <w:r>
        <w:rPr>
          <w:b/>
          <w:color w:val="000000"/>
        </w:rPr>
        <w:br w:type="page"/>
      </w:r>
    </w:p>
    <w:p w14:paraId="3B11C6CC" w14:textId="738F0B8E" w:rsidR="00FC0DE0" w:rsidRPr="008015FD" w:rsidRDefault="00FC0DE0" w:rsidP="00FC0DE0">
      <w:pPr>
        <w:ind w:left="1296"/>
        <w:rPr>
          <w:b/>
          <w:color w:val="000000"/>
        </w:rPr>
      </w:pPr>
      <w:r>
        <w:rPr>
          <w:b/>
          <w:color w:val="000000"/>
        </w:rPr>
        <w:lastRenderedPageBreak/>
        <w:t>Topic Area 2</w:t>
      </w:r>
      <w:r w:rsidRPr="008015FD">
        <w:rPr>
          <w:b/>
          <w:color w:val="000000"/>
        </w:rPr>
        <w:t xml:space="preserve"> Specific Requirements</w:t>
      </w:r>
    </w:p>
    <w:p w14:paraId="34045BAC" w14:textId="77777777" w:rsidR="00FC0DE0" w:rsidRPr="008015FD" w:rsidRDefault="00FC0DE0" w:rsidP="00FC0DE0">
      <w:pPr>
        <w:ind w:left="1296"/>
      </w:pPr>
    </w:p>
    <w:p w14:paraId="263DADFA" w14:textId="151D8BD0" w:rsidR="00FC0DE0" w:rsidRPr="008015FD" w:rsidRDefault="00FC0DE0" w:rsidP="00FC0DE0">
      <w:pPr>
        <w:pBdr>
          <w:top w:val="nil"/>
          <w:left w:val="nil"/>
          <w:bottom w:val="nil"/>
          <w:right w:val="nil"/>
          <w:between w:val="nil"/>
        </w:pBdr>
        <w:ind w:left="1260"/>
        <w:rPr>
          <w:rFonts w:ascii="Calibri" w:hAnsi="Calibri"/>
          <w:color w:val="000000"/>
        </w:rPr>
      </w:pPr>
      <w:r w:rsidRPr="008015FD">
        <w:rPr>
          <w:rFonts w:ascii="Calibri" w:hAnsi="Calibri"/>
          <w:color w:val="000000"/>
        </w:rPr>
        <w:t xml:space="preserve">The following requirements must be addressed in the application and the strength of the </w:t>
      </w:r>
      <w:r w:rsidR="00FA5BE7">
        <w:rPr>
          <w:rFonts w:ascii="Calibri" w:hAnsi="Calibri"/>
          <w:color w:val="000000"/>
        </w:rPr>
        <w:t>a</w:t>
      </w:r>
      <w:r>
        <w:rPr>
          <w:rFonts w:ascii="Calibri" w:hAnsi="Calibri"/>
          <w:color w:val="000000"/>
        </w:rPr>
        <w:t>pplicant</w:t>
      </w:r>
      <w:r w:rsidRPr="008015FD">
        <w:rPr>
          <w:rFonts w:ascii="Calibri" w:hAnsi="Calibri"/>
          <w:color w:val="000000"/>
        </w:rPr>
        <w:t xml:space="preserve">’s discussion will be evaluated by the independent technical review panel for engineering and scientific merit (see evaluation criteria in Section V.A.ii.): </w:t>
      </w:r>
    </w:p>
    <w:p w14:paraId="27481727" w14:textId="77777777" w:rsidR="00FC0DE0" w:rsidRPr="008015FD" w:rsidRDefault="00FC0DE0" w:rsidP="00FC0DE0">
      <w:pPr>
        <w:pBdr>
          <w:top w:val="nil"/>
          <w:left w:val="nil"/>
          <w:bottom w:val="nil"/>
          <w:right w:val="nil"/>
          <w:between w:val="nil"/>
        </w:pBdr>
        <w:ind w:left="1350"/>
        <w:rPr>
          <w:rFonts w:ascii="Calibri" w:hAnsi="Calibri"/>
          <w:b/>
          <w:color w:val="000000"/>
        </w:rPr>
      </w:pPr>
    </w:p>
    <w:p w14:paraId="13AD0A03" w14:textId="270C16B4" w:rsidR="00FC0DE0" w:rsidRDefault="00FC0DE0" w:rsidP="00FC0DE0">
      <w:pPr>
        <w:numPr>
          <w:ilvl w:val="0"/>
          <w:numId w:val="150"/>
        </w:numPr>
        <w:ind w:left="2016"/>
        <w:rPr>
          <w:color w:val="000000"/>
        </w:rPr>
      </w:pPr>
      <w:r w:rsidRPr="006F53B7">
        <w:rPr>
          <w:color w:val="000000"/>
        </w:rPr>
        <w:t>Projects must meet or exceed all minimum metric</w:t>
      </w:r>
      <w:r>
        <w:rPr>
          <w:color w:val="000000"/>
        </w:rPr>
        <w:t>s</w:t>
      </w:r>
      <w:r w:rsidRPr="006F53B7">
        <w:rPr>
          <w:color w:val="000000"/>
        </w:rPr>
        <w:t xml:space="preserve"> listed above in</w:t>
      </w:r>
      <w:r w:rsidR="005F75B7">
        <w:rPr>
          <w:color w:val="000000"/>
        </w:rPr>
        <w:t xml:space="preserve"> </w:t>
      </w:r>
      <w:r w:rsidR="008C01C5">
        <w:rPr>
          <w:color w:val="0070C0"/>
          <w:u w:val="single"/>
        </w:rPr>
        <w:fldChar w:fldCharType="begin"/>
      </w:r>
      <w:r w:rsidR="008C01C5">
        <w:rPr>
          <w:color w:val="0070C0"/>
          <w:u w:val="single"/>
        </w:rPr>
        <w:instrText xml:space="preserve"> REF  _Ref170220328  \* MERGEFORMAT </w:instrText>
      </w:r>
      <w:r w:rsidR="008C01C5">
        <w:rPr>
          <w:color w:val="0070C0"/>
          <w:u w:val="single"/>
        </w:rPr>
        <w:fldChar w:fldCharType="separate"/>
      </w:r>
      <w:r w:rsidR="001B6894">
        <w:t xml:space="preserve">Table </w:t>
      </w:r>
      <w:r w:rsidR="001B6894">
        <w:rPr>
          <w:noProof/>
        </w:rPr>
        <w:t>3</w:t>
      </w:r>
      <w:r w:rsidR="001B6894">
        <w:t xml:space="preserve">: </w:t>
      </w:r>
      <w:r w:rsidR="001B6894" w:rsidRPr="00A65C99">
        <w:t>Topic Area 2 Minimum Requirements</w:t>
      </w:r>
      <w:r w:rsidR="008C01C5">
        <w:rPr>
          <w:color w:val="0070C0"/>
          <w:u w:val="single"/>
        </w:rPr>
        <w:fldChar w:fldCharType="end"/>
      </w:r>
      <w:r w:rsidR="00F84B17">
        <w:rPr>
          <w:color w:val="000000"/>
        </w:rPr>
        <w:t xml:space="preserve"> </w:t>
      </w:r>
      <w:r w:rsidR="00F84B17" w:rsidRPr="00FA3341">
        <w:rPr>
          <w:rFonts w:ascii="Calibri" w:hAnsi="Calibri"/>
          <w:color w:val="000000"/>
          <w:szCs w:val="24"/>
        </w:rPr>
        <w:t>as the expectation for an eventual facility that may be constructed and operated in Phase 2, subject to the application’s down-selection from Phase 1.</w:t>
      </w:r>
      <w:r w:rsidR="00F84B17">
        <w:rPr>
          <w:rStyle w:val="CommentReference"/>
        </w:rPr>
        <w:t xml:space="preserve"> </w:t>
      </w:r>
    </w:p>
    <w:p w14:paraId="500F4011" w14:textId="753483DA" w:rsidR="005F4C1B" w:rsidRPr="005F4C1B" w:rsidRDefault="005F4C1B" w:rsidP="005F4C1B">
      <w:pPr>
        <w:numPr>
          <w:ilvl w:val="0"/>
          <w:numId w:val="150"/>
        </w:numPr>
        <w:ind w:left="2016"/>
        <w:rPr>
          <w:color w:val="000000"/>
        </w:rPr>
      </w:pPr>
      <w:r>
        <w:rPr>
          <w:rStyle w:val="CommentReference"/>
          <w:sz w:val="24"/>
          <w:szCs w:val="24"/>
        </w:rPr>
        <w:t>Applications submitted under Topic Area 2 must utilize an allowable feedstock as defined in Table 3 and Appendix E.</w:t>
      </w:r>
    </w:p>
    <w:p w14:paraId="7065DC92" w14:textId="77777777" w:rsidR="00FC0DE0" w:rsidRPr="001E2912" w:rsidRDefault="00FC0DE0" w:rsidP="00FC0DE0">
      <w:pPr>
        <w:numPr>
          <w:ilvl w:val="0"/>
          <w:numId w:val="150"/>
        </w:numPr>
        <w:ind w:left="2016"/>
        <w:rPr>
          <w:color w:val="000000"/>
        </w:rPr>
      </w:pPr>
      <w:r w:rsidRPr="006F53B7">
        <w:rPr>
          <w:color w:val="000000"/>
        </w:rPr>
        <w:t xml:space="preserve">Applications submitted under </w:t>
      </w:r>
      <w:r>
        <w:rPr>
          <w:color w:val="000000"/>
        </w:rPr>
        <w:t>Topic</w:t>
      </w:r>
      <w:r w:rsidRPr="006F53B7">
        <w:rPr>
          <w:color w:val="000000"/>
        </w:rPr>
        <w:t xml:space="preserve"> </w:t>
      </w:r>
      <w:r>
        <w:rPr>
          <w:color w:val="000000"/>
        </w:rPr>
        <w:t>A</w:t>
      </w:r>
      <w:r w:rsidRPr="006F53B7">
        <w:rPr>
          <w:color w:val="000000"/>
        </w:rPr>
        <w:t xml:space="preserve">rea </w:t>
      </w:r>
      <w:r>
        <w:rPr>
          <w:color w:val="000000"/>
        </w:rPr>
        <w:t xml:space="preserve">2 </w:t>
      </w:r>
      <w:r w:rsidRPr="006F53B7">
        <w:rPr>
          <w:color w:val="000000"/>
        </w:rPr>
        <w:t xml:space="preserve">are required to participate </w:t>
      </w:r>
      <w:r w:rsidRPr="001E2912">
        <w:rPr>
          <w:color w:val="000000"/>
        </w:rPr>
        <w:t xml:space="preserve">in the Verification Process as described in Section </w:t>
      </w:r>
      <w:r w:rsidRPr="006C2866">
        <w:rPr>
          <w:color w:val="000000"/>
        </w:rPr>
        <w:t>I.C.</w:t>
      </w:r>
      <w:r w:rsidRPr="001E2912">
        <w:rPr>
          <w:color w:val="000000"/>
        </w:rPr>
        <w:t> </w:t>
      </w:r>
    </w:p>
    <w:p w14:paraId="0ECBB1D2" w14:textId="77777777" w:rsidR="00FC0DE0" w:rsidRPr="001E2912" w:rsidRDefault="00FC0DE0" w:rsidP="00FC0DE0">
      <w:pPr>
        <w:numPr>
          <w:ilvl w:val="0"/>
          <w:numId w:val="150"/>
        </w:numPr>
        <w:ind w:left="2016"/>
        <w:rPr>
          <w:color w:val="000000"/>
        </w:rPr>
      </w:pPr>
      <w:r w:rsidRPr="001E2912">
        <w:rPr>
          <w:rFonts w:ascii="Calibri" w:hAnsi="Calibri"/>
        </w:rPr>
        <w:t>Applications must contain techno-economic and life cycle analyses (TEA and LCA) that relate the key technical parameters of the proposed technology described in the proposal application to achieving a cost competitive MFSP and GHG reduction targets.  Previously achieved values, scales, and durations should be delineated from the values necessary to meet the targeted MFSP so that the level of technology advancement needed is clear.</w:t>
      </w:r>
    </w:p>
    <w:p w14:paraId="3771849B" w14:textId="77777777" w:rsidR="00FC0DE0" w:rsidRPr="00B423F2" w:rsidRDefault="00FC0DE0" w:rsidP="00FC0DE0">
      <w:pPr>
        <w:numPr>
          <w:ilvl w:val="0"/>
          <w:numId w:val="150"/>
        </w:numPr>
        <w:ind w:left="2016"/>
        <w:rPr>
          <w:color w:val="000000"/>
        </w:rPr>
      </w:pPr>
      <w:r w:rsidRPr="001E2912">
        <w:rPr>
          <w:color w:val="000000"/>
        </w:rPr>
        <w:t>A Block Flow Diagram</w:t>
      </w:r>
      <w:r w:rsidRPr="002C0058">
        <w:rPr>
          <w:color w:val="000000"/>
        </w:rPr>
        <w:t xml:space="preserve"> and Supplemental Data template are required as part of the application.</w:t>
      </w:r>
      <w:r w:rsidRPr="00F22D4C">
        <w:rPr>
          <w:color w:val="000000"/>
        </w:rPr>
        <w:t xml:space="preserve">  </w:t>
      </w:r>
    </w:p>
    <w:p w14:paraId="18F8F472" w14:textId="77777777" w:rsidR="00FC0DE0" w:rsidRPr="00B423F2" w:rsidRDefault="00FC0DE0" w:rsidP="00FC0DE0">
      <w:pPr>
        <w:numPr>
          <w:ilvl w:val="0"/>
          <w:numId w:val="150"/>
        </w:numPr>
        <w:ind w:left="2016"/>
        <w:rPr>
          <w:color w:val="000000"/>
        </w:rPr>
      </w:pPr>
      <w:r w:rsidRPr="00B423F2">
        <w:rPr>
          <w:color w:val="000000"/>
        </w:rPr>
        <w:t>Scale-up factors</w:t>
      </w:r>
      <w:r>
        <w:rPr>
          <w:rStyle w:val="FootnoteReference"/>
          <w:color w:val="000000"/>
        </w:rPr>
        <w:footnoteReference w:id="25"/>
      </w:r>
      <w:r>
        <w:rPr>
          <w:color w:val="000000"/>
        </w:rPr>
        <w:t xml:space="preserve"> </w:t>
      </w:r>
      <w:r w:rsidRPr="00B423F2">
        <w:rPr>
          <w:color w:val="000000"/>
        </w:rPr>
        <w:t>per unit operation</w:t>
      </w:r>
      <w:r>
        <w:rPr>
          <w:rStyle w:val="FootnoteReference"/>
          <w:color w:val="000000"/>
        </w:rPr>
        <w:footnoteReference w:id="26"/>
      </w:r>
      <w:r w:rsidRPr="00B423F2">
        <w:rPr>
          <w:color w:val="000000"/>
        </w:rPr>
        <w:t xml:space="preserve"> can be no greater than 50x.</w:t>
      </w:r>
    </w:p>
    <w:p w14:paraId="21C66D7E" w14:textId="77777777" w:rsidR="00FC0DE0" w:rsidRPr="00B423F2" w:rsidRDefault="00FC0DE0" w:rsidP="00FC0DE0">
      <w:pPr>
        <w:numPr>
          <w:ilvl w:val="0"/>
          <w:numId w:val="150"/>
        </w:numPr>
        <w:ind w:left="2016"/>
        <w:rPr>
          <w:color w:val="000000"/>
        </w:rPr>
      </w:pPr>
      <w:r w:rsidRPr="00B423F2">
        <w:rPr>
          <w:color w:val="000000"/>
        </w:rPr>
        <w:t xml:space="preserve">All major equipment being utilized in the </w:t>
      </w:r>
      <w:r>
        <w:rPr>
          <w:color w:val="000000"/>
        </w:rPr>
        <w:t>demonstration scale plant</w:t>
      </w:r>
      <w:r w:rsidRPr="00B423F2">
        <w:rPr>
          <w:color w:val="000000"/>
        </w:rPr>
        <w:t xml:space="preserve"> </w:t>
      </w:r>
      <w:r>
        <w:rPr>
          <w:color w:val="000000"/>
        </w:rPr>
        <w:t>must</w:t>
      </w:r>
      <w:r w:rsidRPr="00B423F2">
        <w:rPr>
          <w:color w:val="000000"/>
        </w:rPr>
        <w:t xml:space="preserve"> be based on the equipment that will be used in the eventual commercial facility. For example, if a fluidized bed will be utilized in the commercial scale a fluidized bed </w:t>
      </w:r>
      <w:r>
        <w:rPr>
          <w:color w:val="000000"/>
        </w:rPr>
        <w:t>must</w:t>
      </w:r>
      <w:r w:rsidRPr="00B423F2">
        <w:rPr>
          <w:color w:val="000000"/>
        </w:rPr>
        <w:t xml:space="preserve"> be utilized in the pilot facility.</w:t>
      </w:r>
    </w:p>
    <w:p w14:paraId="54633777" w14:textId="77777777" w:rsidR="00FC0DE0" w:rsidRPr="0063013C" w:rsidRDefault="00FC0DE0" w:rsidP="00FC0DE0">
      <w:pPr>
        <w:numPr>
          <w:ilvl w:val="0"/>
          <w:numId w:val="150"/>
        </w:numPr>
        <w:ind w:left="2016"/>
        <w:rPr>
          <w:color w:val="000000"/>
        </w:rPr>
      </w:pPr>
      <w:r>
        <w:rPr>
          <w:color w:val="000000"/>
        </w:rPr>
        <w:t>Topic</w:t>
      </w:r>
      <w:r w:rsidRPr="002F3024">
        <w:rPr>
          <w:color w:val="000000"/>
        </w:rPr>
        <w:t xml:space="preserve"> Area </w:t>
      </w:r>
      <w:r>
        <w:rPr>
          <w:color w:val="000000"/>
        </w:rPr>
        <w:t>2</w:t>
      </w:r>
      <w:r w:rsidRPr="002F3024">
        <w:rPr>
          <w:color w:val="000000"/>
        </w:rPr>
        <w:t xml:space="preserve"> allows for production of bioproducts as coproducts if essential for the overall economics of biofuel production. However, of all the carbon contained in the biofuels and coproducts, at least 50% must be in the biofuel(s</w:t>
      </w:r>
      <w:r w:rsidRPr="006C2866">
        <w:rPr>
          <w:color w:val="000000"/>
        </w:rPr>
        <w:t>). Higher percentages of utilizable carbon</w:t>
      </w:r>
      <w:r w:rsidRPr="006C2866">
        <w:rPr>
          <w:rStyle w:val="FootnoteReference"/>
          <w:color w:val="000000"/>
        </w:rPr>
        <w:footnoteReference w:id="27"/>
      </w:r>
      <w:r w:rsidRPr="006C2866">
        <w:rPr>
          <w:color w:val="000000"/>
        </w:rPr>
        <w:t xml:space="preserve"> found in the biofuels may be prioritized</w:t>
      </w:r>
      <w:r w:rsidRPr="002F3024">
        <w:rPr>
          <w:color w:val="000000"/>
        </w:rPr>
        <w:t xml:space="preserve">. </w:t>
      </w:r>
      <w:r w:rsidRPr="0063013C">
        <w:rPr>
          <w:color w:val="000000"/>
        </w:rPr>
        <w:t>Higher percentages of utilizable carbon found in the biofuels may be prioritized by use of a Program Policy Factor (section V.C.i).</w:t>
      </w:r>
    </w:p>
    <w:p w14:paraId="7D53AF03" w14:textId="77777777" w:rsidR="00FC0DE0" w:rsidRDefault="00FC0DE0" w:rsidP="00FC0DE0">
      <w:pPr>
        <w:numPr>
          <w:ilvl w:val="0"/>
          <w:numId w:val="151"/>
        </w:numPr>
        <w:ind w:left="2016"/>
        <w:rPr>
          <w:color w:val="000000"/>
          <w:szCs w:val="24"/>
        </w:rPr>
      </w:pPr>
      <w:r w:rsidRPr="008015FD">
        <w:rPr>
          <w:color w:val="000000"/>
        </w:rPr>
        <w:t xml:space="preserve">Biofuels must </w:t>
      </w:r>
      <w:r>
        <w:rPr>
          <w:color w:val="000000"/>
        </w:rPr>
        <w:t>demonstrate</w:t>
      </w:r>
      <w:r w:rsidRPr="008015FD">
        <w:rPr>
          <w:color w:val="000000"/>
        </w:rPr>
        <w:t xml:space="preserve"> a reasonable chance of receiving </w:t>
      </w:r>
      <w:r>
        <w:rPr>
          <w:color w:val="000000"/>
        </w:rPr>
        <w:t>ASTM</w:t>
      </w:r>
      <w:r w:rsidRPr="008015FD">
        <w:rPr>
          <w:color w:val="000000"/>
        </w:rPr>
        <w:t xml:space="preserve"> or other regulatory approvals</w:t>
      </w:r>
      <w:r w:rsidRPr="003E06C5">
        <w:rPr>
          <w:color w:val="000000"/>
          <w:szCs w:val="24"/>
        </w:rPr>
        <w:t xml:space="preserve"> </w:t>
      </w:r>
      <w:r w:rsidRPr="00082273">
        <w:rPr>
          <w:color w:val="000000"/>
          <w:szCs w:val="24"/>
        </w:rPr>
        <w:t>as evidenced by substantial discussion in the narrative and inclusion of necessary tasks in the SOPO.</w:t>
      </w:r>
    </w:p>
    <w:p w14:paraId="0E6DFDAE" w14:textId="77777777" w:rsidR="00FC0DE0" w:rsidRPr="000867A8" w:rsidRDefault="00FC0DE0" w:rsidP="00FC0DE0">
      <w:pPr>
        <w:numPr>
          <w:ilvl w:val="0"/>
          <w:numId w:val="150"/>
        </w:numPr>
        <w:ind w:left="2016"/>
        <w:rPr>
          <w:color w:val="000000"/>
        </w:rPr>
      </w:pPr>
      <w:r w:rsidRPr="00AF2E02">
        <w:rPr>
          <w:color w:val="000000"/>
        </w:rPr>
        <w:lastRenderedPageBreak/>
        <w:t>Applications proposing co-processing with an existing petroleum refinery must address how at least 50% of the biogenic carbon would be converted to a biofuel and how this would be measured</w:t>
      </w:r>
      <w:r>
        <w:rPr>
          <w:color w:val="000000"/>
        </w:rPr>
        <w:t>,</w:t>
      </w:r>
      <w:r w:rsidRPr="00EB62A9">
        <w:rPr>
          <w:color w:val="000000"/>
        </w:rPr>
        <w:t xml:space="preserve"> </w:t>
      </w:r>
      <w:r>
        <w:rPr>
          <w:color w:val="000000"/>
        </w:rPr>
        <w:t>as evidenced by substantial discussion in the narrative and inclusion of necessary tasks in the SOPO</w:t>
      </w:r>
      <w:r w:rsidRPr="008015FD">
        <w:rPr>
          <w:color w:val="000000"/>
        </w:rPr>
        <w:t>.</w:t>
      </w:r>
    </w:p>
    <w:p w14:paraId="2CA9ABCB" w14:textId="2B739AD9" w:rsidR="00FC0DE0" w:rsidRPr="001E2912" w:rsidRDefault="00FC0DE0" w:rsidP="00FC0DE0">
      <w:pPr>
        <w:numPr>
          <w:ilvl w:val="0"/>
          <w:numId w:val="151"/>
        </w:numPr>
        <w:ind w:left="1980"/>
        <w:rPr>
          <w:rFonts w:ascii="Calibri" w:hAnsi="Calibri"/>
        </w:rPr>
      </w:pPr>
      <w:r w:rsidRPr="001E2912">
        <w:rPr>
          <w:color w:val="000000"/>
        </w:rPr>
        <w:t xml:space="preserve">Applications cannot include greater than 10% of the total project budget for earlier stage </w:t>
      </w:r>
      <w:r w:rsidR="00BA1BF6">
        <w:rPr>
          <w:color w:val="000000"/>
        </w:rPr>
        <w:t>RD&amp;D</w:t>
      </w:r>
      <w:r w:rsidRPr="001E2912">
        <w:rPr>
          <w:color w:val="000000"/>
        </w:rPr>
        <w:t xml:space="preserve"> (&lt;TRL </w:t>
      </w:r>
      <w:r>
        <w:rPr>
          <w:color w:val="000000"/>
        </w:rPr>
        <w:t>6</w:t>
      </w:r>
      <w:r w:rsidRPr="001E2912">
        <w:rPr>
          <w:color w:val="000000"/>
        </w:rPr>
        <w:t>), including expenses for equipment, salaries, and supplies. </w:t>
      </w:r>
    </w:p>
    <w:p w14:paraId="04304B57" w14:textId="77777777" w:rsidR="00FC0DE0" w:rsidRPr="001E2912" w:rsidRDefault="00FC0DE0" w:rsidP="00FC0DE0">
      <w:pPr>
        <w:numPr>
          <w:ilvl w:val="0"/>
          <w:numId w:val="151"/>
        </w:numPr>
        <w:ind w:left="1980"/>
        <w:rPr>
          <w:rFonts w:ascii="Calibri" w:hAnsi="Calibri"/>
          <w:color w:val="000000"/>
        </w:rPr>
      </w:pPr>
      <w:r w:rsidRPr="001E2912">
        <w:rPr>
          <w:rFonts w:ascii="Calibri" w:hAnsi="Calibri"/>
          <w:color w:val="000000"/>
        </w:rPr>
        <w:t>Biofuels (and bioproducts) must be produced in the U.S.</w:t>
      </w:r>
    </w:p>
    <w:p w14:paraId="4BC6EBBF" w14:textId="77777777" w:rsidR="00FC0DE0" w:rsidRDefault="00FC0DE0" w:rsidP="00FC0DE0">
      <w:pPr>
        <w:ind w:left="1296"/>
        <w:rPr>
          <w:b/>
          <w:color w:val="000000"/>
        </w:rPr>
      </w:pPr>
    </w:p>
    <w:p w14:paraId="294EDF7F" w14:textId="77777777" w:rsidR="00FC0DE0" w:rsidRPr="001E2912" w:rsidRDefault="00FC0DE0" w:rsidP="00FC0DE0">
      <w:pPr>
        <w:ind w:left="1296"/>
        <w:rPr>
          <w:b/>
          <w:color w:val="000000"/>
        </w:rPr>
      </w:pPr>
      <w:r>
        <w:rPr>
          <w:b/>
          <w:color w:val="000000"/>
        </w:rPr>
        <w:t>Topic Area 2</w:t>
      </w:r>
      <w:r w:rsidRPr="001E2912">
        <w:rPr>
          <w:b/>
          <w:color w:val="000000"/>
        </w:rPr>
        <w:t xml:space="preserve"> Applications Specifically Not of Interest</w:t>
      </w:r>
    </w:p>
    <w:p w14:paraId="51E0CE32" w14:textId="77777777" w:rsidR="00FC0DE0" w:rsidRPr="001E2912" w:rsidRDefault="00FC0DE0" w:rsidP="00FC0DE0">
      <w:pPr>
        <w:ind w:left="1296"/>
      </w:pPr>
    </w:p>
    <w:p w14:paraId="385343CF" w14:textId="77777777" w:rsidR="00FC0DE0" w:rsidRPr="001E2912" w:rsidRDefault="00FC0DE0" w:rsidP="00FC0DE0">
      <w:pPr>
        <w:numPr>
          <w:ilvl w:val="0"/>
          <w:numId w:val="151"/>
        </w:numPr>
        <w:ind w:left="2016"/>
      </w:pPr>
      <w:r w:rsidRPr="001E2912">
        <w:t>Those identified in Section I.D. of the FOA</w:t>
      </w:r>
      <w:r>
        <w:t>.</w:t>
      </w:r>
    </w:p>
    <w:p w14:paraId="6D5D2866" w14:textId="77777777" w:rsidR="00FC0DE0" w:rsidRDefault="00FC0DE0" w:rsidP="00FC0DE0">
      <w:pPr>
        <w:rPr>
          <w:rFonts w:ascii="Calibri" w:hAnsi="Calibri"/>
          <w:b/>
          <w:color w:val="000000"/>
        </w:rPr>
      </w:pPr>
    </w:p>
    <w:p w14:paraId="29E3C6D8" w14:textId="77777777" w:rsidR="00FC0DE0" w:rsidRDefault="00FC0DE0" w:rsidP="00FC0DE0">
      <w:pPr>
        <w:ind w:left="1260"/>
        <w:rPr>
          <w:rFonts w:ascii="Calibri" w:hAnsi="Calibri"/>
          <w:b/>
          <w:color w:val="000000"/>
        </w:rPr>
      </w:pPr>
      <w:r>
        <w:rPr>
          <w:rFonts w:ascii="Calibri" w:hAnsi="Calibri"/>
          <w:b/>
          <w:color w:val="000000"/>
        </w:rPr>
        <w:t>T</w:t>
      </w:r>
      <w:r w:rsidRPr="001E2912">
        <w:rPr>
          <w:rFonts w:ascii="Calibri" w:hAnsi="Calibri"/>
          <w:b/>
          <w:color w:val="000000"/>
        </w:rPr>
        <w:t xml:space="preserve">opic Area </w:t>
      </w:r>
      <w:r>
        <w:rPr>
          <w:rFonts w:ascii="Calibri" w:hAnsi="Calibri"/>
          <w:b/>
          <w:color w:val="000000"/>
        </w:rPr>
        <w:t xml:space="preserve">2 </w:t>
      </w:r>
      <w:r w:rsidRPr="001E2912">
        <w:rPr>
          <w:rFonts w:ascii="Calibri" w:hAnsi="Calibri"/>
          <w:b/>
          <w:color w:val="000000"/>
        </w:rPr>
        <w:t>Special Deliverables</w:t>
      </w:r>
    </w:p>
    <w:p w14:paraId="225014A0" w14:textId="77777777" w:rsidR="00FC0DE0" w:rsidRPr="001E2912" w:rsidRDefault="00FC0DE0" w:rsidP="00FC0DE0">
      <w:pPr>
        <w:ind w:left="1260"/>
        <w:rPr>
          <w:rFonts w:ascii="Calibri" w:hAnsi="Calibri"/>
          <w:b/>
          <w:color w:val="000000"/>
        </w:rPr>
      </w:pPr>
    </w:p>
    <w:p w14:paraId="753414E4" w14:textId="77777777" w:rsidR="00FC0DE0" w:rsidRPr="001E2912" w:rsidRDefault="00FC0DE0" w:rsidP="00FC0DE0">
      <w:pPr>
        <w:ind w:left="1296"/>
        <w:rPr>
          <w:rFonts w:ascii="Calibri" w:hAnsi="Calibri"/>
        </w:rPr>
      </w:pPr>
      <w:r w:rsidRPr="001E2912">
        <w:rPr>
          <w:rFonts w:ascii="Calibri" w:hAnsi="Calibri"/>
          <w:color w:val="000000"/>
        </w:rPr>
        <w:t xml:space="preserve">In addition to the deliverables required in the Federal Assistance Reporting Checklist, the following deliverables are required for awards made under </w:t>
      </w:r>
      <w:r>
        <w:rPr>
          <w:rFonts w:ascii="Calibri" w:hAnsi="Calibri"/>
          <w:color w:val="000000"/>
        </w:rPr>
        <w:t>Topic Area 2</w:t>
      </w:r>
      <w:r w:rsidRPr="001E2912">
        <w:rPr>
          <w:rFonts w:ascii="Calibri" w:hAnsi="Calibri"/>
          <w:color w:val="000000"/>
        </w:rPr>
        <w:t>: </w:t>
      </w:r>
      <w:r w:rsidRPr="001E2912">
        <w:rPr>
          <w:rFonts w:ascii="Calibri" w:hAnsi="Calibri"/>
        </w:rPr>
        <w:t> </w:t>
      </w:r>
    </w:p>
    <w:p w14:paraId="6A1255B4" w14:textId="77777777" w:rsidR="00FC0DE0" w:rsidRPr="001E2912" w:rsidRDefault="00FC0DE0" w:rsidP="00FC0DE0">
      <w:pPr>
        <w:ind w:left="1296"/>
        <w:rPr>
          <w:rFonts w:ascii="Calibri" w:hAnsi="Calibri"/>
        </w:rPr>
      </w:pPr>
    </w:p>
    <w:p w14:paraId="5C6EC35D" w14:textId="77777777" w:rsidR="00FC0DE0" w:rsidRPr="00DB5654" w:rsidRDefault="00FC0DE0" w:rsidP="00FC0DE0">
      <w:pPr>
        <w:pStyle w:val="ListParagraph"/>
        <w:numPr>
          <w:ilvl w:val="0"/>
          <w:numId w:val="150"/>
        </w:numPr>
        <w:ind w:left="2016"/>
        <w:rPr>
          <w:rFonts w:ascii="Calibri" w:hAnsi="Calibri"/>
        </w:rPr>
      </w:pPr>
      <w:r w:rsidRPr="00030F1C">
        <w:rPr>
          <w:szCs w:val="24"/>
        </w:rPr>
        <w:t xml:space="preserve">Attendance and participation at the BETO Biennial Peer Review is required so that external subject matter experts can review project accomplishments and provide feedback to ensure optimal use of BETO funds. </w:t>
      </w:r>
    </w:p>
    <w:p w14:paraId="2049B2FC" w14:textId="77777777" w:rsidR="00FC0DE0" w:rsidRPr="00DB5654" w:rsidRDefault="00FC0DE0" w:rsidP="00FC0DE0">
      <w:pPr>
        <w:numPr>
          <w:ilvl w:val="0"/>
          <w:numId w:val="150"/>
        </w:numPr>
        <w:ind w:left="2016"/>
        <w:rPr>
          <w:rFonts w:ascii="Calibri" w:hAnsi="Calibri"/>
        </w:rPr>
      </w:pPr>
      <w:r w:rsidRPr="00030F1C">
        <w:rPr>
          <w:color w:val="000000"/>
        </w:rPr>
        <w:t>A publicly releasable final technical report describing how the technology would contribute to the BETO 2030 goal being cost competitive with petroleum-based fuels (model TEA for nth plant) with at least 70% reduction in greenhouse gas emissions relative to petroleum derived fuels. </w:t>
      </w:r>
    </w:p>
    <w:p w14:paraId="46642C1D" w14:textId="77777777" w:rsidR="00FC0DE0" w:rsidRPr="00043BD4" w:rsidRDefault="00FC0DE0" w:rsidP="00FC0DE0">
      <w:pPr>
        <w:pStyle w:val="ListParagraph"/>
        <w:numPr>
          <w:ilvl w:val="0"/>
          <w:numId w:val="150"/>
        </w:numPr>
        <w:ind w:left="1980"/>
      </w:pPr>
      <w:r w:rsidRPr="008D6CBF">
        <w:rPr>
          <w:rFonts w:ascii="Calibri" w:eastAsia="Calibri" w:hAnsi="Calibri"/>
        </w:rPr>
        <w:t>Recipients will be required to provide input for DOE’s design cases</w:t>
      </w:r>
      <w:r>
        <w:rPr>
          <w:rFonts w:ascii="Calibri" w:eastAsia="Calibri" w:hAnsi="Calibri"/>
        </w:rPr>
        <w:t xml:space="preserve"> (link to our latest State of Technology Report that discusses these design cases can be found at the link provided below) </w:t>
      </w:r>
      <w:r w:rsidRPr="008D6CBF">
        <w:rPr>
          <w:rFonts w:ascii="Calibri" w:eastAsia="Calibri" w:hAnsi="Calibri"/>
        </w:rPr>
        <w:t xml:space="preserve">to refine the </w:t>
      </w:r>
      <w:r>
        <w:rPr>
          <w:rFonts w:ascii="Calibri" w:eastAsia="Calibri" w:hAnsi="Calibri"/>
        </w:rPr>
        <w:t xml:space="preserve">various program </w:t>
      </w:r>
      <w:r w:rsidRPr="008D6CBF">
        <w:rPr>
          <w:rFonts w:ascii="Calibri" w:eastAsia="Calibri" w:hAnsi="Calibri"/>
        </w:rPr>
        <w:t>models</w:t>
      </w:r>
      <w:r>
        <w:rPr>
          <w:rFonts w:ascii="Calibri" w:eastAsia="Calibri" w:hAnsi="Calibri"/>
        </w:rPr>
        <w:t xml:space="preserve"> (such as TEA and LCA)</w:t>
      </w:r>
      <w:r w:rsidRPr="008D6CBF">
        <w:rPr>
          <w:rFonts w:ascii="Calibri" w:eastAsia="Calibri" w:hAnsi="Calibri"/>
        </w:rPr>
        <w:t xml:space="preserve"> in an anonymous manner</w:t>
      </w:r>
      <w:r>
        <w:rPr>
          <w:rFonts w:ascii="Calibri" w:eastAsia="Calibri" w:hAnsi="Calibri"/>
        </w:rPr>
        <w:t xml:space="preserve"> (permitting</w:t>
      </w:r>
      <w:r w:rsidRPr="008D6CBF">
        <w:rPr>
          <w:rFonts w:ascii="Calibri" w:eastAsia="Calibri" w:hAnsi="Calibri"/>
        </w:rPr>
        <w:t xml:space="preserve"> the data </w:t>
      </w:r>
      <w:r>
        <w:rPr>
          <w:rFonts w:ascii="Calibri" w:eastAsia="Calibri" w:hAnsi="Calibri"/>
        </w:rPr>
        <w:t>to</w:t>
      </w:r>
      <w:r w:rsidRPr="008D6CBF">
        <w:rPr>
          <w:rFonts w:ascii="Calibri" w:eastAsia="Calibri" w:hAnsi="Calibri"/>
        </w:rPr>
        <w:t xml:space="preserve"> be made</w:t>
      </w:r>
      <w:r>
        <w:rPr>
          <w:rFonts w:ascii="Calibri" w:eastAsia="Calibri" w:hAnsi="Calibri"/>
        </w:rPr>
        <w:t xml:space="preserve"> publicly</w:t>
      </w:r>
      <w:r w:rsidRPr="008D6CBF">
        <w:rPr>
          <w:rFonts w:ascii="Calibri" w:eastAsia="Calibri" w:hAnsi="Calibri"/>
        </w:rPr>
        <w:t xml:space="preserve"> available</w:t>
      </w:r>
      <w:r>
        <w:rPr>
          <w:rFonts w:ascii="Calibri" w:eastAsia="Calibri" w:hAnsi="Calibri"/>
        </w:rPr>
        <w:t>)</w:t>
      </w:r>
      <w:r w:rsidRPr="008D6CBF">
        <w:rPr>
          <w:rFonts w:ascii="Calibri" w:eastAsia="Calibri" w:hAnsi="Calibri"/>
        </w:rPr>
        <w:t>.</w:t>
      </w:r>
    </w:p>
    <w:p w14:paraId="0BFD21B7" w14:textId="77777777" w:rsidR="00FC0DE0" w:rsidRPr="00043BD4" w:rsidRDefault="00FC0DE0" w:rsidP="00FC0DE0">
      <w:pPr>
        <w:pStyle w:val="ListParagraph"/>
        <w:numPr>
          <w:ilvl w:val="3"/>
          <w:numId w:val="150"/>
        </w:numPr>
        <w:tabs>
          <w:tab w:val="left" w:pos="2520"/>
        </w:tabs>
        <w:ind w:left="2520"/>
        <w:rPr>
          <w:rStyle w:val="PlaceholderText"/>
          <w:color w:val="auto"/>
        </w:rPr>
      </w:pPr>
      <w:r w:rsidRPr="00043BD4">
        <w:rPr>
          <w:rFonts w:eastAsia="Calibri"/>
        </w:rPr>
        <w:t>(</w:t>
      </w:r>
      <w:r w:rsidRPr="00C47073">
        <w:rPr>
          <w:rFonts w:ascii="Calibri" w:eastAsia="Calibri" w:hAnsi="Calibri"/>
        </w:rPr>
        <w:t>https://www.energy.gov/sites/prod/files/2020/07/f76/beto-2019-state-of-technology-july-2020-r1.pdf)</w:t>
      </w:r>
    </w:p>
    <w:p w14:paraId="14E3AE80" w14:textId="77777777" w:rsidR="00FC0DE0" w:rsidRPr="008175CB" w:rsidRDefault="00FC0DE0" w:rsidP="008B0D95">
      <w:pPr>
        <w:pStyle w:val="FOAHeading3"/>
        <w:numPr>
          <w:ilvl w:val="0"/>
          <w:numId w:val="0"/>
        </w:numPr>
        <w:ind w:left="1710"/>
        <w:outlineLvl w:val="2"/>
      </w:pPr>
    </w:p>
    <w:p w14:paraId="049A20E4" w14:textId="582CE6F6" w:rsidR="009A690C" w:rsidRDefault="004E672B">
      <w:pPr>
        <w:ind w:left="1350"/>
        <w:rPr>
          <w:szCs w:val="24"/>
        </w:rPr>
      </w:pPr>
      <w:r>
        <w:rPr>
          <w:szCs w:val="24"/>
        </w:rPr>
        <w:t xml:space="preserve">All work under EERE funding agreements must be performed in the United States. See </w:t>
      </w:r>
      <w:r w:rsidRPr="008B0D95">
        <w:rPr>
          <w:szCs w:val="24"/>
        </w:rPr>
        <w:t>Section IV.</w:t>
      </w:r>
      <w:r w:rsidR="00B43AA5" w:rsidRPr="008B0D95">
        <w:rPr>
          <w:szCs w:val="24"/>
        </w:rPr>
        <w:t>K</w:t>
      </w:r>
      <w:r w:rsidRPr="008B0D95">
        <w:rPr>
          <w:szCs w:val="24"/>
        </w:rPr>
        <w:t>.iii.</w:t>
      </w:r>
      <w:r>
        <w:rPr>
          <w:szCs w:val="24"/>
        </w:rPr>
        <w:t xml:space="preserve"> and </w:t>
      </w:r>
      <w:r w:rsidRPr="008B0D95">
        <w:rPr>
          <w:szCs w:val="24"/>
        </w:rPr>
        <w:t>Appendix C</w:t>
      </w:r>
      <w:r>
        <w:rPr>
          <w:szCs w:val="24"/>
        </w:rPr>
        <w:t>.</w:t>
      </w:r>
    </w:p>
    <w:p w14:paraId="3416E651" w14:textId="77777777" w:rsidR="00E606D8" w:rsidRDefault="00E606D8">
      <w:pPr>
        <w:ind w:left="1350"/>
        <w:rPr>
          <w:szCs w:val="24"/>
        </w:rPr>
      </w:pPr>
    </w:p>
    <w:p w14:paraId="64D55D96" w14:textId="77777777" w:rsidR="0015790A" w:rsidRDefault="0015790A">
      <w:pPr>
        <w:ind w:left="1350"/>
        <w:rPr>
          <w:szCs w:val="24"/>
        </w:rPr>
      </w:pPr>
    </w:p>
    <w:p w14:paraId="39AB7D8D" w14:textId="77777777" w:rsidR="0015790A" w:rsidRDefault="0015790A">
      <w:pPr>
        <w:ind w:left="1350"/>
        <w:rPr>
          <w:szCs w:val="24"/>
        </w:rPr>
      </w:pPr>
    </w:p>
    <w:p w14:paraId="14732AD3" w14:textId="11E5D793" w:rsidR="002C1E9C" w:rsidRPr="002C1E9C" w:rsidRDefault="002C1E9C" w:rsidP="008B0D95">
      <w:pPr>
        <w:pStyle w:val="FOAHeading3"/>
        <w:ind w:left="1710"/>
        <w:outlineLvl w:val="2"/>
      </w:pPr>
      <w:bookmarkStart w:id="37" w:name="_Toc176864407"/>
      <w:r w:rsidRPr="002C1E9C">
        <w:lastRenderedPageBreak/>
        <w:t xml:space="preserve">Topic Area </w:t>
      </w:r>
      <w:r w:rsidR="00A00655">
        <w:t>3</w:t>
      </w:r>
      <w:r w:rsidRPr="002C1E9C">
        <w:t xml:space="preserve">: </w:t>
      </w:r>
      <w:r w:rsidR="000820A0">
        <w:t>Scale</w:t>
      </w:r>
      <w:r w:rsidR="005643BA">
        <w:t>-up of</w:t>
      </w:r>
      <w:r w:rsidR="00A94326">
        <w:t xml:space="preserve"> Organic </w:t>
      </w:r>
      <w:r w:rsidR="005643BA">
        <w:t>Chemical Pathways</w:t>
      </w:r>
      <w:r w:rsidR="009B3018">
        <w:t xml:space="preserve"> – Phase 1 </w:t>
      </w:r>
      <w:r w:rsidR="003819FD">
        <w:t>Preliminary Design and Phased Construction</w:t>
      </w:r>
      <w:bookmarkEnd w:id="37"/>
    </w:p>
    <w:p w14:paraId="18302B87" w14:textId="01F2D242" w:rsidR="00CF2492" w:rsidRDefault="00CF2492" w:rsidP="008B0D95">
      <w:pPr>
        <w:rPr>
          <w:color w:val="000000"/>
        </w:rPr>
      </w:pPr>
    </w:p>
    <w:p w14:paraId="2CD4C283" w14:textId="59C166C9" w:rsidR="00170A62" w:rsidRPr="00895EA1" w:rsidRDefault="002C1E9C" w:rsidP="008B0D95">
      <w:pPr>
        <w:ind w:left="1260"/>
        <w:rPr>
          <w:szCs w:val="24"/>
        </w:rPr>
      </w:pPr>
      <w:r w:rsidRPr="002C1E9C">
        <w:rPr>
          <w:color w:val="000000"/>
        </w:rPr>
        <w:t xml:space="preserve">Topic Area </w:t>
      </w:r>
      <w:r w:rsidR="00A00655">
        <w:rPr>
          <w:color w:val="000000"/>
        </w:rPr>
        <w:t>3</w:t>
      </w:r>
      <w:r w:rsidRPr="002C1E9C">
        <w:rPr>
          <w:color w:val="000000"/>
        </w:rPr>
        <w:t xml:space="preserve"> </w:t>
      </w:r>
      <w:r w:rsidR="00170A62" w:rsidRPr="00C975FB">
        <w:rPr>
          <w:szCs w:val="24"/>
        </w:rPr>
        <w:t xml:space="preserve">supports </w:t>
      </w:r>
      <w:r w:rsidR="00CE7BB7">
        <w:rPr>
          <w:szCs w:val="24"/>
        </w:rPr>
        <w:t xml:space="preserve">scale-up activities for </w:t>
      </w:r>
      <w:r w:rsidR="00170A62" w:rsidRPr="00C975FB">
        <w:rPr>
          <w:szCs w:val="24"/>
        </w:rPr>
        <w:t xml:space="preserve">to </w:t>
      </w:r>
      <w:r w:rsidR="00CE7BB7">
        <w:rPr>
          <w:szCs w:val="24"/>
        </w:rPr>
        <w:t>the production of</w:t>
      </w:r>
      <w:r w:rsidR="00170A62" w:rsidRPr="00C975FB">
        <w:rPr>
          <w:szCs w:val="24"/>
        </w:rPr>
        <w:t xml:space="preserve"> </w:t>
      </w:r>
      <w:r w:rsidR="00776100">
        <w:rPr>
          <w:szCs w:val="24"/>
        </w:rPr>
        <w:t>organic</w:t>
      </w:r>
      <w:r w:rsidR="00170A62" w:rsidRPr="00C975FB">
        <w:rPr>
          <w:szCs w:val="24"/>
        </w:rPr>
        <w:t xml:space="preserve"> chemicals</w:t>
      </w:r>
      <w:r w:rsidR="00280348">
        <w:t xml:space="preserve"> </w:t>
      </w:r>
      <w:r w:rsidR="00170A62" w:rsidRPr="00C975FB">
        <w:t xml:space="preserve">from </w:t>
      </w:r>
      <w:r w:rsidR="005E03F5">
        <w:t xml:space="preserve">renewable </w:t>
      </w:r>
      <w:r w:rsidR="00170A62" w:rsidRPr="00C975FB">
        <w:t xml:space="preserve">biomass and waste feedstocks that can replace those currently derived from petroleum. </w:t>
      </w:r>
      <w:r w:rsidR="00170A62" w:rsidRPr="00C975FB">
        <w:rPr>
          <w:szCs w:val="24"/>
        </w:rPr>
        <w:t>The U.S. bulk chemicals industry accounted for 274 million metric tons (MMT) of CO</w:t>
      </w:r>
      <w:r w:rsidR="00170A62" w:rsidRPr="00C975FB">
        <w:rPr>
          <w:szCs w:val="24"/>
          <w:vertAlign w:val="subscript"/>
        </w:rPr>
        <w:t>2</w:t>
      </w:r>
      <w:r w:rsidR="00170A62" w:rsidRPr="00C975FB">
        <w:rPr>
          <w:szCs w:val="24"/>
        </w:rPr>
        <w:t xml:space="preserve"> emissions in 2020.</w:t>
      </w:r>
      <w:r w:rsidR="00170A62" w:rsidRPr="00C975FB">
        <w:rPr>
          <w:szCs w:val="24"/>
          <w:vertAlign w:val="superscript"/>
        </w:rPr>
        <w:footnoteReference w:id="28"/>
      </w:r>
      <w:r w:rsidR="00170A62" w:rsidRPr="00C975FB">
        <w:rPr>
          <w:szCs w:val="24"/>
        </w:rPr>
        <w:t xml:space="preserve"> This substantial carbon footprint can be broadly attributed to a combination of the fossil carbon input required in production as well as the high energy requirements to convert that carbon to the targeted product.</w:t>
      </w:r>
      <w:r w:rsidR="00170A62" w:rsidRPr="00C975FB">
        <w:rPr>
          <w:szCs w:val="24"/>
          <w:vertAlign w:val="superscript"/>
        </w:rPr>
        <w:footnoteReference w:id="29"/>
      </w:r>
      <w:r w:rsidR="00170A62" w:rsidRPr="00C975FB">
        <w:rPr>
          <w:szCs w:val="24"/>
        </w:rPr>
        <w:t xml:space="preserve"> While other sectors of the economy can completely decarbonize at the point of end-use, most of the organics, petrochemicals, and polymer resins produced and used in the US today will remain carbon-based for the foreseeable future. These chemicals make up approximately 40% of the overall GHG footprint of the chemicals industry, and the use of alternative carbon feedstocks such as biomass, municipal solid waste, and CO</w:t>
      </w:r>
      <w:r w:rsidR="00170A62" w:rsidRPr="00C975FB">
        <w:rPr>
          <w:szCs w:val="24"/>
          <w:vertAlign w:val="subscript"/>
        </w:rPr>
        <w:t>2</w:t>
      </w:r>
      <w:r w:rsidR="00170A62" w:rsidRPr="00C975FB">
        <w:rPr>
          <w:szCs w:val="24"/>
        </w:rPr>
        <w:t xml:space="preserve"> provides an opportunity to not only reduce the carbon footprint of the input material but also a route to conversion strategies of that require less energy. </w:t>
      </w:r>
      <w:r w:rsidR="00663DA1">
        <w:rPr>
          <w:szCs w:val="24"/>
        </w:rPr>
        <w:t>In 2004</w:t>
      </w:r>
      <w:r w:rsidR="00986A94">
        <w:rPr>
          <w:szCs w:val="24"/>
        </w:rPr>
        <w:t>, DOE published a report highlighting top value</w:t>
      </w:r>
      <w:r w:rsidR="00380BD9">
        <w:rPr>
          <w:szCs w:val="24"/>
        </w:rPr>
        <w:t>-</w:t>
      </w:r>
      <w:r w:rsidR="00986A94">
        <w:rPr>
          <w:szCs w:val="24"/>
        </w:rPr>
        <w:t>added chemicals from biomass</w:t>
      </w:r>
      <w:r w:rsidR="00865D03">
        <w:rPr>
          <w:szCs w:val="24"/>
        </w:rPr>
        <w:t>.</w:t>
      </w:r>
      <w:r w:rsidR="00425EBB">
        <w:rPr>
          <w:rStyle w:val="FootnoteReference"/>
          <w:szCs w:val="24"/>
        </w:rPr>
        <w:footnoteReference w:id="30"/>
      </w:r>
      <w:r w:rsidR="00807BB4">
        <w:rPr>
          <w:szCs w:val="24"/>
        </w:rPr>
        <w:t xml:space="preserve"> In the ensuing decades</w:t>
      </w:r>
      <w:r w:rsidR="00E46326">
        <w:rPr>
          <w:szCs w:val="24"/>
        </w:rPr>
        <w:t>,</w:t>
      </w:r>
      <w:r w:rsidR="00807BB4">
        <w:rPr>
          <w:szCs w:val="24"/>
        </w:rPr>
        <w:t xml:space="preserve"> </w:t>
      </w:r>
      <w:r w:rsidR="003740A8">
        <w:rPr>
          <w:szCs w:val="24"/>
        </w:rPr>
        <w:t>process technology to produc</w:t>
      </w:r>
      <w:r w:rsidR="00777EBE">
        <w:rPr>
          <w:szCs w:val="24"/>
        </w:rPr>
        <w:t>e</w:t>
      </w:r>
      <w:r w:rsidR="007B5233">
        <w:rPr>
          <w:szCs w:val="24"/>
        </w:rPr>
        <w:t xml:space="preserve"> organic chemicals </w:t>
      </w:r>
      <w:r w:rsidR="00777EBE">
        <w:rPr>
          <w:szCs w:val="24"/>
        </w:rPr>
        <w:t xml:space="preserve">from renewable feedstocks </w:t>
      </w:r>
      <w:r w:rsidR="007B5233">
        <w:rPr>
          <w:szCs w:val="24"/>
        </w:rPr>
        <w:t xml:space="preserve">has </w:t>
      </w:r>
      <w:r w:rsidR="009D6699">
        <w:rPr>
          <w:szCs w:val="24"/>
        </w:rPr>
        <w:t xml:space="preserve">matured. </w:t>
      </w:r>
      <w:r w:rsidR="00170A62" w:rsidRPr="00C975FB">
        <w:rPr>
          <w:szCs w:val="24"/>
        </w:rPr>
        <w:t xml:space="preserve">Such technologies are the target of Topic Area </w:t>
      </w:r>
      <w:r w:rsidR="00787844">
        <w:rPr>
          <w:szCs w:val="24"/>
        </w:rPr>
        <w:t>3</w:t>
      </w:r>
      <w:r w:rsidR="00170A62" w:rsidRPr="00C975FB">
        <w:rPr>
          <w:szCs w:val="24"/>
        </w:rPr>
        <w:t xml:space="preserve"> and are essential for achieving a net-zero economy by 2050. </w:t>
      </w:r>
    </w:p>
    <w:p w14:paraId="14A726FD" w14:textId="77777777" w:rsidR="00170A62" w:rsidRDefault="00170A62">
      <w:pPr>
        <w:ind w:left="1260"/>
        <w:rPr>
          <w:rFonts w:ascii="Calibri" w:hAnsi="Calibri"/>
          <w:color w:val="000000"/>
        </w:rPr>
      </w:pPr>
    </w:p>
    <w:p w14:paraId="7EDAE356" w14:textId="7D9CDE9A" w:rsidR="005F3254" w:rsidRPr="008B0D95" w:rsidRDefault="005F3254" w:rsidP="00697727">
      <w:pPr>
        <w:pStyle w:val="paragraph"/>
        <w:spacing w:before="0" w:beforeAutospacing="0" w:after="0" w:afterAutospacing="0"/>
        <w:ind w:left="1260"/>
        <w:textAlignment w:val="baseline"/>
        <w:rPr>
          <w:rStyle w:val="eop"/>
          <w:rFonts w:asciiTheme="minorHAnsi" w:hAnsiTheme="minorHAnsi" w:cstheme="minorHAnsi"/>
        </w:rPr>
      </w:pPr>
      <w:r w:rsidRPr="00C975FB">
        <w:rPr>
          <w:rStyle w:val="normaltextrun"/>
          <w:rFonts w:asciiTheme="minorHAnsi" w:hAnsiTheme="minorHAnsi" w:cstheme="minorHAnsi"/>
        </w:rPr>
        <w:t xml:space="preserve">To that end, Topic Area </w:t>
      </w:r>
      <w:r w:rsidR="00F12BFC">
        <w:rPr>
          <w:rStyle w:val="normaltextrun"/>
          <w:rFonts w:asciiTheme="minorHAnsi" w:hAnsiTheme="minorHAnsi" w:cstheme="minorHAnsi"/>
        </w:rPr>
        <w:t>3</w:t>
      </w:r>
      <w:r w:rsidRPr="00C975FB">
        <w:rPr>
          <w:rStyle w:val="normaltextrun"/>
          <w:rFonts w:asciiTheme="minorHAnsi" w:hAnsiTheme="minorHAnsi" w:cstheme="minorHAnsi"/>
        </w:rPr>
        <w:t xml:space="preserve"> supports the </w:t>
      </w:r>
      <w:r w:rsidR="00F12BFC">
        <w:rPr>
          <w:rStyle w:val="normaltextrun"/>
          <w:rFonts w:asciiTheme="minorHAnsi" w:hAnsiTheme="minorHAnsi" w:cstheme="minorHAnsi"/>
        </w:rPr>
        <w:t xml:space="preserve">scale-up of processes </w:t>
      </w:r>
      <w:r w:rsidR="00BB75F9">
        <w:rPr>
          <w:rStyle w:val="normaltextrun"/>
          <w:rFonts w:asciiTheme="minorHAnsi" w:hAnsiTheme="minorHAnsi" w:cstheme="minorHAnsi"/>
        </w:rPr>
        <w:t>to pilot- (TRL</w:t>
      </w:r>
      <w:r w:rsidR="0031765B">
        <w:rPr>
          <w:rStyle w:val="normaltextrun"/>
          <w:rFonts w:asciiTheme="minorHAnsi" w:hAnsiTheme="minorHAnsi" w:cstheme="minorHAnsi"/>
        </w:rPr>
        <w:t xml:space="preserve"> </w:t>
      </w:r>
      <w:r w:rsidR="00BB75F9">
        <w:rPr>
          <w:rStyle w:val="normaltextrun"/>
          <w:rFonts w:asciiTheme="minorHAnsi" w:hAnsiTheme="minorHAnsi" w:cstheme="minorHAnsi"/>
        </w:rPr>
        <w:t xml:space="preserve">6) or demonstration-scale </w:t>
      </w:r>
      <w:r w:rsidR="00F56C51">
        <w:rPr>
          <w:rStyle w:val="normaltextrun"/>
          <w:rFonts w:asciiTheme="minorHAnsi" w:hAnsiTheme="minorHAnsi" w:cstheme="minorHAnsi"/>
        </w:rPr>
        <w:t>(TRL</w:t>
      </w:r>
      <w:r w:rsidR="0031765B">
        <w:rPr>
          <w:rStyle w:val="normaltextrun"/>
          <w:rFonts w:asciiTheme="minorHAnsi" w:hAnsiTheme="minorHAnsi" w:cstheme="minorHAnsi"/>
        </w:rPr>
        <w:t xml:space="preserve"> </w:t>
      </w:r>
      <w:r w:rsidR="00743764">
        <w:rPr>
          <w:rStyle w:val="normaltextrun"/>
          <w:rFonts w:asciiTheme="minorHAnsi" w:hAnsiTheme="minorHAnsi" w:cstheme="minorHAnsi"/>
        </w:rPr>
        <w:t xml:space="preserve">7) </w:t>
      </w:r>
      <w:r w:rsidR="00BB75F9">
        <w:rPr>
          <w:rStyle w:val="normaltextrun"/>
          <w:rFonts w:asciiTheme="minorHAnsi" w:hAnsiTheme="minorHAnsi" w:cstheme="minorHAnsi"/>
        </w:rPr>
        <w:t xml:space="preserve">integrated processes </w:t>
      </w:r>
      <w:r w:rsidR="00470906">
        <w:rPr>
          <w:rStyle w:val="normaltextrun"/>
          <w:rFonts w:asciiTheme="minorHAnsi" w:hAnsiTheme="minorHAnsi" w:cstheme="minorHAnsi"/>
        </w:rPr>
        <w:t>to produce organic</w:t>
      </w:r>
      <w:r w:rsidR="00F12BFC">
        <w:rPr>
          <w:rStyle w:val="normaltextrun"/>
          <w:rFonts w:asciiTheme="minorHAnsi" w:hAnsiTheme="minorHAnsi" w:cstheme="minorHAnsi"/>
        </w:rPr>
        <w:t xml:space="preserve"> </w:t>
      </w:r>
      <w:r w:rsidRPr="00C975FB">
        <w:rPr>
          <w:rStyle w:val="normaltextrun"/>
          <w:rFonts w:asciiTheme="minorHAnsi" w:hAnsiTheme="minorHAnsi" w:cstheme="minorHAnsi"/>
        </w:rPr>
        <w:t>chemicals from renewable carbon and waste feedstocks through biochemical</w:t>
      </w:r>
      <w:r w:rsidR="001C7489">
        <w:rPr>
          <w:rStyle w:val="normaltextrun"/>
          <w:rFonts w:asciiTheme="minorHAnsi" w:hAnsiTheme="minorHAnsi" w:cstheme="minorHAnsi"/>
        </w:rPr>
        <w:t>, thermochemical,</w:t>
      </w:r>
      <w:r w:rsidR="00FE5847">
        <w:rPr>
          <w:rStyle w:val="normaltextrun"/>
          <w:rFonts w:asciiTheme="minorHAnsi" w:hAnsiTheme="minorHAnsi" w:cstheme="minorHAnsi"/>
        </w:rPr>
        <w:t xml:space="preserve"> or</w:t>
      </w:r>
      <w:r w:rsidR="001C7489">
        <w:rPr>
          <w:rStyle w:val="normaltextrun"/>
          <w:rFonts w:asciiTheme="minorHAnsi" w:hAnsiTheme="minorHAnsi" w:cstheme="minorHAnsi"/>
        </w:rPr>
        <w:t xml:space="preserve"> electrochemical</w:t>
      </w:r>
      <w:r w:rsidRPr="00C975FB">
        <w:rPr>
          <w:rStyle w:val="normaltextrun"/>
          <w:rFonts w:asciiTheme="minorHAnsi" w:hAnsiTheme="minorHAnsi" w:cstheme="minorHAnsi"/>
        </w:rPr>
        <w:t xml:space="preserve"> conversion </w:t>
      </w:r>
      <w:r w:rsidR="001C7489">
        <w:rPr>
          <w:rStyle w:val="normaltextrun"/>
          <w:rFonts w:asciiTheme="minorHAnsi" w:hAnsiTheme="minorHAnsi" w:cstheme="minorHAnsi"/>
        </w:rPr>
        <w:t>technologies</w:t>
      </w:r>
      <w:r w:rsidRPr="00C975FB">
        <w:rPr>
          <w:rStyle w:val="normaltextrun"/>
          <w:rFonts w:asciiTheme="minorHAnsi" w:hAnsiTheme="minorHAnsi" w:cstheme="minorHAnsi"/>
        </w:rPr>
        <w:t xml:space="preserve">. This Topic Area targets </w:t>
      </w:r>
      <w:r w:rsidR="00FE5847">
        <w:rPr>
          <w:rStyle w:val="normaltextrun"/>
          <w:rFonts w:asciiTheme="minorHAnsi" w:hAnsiTheme="minorHAnsi" w:cstheme="minorHAnsi"/>
        </w:rPr>
        <w:t>process technologies</w:t>
      </w:r>
      <w:r w:rsidRPr="00C975FB">
        <w:rPr>
          <w:rStyle w:val="normaltextrun"/>
          <w:rFonts w:asciiTheme="minorHAnsi" w:hAnsiTheme="minorHAnsi" w:cstheme="minorHAnsi"/>
        </w:rPr>
        <w:t xml:space="preserve"> which convert acceptable feedstocks (Appendix </w:t>
      </w:r>
      <w:r w:rsidR="00ED6009">
        <w:rPr>
          <w:rStyle w:val="normaltextrun"/>
          <w:rFonts w:asciiTheme="minorHAnsi" w:hAnsiTheme="minorHAnsi" w:cstheme="minorHAnsi"/>
        </w:rPr>
        <w:t>E</w:t>
      </w:r>
      <w:r w:rsidRPr="00C975FB">
        <w:rPr>
          <w:rStyle w:val="normaltextrun"/>
          <w:rFonts w:asciiTheme="minorHAnsi" w:hAnsiTheme="minorHAnsi" w:cstheme="minorHAnsi"/>
        </w:rPr>
        <w:t>) into chemicals that displace their incumbent fossil-derived counterparts and achieve at least a</w:t>
      </w:r>
      <w:r w:rsidR="009453AF">
        <w:rPr>
          <w:rStyle w:val="normaltextrun"/>
          <w:rFonts w:asciiTheme="minorHAnsi" w:hAnsiTheme="minorHAnsi" w:cstheme="minorHAnsi"/>
        </w:rPr>
        <w:t>n</w:t>
      </w:r>
      <w:r w:rsidRPr="00C975FB">
        <w:rPr>
          <w:rStyle w:val="normaltextrun"/>
          <w:rFonts w:asciiTheme="minorHAnsi" w:hAnsiTheme="minorHAnsi" w:cstheme="minorHAnsi"/>
        </w:rPr>
        <w:t xml:space="preserve"> </w:t>
      </w:r>
      <w:r w:rsidR="00B12F61">
        <w:rPr>
          <w:rStyle w:val="normaltextrun"/>
          <w:rFonts w:asciiTheme="minorHAnsi" w:hAnsiTheme="minorHAnsi" w:cstheme="minorHAnsi"/>
        </w:rPr>
        <w:t>85</w:t>
      </w:r>
      <w:r w:rsidRPr="00C975FB">
        <w:rPr>
          <w:rStyle w:val="normaltextrun"/>
          <w:rFonts w:asciiTheme="minorHAnsi" w:hAnsiTheme="minorHAnsi" w:cstheme="minorHAnsi"/>
        </w:rPr>
        <w:t>% reduction in lifecycle GHG emissions.</w:t>
      </w:r>
      <w:r w:rsidR="007D7CCB">
        <w:rPr>
          <w:rStyle w:val="FootnoteReference"/>
          <w:rFonts w:asciiTheme="minorHAnsi" w:hAnsiTheme="minorHAnsi" w:cstheme="minorHAnsi"/>
        </w:rPr>
        <w:footnoteReference w:id="31"/>
      </w:r>
      <w:r w:rsidRPr="00C975FB">
        <w:rPr>
          <w:rStyle w:val="normaltextrun"/>
          <w:rFonts w:asciiTheme="minorHAnsi" w:hAnsiTheme="minorHAnsi" w:cstheme="minorHAnsi"/>
        </w:rPr>
        <w:t xml:space="preserve"> Applications </w:t>
      </w:r>
      <w:r w:rsidR="0046430B">
        <w:rPr>
          <w:rStyle w:val="normaltextrun"/>
          <w:rFonts w:asciiTheme="minorHAnsi" w:hAnsiTheme="minorHAnsi" w:cstheme="minorHAnsi"/>
        </w:rPr>
        <w:t>must  address chemicals with a current U.S. production volume &gt;</w:t>
      </w:r>
      <w:r w:rsidR="00197C9C">
        <w:rPr>
          <w:rStyle w:val="normaltextrun"/>
          <w:rFonts w:asciiTheme="minorHAnsi" w:hAnsiTheme="minorHAnsi" w:cstheme="minorHAnsi"/>
        </w:rPr>
        <w:t>0.5</w:t>
      </w:r>
      <w:r w:rsidR="0046430B">
        <w:rPr>
          <w:rStyle w:val="normaltextrun"/>
          <w:rFonts w:asciiTheme="minorHAnsi" w:hAnsiTheme="minorHAnsi" w:cstheme="minorHAnsi"/>
        </w:rPr>
        <w:t xml:space="preserve"> </w:t>
      </w:r>
      <w:r w:rsidR="00973EC9">
        <w:rPr>
          <w:rStyle w:val="normaltextrun"/>
          <w:rFonts w:asciiTheme="minorHAnsi" w:hAnsiTheme="minorHAnsi" w:cstheme="minorHAnsi"/>
        </w:rPr>
        <w:t xml:space="preserve">million short tons or justify </w:t>
      </w:r>
      <w:r w:rsidR="00656640">
        <w:rPr>
          <w:rStyle w:val="normaltextrun"/>
          <w:rFonts w:asciiTheme="minorHAnsi" w:hAnsiTheme="minorHAnsi" w:cstheme="minorHAnsi"/>
        </w:rPr>
        <w:t>the ability for the technology</w:t>
      </w:r>
      <w:r w:rsidR="00FF4A09">
        <w:rPr>
          <w:rStyle w:val="normaltextrun"/>
          <w:rFonts w:asciiTheme="minorHAnsi" w:hAnsiTheme="minorHAnsi" w:cstheme="minorHAnsi"/>
        </w:rPr>
        <w:t xml:space="preserve"> to have broader </w:t>
      </w:r>
      <w:r w:rsidR="00250AE6">
        <w:rPr>
          <w:rStyle w:val="normaltextrun"/>
          <w:rFonts w:asciiTheme="minorHAnsi" w:hAnsiTheme="minorHAnsi" w:cstheme="minorHAnsi"/>
        </w:rPr>
        <w:t>decarbonization potential within the chemicals sector</w:t>
      </w:r>
      <w:r w:rsidR="002C7E47">
        <w:rPr>
          <w:rStyle w:val="normaltextrun"/>
          <w:rFonts w:asciiTheme="minorHAnsi" w:hAnsiTheme="minorHAnsi" w:cstheme="minorHAnsi"/>
        </w:rPr>
        <w:t>.</w:t>
      </w:r>
      <w:r w:rsidR="00D81E40">
        <w:rPr>
          <w:rStyle w:val="normaltextrun"/>
          <w:rFonts w:asciiTheme="minorHAnsi" w:hAnsiTheme="minorHAnsi" w:cstheme="minorHAnsi"/>
        </w:rPr>
        <w:t xml:space="preserve"> </w:t>
      </w:r>
      <w:r w:rsidR="00DE6E21">
        <w:rPr>
          <w:rStyle w:val="normaltextrun"/>
          <w:rFonts w:asciiTheme="minorHAnsi" w:hAnsiTheme="minorHAnsi" w:cstheme="minorHAnsi"/>
        </w:rPr>
        <w:t xml:space="preserve">Applications proposing pathways to produce </w:t>
      </w:r>
      <w:r w:rsidR="006A02DF">
        <w:rPr>
          <w:rStyle w:val="normaltextrun"/>
          <w:rFonts w:asciiTheme="minorHAnsi" w:hAnsiTheme="minorHAnsi" w:cstheme="minorHAnsi"/>
        </w:rPr>
        <w:t>non-drop-in</w:t>
      </w:r>
      <w:r w:rsidR="00DE6E21">
        <w:rPr>
          <w:rStyle w:val="normaltextrun"/>
          <w:rFonts w:asciiTheme="minorHAnsi" w:hAnsiTheme="minorHAnsi" w:cstheme="minorHAnsi"/>
        </w:rPr>
        <w:t xml:space="preserve"> chemicals are encouraged</w:t>
      </w:r>
      <w:r w:rsidR="00B6705F">
        <w:rPr>
          <w:rStyle w:val="normaltextrun"/>
          <w:rFonts w:asciiTheme="minorHAnsi" w:hAnsiTheme="minorHAnsi" w:cstheme="minorHAnsi"/>
        </w:rPr>
        <w:t xml:space="preserve"> </w:t>
      </w:r>
      <w:r w:rsidR="00220C22">
        <w:rPr>
          <w:rStyle w:val="normaltextrun"/>
          <w:rFonts w:asciiTheme="minorHAnsi" w:hAnsiTheme="minorHAnsi" w:cstheme="minorHAnsi"/>
        </w:rPr>
        <w:t>if they address markets &gt;0.5 million short tons</w:t>
      </w:r>
      <w:r w:rsidR="00DE6E21">
        <w:rPr>
          <w:rStyle w:val="normaltextrun"/>
          <w:rFonts w:asciiTheme="minorHAnsi" w:hAnsiTheme="minorHAnsi" w:cstheme="minorHAnsi"/>
        </w:rPr>
        <w:t xml:space="preserve">. </w:t>
      </w:r>
      <w:r w:rsidR="006A02DF">
        <w:rPr>
          <w:rStyle w:val="normaltextrun"/>
          <w:rFonts w:asciiTheme="minorHAnsi" w:hAnsiTheme="minorHAnsi" w:cstheme="minorHAnsi"/>
        </w:rPr>
        <w:t>Non-drop-in p</w:t>
      </w:r>
      <w:r w:rsidR="00AA3118">
        <w:rPr>
          <w:rStyle w:val="normaltextrun"/>
          <w:rFonts w:asciiTheme="minorHAnsi" w:hAnsiTheme="minorHAnsi" w:cstheme="minorHAnsi"/>
        </w:rPr>
        <w:t>e</w:t>
      </w:r>
      <w:r w:rsidR="004E3769">
        <w:rPr>
          <w:rStyle w:val="normaltextrun"/>
          <w:rFonts w:asciiTheme="minorHAnsi" w:hAnsiTheme="minorHAnsi" w:cstheme="minorHAnsi"/>
        </w:rPr>
        <w:t>r</w:t>
      </w:r>
      <w:r w:rsidR="00AA3118">
        <w:rPr>
          <w:rStyle w:val="normaltextrun"/>
          <w:rFonts w:asciiTheme="minorHAnsi" w:hAnsiTheme="minorHAnsi" w:cstheme="minorHAnsi"/>
        </w:rPr>
        <w:t>formance-</w:t>
      </w:r>
      <w:r w:rsidR="006A02DF">
        <w:rPr>
          <w:rStyle w:val="normaltextrun"/>
          <w:rFonts w:asciiTheme="minorHAnsi" w:hAnsiTheme="minorHAnsi" w:cstheme="minorHAnsi"/>
        </w:rPr>
        <w:t>a</w:t>
      </w:r>
      <w:r w:rsidR="00AA3118">
        <w:rPr>
          <w:rStyle w:val="normaltextrun"/>
          <w:rFonts w:asciiTheme="minorHAnsi" w:hAnsiTheme="minorHAnsi" w:cstheme="minorHAnsi"/>
        </w:rPr>
        <w:t xml:space="preserve">dvantaged </w:t>
      </w:r>
      <w:r w:rsidR="006A02DF">
        <w:rPr>
          <w:rStyle w:val="normaltextrun"/>
          <w:rFonts w:asciiTheme="minorHAnsi" w:hAnsiTheme="minorHAnsi" w:cstheme="minorHAnsi"/>
        </w:rPr>
        <w:t>b</w:t>
      </w:r>
      <w:r w:rsidR="00AA3118">
        <w:rPr>
          <w:rStyle w:val="normaltextrun"/>
          <w:rFonts w:asciiTheme="minorHAnsi" w:hAnsiTheme="minorHAnsi" w:cstheme="minorHAnsi"/>
        </w:rPr>
        <w:t>iobased</w:t>
      </w:r>
      <w:r w:rsidR="00762F15">
        <w:rPr>
          <w:rStyle w:val="normaltextrun"/>
          <w:rFonts w:asciiTheme="minorHAnsi" w:hAnsiTheme="minorHAnsi" w:cstheme="minorHAnsi"/>
        </w:rPr>
        <w:t xml:space="preserve"> chemicals</w:t>
      </w:r>
      <w:r w:rsidR="0075483C">
        <w:rPr>
          <w:rStyle w:val="FootnoteReference"/>
          <w:rFonts w:asciiTheme="minorHAnsi" w:hAnsiTheme="minorHAnsi" w:cstheme="minorHAnsi"/>
        </w:rPr>
        <w:footnoteReference w:id="32"/>
      </w:r>
      <w:r w:rsidR="00762F15">
        <w:rPr>
          <w:rStyle w:val="normaltextrun"/>
          <w:rFonts w:asciiTheme="minorHAnsi" w:hAnsiTheme="minorHAnsi" w:cstheme="minorHAnsi"/>
        </w:rPr>
        <w:t xml:space="preserve"> produced </w:t>
      </w:r>
      <w:r w:rsidR="002D2ADB">
        <w:rPr>
          <w:rStyle w:val="normaltextrun"/>
          <w:rFonts w:asciiTheme="minorHAnsi" w:hAnsiTheme="minorHAnsi" w:cstheme="minorHAnsi"/>
        </w:rPr>
        <w:t>from bio-derived building blocks</w:t>
      </w:r>
      <w:r w:rsidR="009B32E1">
        <w:rPr>
          <w:rStyle w:val="normaltextrun"/>
          <w:rFonts w:asciiTheme="minorHAnsi" w:hAnsiTheme="minorHAnsi" w:cstheme="minorHAnsi"/>
        </w:rPr>
        <w:t xml:space="preserve"> </w:t>
      </w:r>
      <w:r w:rsidR="006A02DF">
        <w:rPr>
          <w:rStyle w:val="normaltextrun"/>
          <w:rFonts w:asciiTheme="minorHAnsi" w:hAnsiTheme="minorHAnsi" w:cstheme="minorHAnsi"/>
        </w:rPr>
        <w:t xml:space="preserve">may </w:t>
      </w:r>
      <w:r w:rsidR="009B32E1">
        <w:rPr>
          <w:rStyle w:val="normaltextrun"/>
          <w:rFonts w:asciiTheme="minorHAnsi" w:hAnsiTheme="minorHAnsi" w:cstheme="minorHAnsi"/>
        </w:rPr>
        <w:t>have</w:t>
      </w:r>
      <w:r w:rsidR="006B3464">
        <w:rPr>
          <w:rStyle w:val="normaltextrun"/>
          <w:rFonts w:asciiTheme="minorHAnsi" w:hAnsiTheme="minorHAnsi" w:cstheme="minorHAnsi"/>
        </w:rPr>
        <w:t xml:space="preserve"> </w:t>
      </w:r>
      <w:r w:rsidR="009B32E1">
        <w:rPr>
          <w:rStyle w:val="normaltextrun"/>
          <w:rFonts w:asciiTheme="minorHAnsi" w:hAnsiTheme="minorHAnsi" w:cstheme="minorHAnsi"/>
        </w:rPr>
        <w:t xml:space="preserve">advantages </w:t>
      </w:r>
      <w:r w:rsidR="004628A0">
        <w:rPr>
          <w:rStyle w:val="normaltextrun"/>
          <w:rFonts w:asciiTheme="minorHAnsi" w:hAnsiTheme="minorHAnsi" w:cstheme="minorHAnsi"/>
        </w:rPr>
        <w:t>over current petro-chemical incumbents</w:t>
      </w:r>
      <w:r w:rsidR="006F59E9">
        <w:rPr>
          <w:rStyle w:val="normaltextrun"/>
          <w:rFonts w:asciiTheme="minorHAnsi" w:hAnsiTheme="minorHAnsi" w:cstheme="minorHAnsi"/>
        </w:rPr>
        <w:t>,</w:t>
      </w:r>
      <w:r w:rsidR="004628A0">
        <w:rPr>
          <w:rStyle w:val="normaltextrun"/>
          <w:rFonts w:asciiTheme="minorHAnsi" w:hAnsiTheme="minorHAnsi" w:cstheme="minorHAnsi"/>
        </w:rPr>
        <w:t xml:space="preserve"> such as</w:t>
      </w:r>
      <w:r w:rsidR="006B3464">
        <w:rPr>
          <w:rStyle w:val="normaltextrun"/>
          <w:rFonts w:asciiTheme="minorHAnsi" w:hAnsiTheme="minorHAnsi" w:cstheme="minorHAnsi"/>
        </w:rPr>
        <w:t xml:space="preserve"> lower GHG emissions, </w:t>
      </w:r>
      <w:r w:rsidR="00400589">
        <w:rPr>
          <w:rStyle w:val="normaltextrun"/>
          <w:rFonts w:asciiTheme="minorHAnsi" w:hAnsiTheme="minorHAnsi" w:cstheme="minorHAnsi"/>
        </w:rPr>
        <w:t>improved performance,</w:t>
      </w:r>
      <w:r w:rsidR="00175793">
        <w:rPr>
          <w:rStyle w:val="normaltextrun"/>
          <w:rFonts w:asciiTheme="minorHAnsi" w:hAnsiTheme="minorHAnsi" w:cstheme="minorHAnsi"/>
        </w:rPr>
        <w:t xml:space="preserve"> enhanced </w:t>
      </w:r>
      <w:r w:rsidR="00175793">
        <w:rPr>
          <w:rStyle w:val="normaltextrun"/>
          <w:rFonts w:asciiTheme="minorHAnsi" w:hAnsiTheme="minorHAnsi" w:cstheme="minorHAnsi"/>
        </w:rPr>
        <w:lastRenderedPageBreak/>
        <w:t xml:space="preserve">environmental benefits, </w:t>
      </w:r>
      <w:r w:rsidR="00400589">
        <w:rPr>
          <w:rStyle w:val="normaltextrun"/>
          <w:rFonts w:asciiTheme="minorHAnsi" w:hAnsiTheme="minorHAnsi" w:cstheme="minorHAnsi"/>
        </w:rPr>
        <w:t>or end-of-life considerations.</w:t>
      </w:r>
      <w:r w:rsidR="0032605C">
        <w:rPr>
          <w:rStyle w:val="normaltextrun"/>
          <w:rFonts w:asciiTheme="minorHAnsi" w:hAnsiTheme="minorHAnsi" w:cstheme="minorHAnsi"/>
        </w:rPr>
        <w:t xml:space="preserve"> </w:t>
      </w:r>
      <w:r w:rsidR="00E818BA">
        <w:rPr>
          <w:rStyle w:val="normaltextrun"/>
          <w:rFonts w:asciiTheme="minorHAnsi" w:hAnsiTheme="minorHAnsi" w:cstheme="minorHAnsi"/>
        </w:rPr>
        <w:t>T</w:t>
      </w:r>
      <w:r w:rsidRPr="00C975FB">
        <w:rPr>
          <w:rStyle w:val="normaltextrun"/>
          <w:rFonts w:asciiTheme="minorHAnsi" w:hAnsiTheme="minorHAnsi" w:cstheme="minorHAnsi"/>
        </w:rPr>
        <w:t>o tha</w:t>
      </w:r>
      <w:r w:rsidR="00E818BA">
        <w:rPr>
          <w:rStyle w:val="normaltextrun"/>
          <w:rFonts w:asciiTheme="minorHAnsi" w:hAnsiTheme="minorHAnsi" w:cstheme="minorHAnsi"/>
        </w:rPr>
        <w:t>t end, a</w:t>
      </w:r>
      <w:r w:rsidRPr="00C975FB">
        <w:rPr>
          <w:rStyle w:val="normaltextrun"/>
          <w:rFonts w:asciiTheme="minorHAnsi" w:hAnsiTheme="minorHAnsi" w:cstheme="minorHAnsi"/>
        </w:rPr>
        <w:t xml:space="preserve"> lifecycle assessment (LCA) describing the GHG footprint of the product must be a part of the project scope. Similarly, applicants must also articulate the technoeconomic argument and a path for commercialization for their approach and include such an analysis in their project.</w:t>
      </w:r>
      <w:r w:rsidRPr="00C975FB">
        <w:rPr>
          <w:rStyle w:val="eop"/>
          <w:rFonts w:asciiTheme="minorHAnsi" w:eastAsiaTheme="majorEastAsia" w:hAnsiTheme="minorHAnsi" w:cstheme="minorHAnsi"/>
        </w:rPr>
        <w:t> </w:t>
      </w:r>
    </w:p>
    <w:p w14:paraId="03C5AB25" w14:textId="77777777" w:rsidR="00C97643" w:rsidRDefault="00C97643" w:rsidP="00F12BFC">
      <w:pPr>
        <w:pStyle w:val="paragraph"/>
        <w:spacing w:before="0" w:beforeAutospacing="0" w:after="0" w:afterAutospacing="0"/>
        <w:ind w:left="1260"/>
        <w:textAlignment w:val="baseline"/>
        <w:rPr>
          <w:rStyle w:val="eop"/>
          <w:rFonts w:asciiTheme="minorHAnsi" w:eastAsiaTheme="majorEastAsia" w:hAnsiTheme="minorHAnsi" w:cstheme="minorHAnsi"/>
        </w:rPr>
      </w:pPr>
    </w:p>
    <w:p w14:paraId="78B52DA9" w14:textId="450986CF" w:rsidR="005F3254" w:rsidRPr="008B0D95" w:rsidRDefault="009B3018" w:rsidP="008B0D95">
      <w:pPr>
        <w:ind w:left="1296"/>
        <w:rPr>
          <w:color w:val="000000"/>
        </w:rPr>
      </w:pPr>
      <w:r w:rsidRPr="00701165">
        <w:rPr>
          <w:rFonts w:cstheme="minorHAnsi"/>
          <w:szCs w:val="24"/>
        </w:rPr>
        <w:t xml:space="preserve">Topic Area </w:t>
      </w:r>
      <w:r>
        <w:rPr>
          <w:rFonts w:cstheme="minorHAnsi"/>
          <w:szCs w:val="24"/>
        </w:rPr>
        <w:t>3</w:t>
      </w:r>
      <w:r w:rsidRPr="00701165">
        <w:rPr>
          <w:rFonts w:cstheme="minorHAnsi"/>
          <w:szCs w:val="24"/>
        </w:rPr>
        <w:t xml:space="preserve"> is intended for projects that have all prior</w:t>
      </w:r>
      <w:r>
        <w:rPr>
          <w:rFonts w:cstheme="minorHAnsi"/>
          <w:szCs w:val="24"/>
        </w:rPr>
        <w:t>-</w:t>
      </w:r>
      <w:r w:rsidRPr="00701165">
        <w:rPr>
          <w:rFonts w:cstheme="minorHAnsi"/>
          <w:szCs w:val="24"/>
        </w:rPr>
        <w:t>scale data and are ready to design</w:t>
      </w:r>
      <w:r w:rsidR="003819FD">
        <w:rPr>
          <w:rFonts w:cstheme="minorHAnsi"/>
          <w:szCs w:val="24"/>
        </w:rPr>
        <w:t>, construct and operate</w:t>
      </w:r>
      <w:r w:rsidRPr="00701165">
        <w:rPr>
          <w:rFonts w:cstheme="minorHAnsi"/>
          <w:szCs w:val="24"/>
        </w:rPr>
        <w:t xml:space="preserve"> a pilot</w:t>
      </w:r>
      <w:r w:rsidR="003819FD">
        <w:rPr>
          <w:rFonts w:cstheme="minorHAnsi"/>
          <w:szCs w:val="24"/>
        </w:rPr>
        <w:t>- or demonstration-scale</w:t>
      </w:r>
      <w:r w:rsidRPr="00701165">
        <w:rPr>
          <w:rFonts w:cstheme="minorHAnsi"/>
          <w:szCs w:val="24"/>
        </w:rPr>
        <w:t xml:space="preserve"> facility. Projects selected under </w:t>
      </w:r>
      <w:r>
        <w:rPr>
          <w:rFonts w:cstheme="minorHAnsi"/>
          <w:szCs w:val="24"/>
        </w:rPr>
        <w:t xml:space="preserve">Topic Area </w:t>
      </w:r>
      <w:r w:rsidR="003819FD">
        <w:rPr>
          <w:rFonts w:cstheme="minorHAnsi"/>
          <w:szCs w:val="24"/>
        </w:rPr>
        <w:t>3</w:t>
      </w:r>
      <w:r w:rsidRPr="00701165">
        <w:rPr>
          <w:rFonts w:cstheme="minorHAnsi"/>
          <w:szCs w:val="24"/>
        </w:rPr>
        <w:t xml:space="preserve"> </w:t>
      </w:r>
      <w:r>
        <w:rPr>
          <w:rFonts w:cstheme="minorHAnsi"/>
          <w:szCs w:val="24"/>
        </w:rPr>
        <w:t>may</w:t>
      </w:r>
      <w:r w:rsidRPr="00701165">
        <w:rPr>
          <w:rFonts w:cstheme="minorHAnsi"/>
          <w:szCs w:val="24"/>
        </w:rPr>
        <w:t xml:space="preserve"> have an opportunity to construct and operate their designed pilot</w:t>
      </w:r>
      <w:r w:rsidR="003819FD">
        <w:rPr>
          <w:rFonts w:cstheme="minorHAnsi"/>
          <w:szCs w:val="24"/>
        </w:rPr>
        <w:t>- or demonstration-scale</w:t>
      </w:r>
      <w:r w:rsidRPr="00701165">
        <w:rPr>
          <w:rFonts w:cstheme="minorHAnsi"/>
          <w:szCs w:val="24"/>
        </w:rPr>
        <w:t xml:space="preserve"> facility based on the down-select process described below</w:t>
      </w:r>
      <w:r w:rsidR="00641FD7">
        <w:rPr>
          <w:rFonts w:cstheme="minorHAnsi"/>
          <w:szCs w:val="24"/>
        </w:rPr>
        <w:t>.</w:t>
      </w:r>
    </w:p>
    <w:p w14:paraId="1D276BA9" w14:textId="77777777" w:rsidR="002C1E9C" w:rsidRPr="002C1E9C" w:rsidRDefault="002C1E9C" w:rsidP="002C1E9C">
      <w:pPr>
        <w:rPr>
          <w:color w:val="000000"/>
        </w:rPr>
      </w:pPr>
    </w:p>
    <w:p w14:paraId="3C9C2F66" w14:textId="19858B64" w:rsidR="002A77C9" w:rsidRDefault="002C1E9C" w:rsidP="002C1E9C">
      <w:pPr>
        <w:ind w:left="1260"/>
        <w:rPr>
          <w:rFonts w:ascii="Calibri" w:eastAsiaTheme="minorHAnsi" w:hAnsi="Calibri" w:cstheme="minorBidi"/>
          <w:color w:val="000000"/>
          <w:szCs w:val="22"/>
        </w:rPr>
      </w:pPr>
      <w:r w:rsidRPr="002C1E9C">
        <w:rPr>
          <w:rFonts w:ascii="Calibri" w:eastAsiaTheme="minorHAnsi" w:hAnsi="Calibri" w:cstheme="minorBidi"/>
          <w:color w:val="000000"/>
          <w:szCs w:val="22"/>
        </w:rPr>
        <w:t xml:space="preserve">Applications submitted under Topic Area </w:t>
      </w:r>
      <w:r w:rsidR="00A00655">
        <w:rPr>
          <w:rFonts w:ascii="Calibri" w:eastAsiaTheme="minorHAnsi" w:hAnsi="Calibri" w:cstheme="minorBidi"/>
          <w:color w:val="000000"/>
          <w:szCs w:val="22"/>
        </w:rPr>
        <w:t>3</w:t>
      </w:r>
      <w:r w:rsidRPr="002C1E9C">
        <w:rPr>
          <w:rFonts w:ascii="Calibri" w:eastAsiaTheme="minorHAnsi" w:hAnsi="Calibri" w:cstheme="minorBidi"/>
          <w:color w:val="000000"/>
          <w:szCs w:val="22"/>
        </w:rPr>
        <w:t xml:space="preserve"> must </w:t>
      </w:r>
      <w:r w:rsidR="00225BA3">
        <w:rPr>
          <w:rFonts w:ascii="Calibri" w:eastAsiaTheme="minorHAnsi" w:hAnsi="Calibri" w:cstheme="minorBidi"/>
          <w:color w:val="000000"/>
          <w:szCs w:val="22"/>
        </w:rPr>
        <w:t xml:space="preserve">validate process </w:t>
      </w:r>
      <w:r w:rsidR="002B7006">
        <w:rPr>
          <w:rFonts w:ascii="Calibri" w:eastAsiaTheme="minorHAnsi" w:hAnsi="Calibri" w:cstheme="minorBidi"/>
          <w:color w:val="000000"/>
          <w:szCs w:val="22"/>
        </w:rPr>
        <w:t xml:space="preserve">scale-up in an operational environment </w:t>
      </w:r>
      <w:r w:rsidR="00776E83">
        <w:rPr>
          <w:rFonts w:ascii="Calibri" w:eastAsiaTheme="minorHAnsi" w:hAnsi="Calibri" w:cstheme="minorBidi"/>
          <w:color w:val="000000"/>
          <w:szCs w:val="22"/>
        </w:rPr>
        <w:t xml:space="preserve">at TRL 6 or TRL 7 at an appropriate scale to advance </w:t>
      </w:r>
      <w:r w:rsidR="003E6BB4">
        <w:rPr>
          <w:rFonts w:ascii="Calibri" w:eastAsiaTheme="minorHAnsi" w:hAnsi="Calibri" w:cstheme="minorBidi"/>
          <w:color w:val="000000"/>
          <w:szCs w:val="22"/>
        </w:rPr>
        <w:t>the technology toward commercialization</w:t>
      </w:r>
      <w:r w:rsidR="00571556">
        <w:rPr>
          <w:rFonts w:ascii="Calibri" w:eastAsiaTheme="minorHAnsi" w:hAnsi="Calibri" w:cstheme="minorBidi"/>
          <w:color w:val="000000"/>
          <w:szCs w:val="22"/>
        </w:rPr>
        <w:t>, e.g.,</w:t>
      </w:r>
      <w:r w:rsidR="003E6BB4">
        <w:rPr>
          <w:rFonts w:ascii="Calibri" w:eastAsiaTheme="minorHAnsi" w:hAnsi="Calibri" w:cstheme="minorBidi"/>
          <w:color w:val="000000"/>
          <w:szCs w:val="22"/>
        </w:rPr>
        <w:t xml:space="preserve"> scaling to 1/100</w:t>
      </w:r>
      <w:r w:rsidR="003E6BB4" w:rsidRPr="008B0D95">
        <w:rPr>
          <w:rFonts w:ascii="Calibri" w:eastAsiaTheme="minorHAnsi" w:hAnsi="Calibri" w:cstheme="minorBidi"/>
          <w:color w:val="000000"/>
          <w:szCs w:val="22"/>
          <w:vertAlign w:val="superscript"/>
        </w:rPr>
        <w:t>th</w:t>
      </w:r>
      <w:r w:rsidR="003E6BB4">
        <w:rPr>
          <w:rFonts w:ascii="Calibri" w:eastAsiaTheme="minorHAnsi" w:hAnsi="Calibri" w:cstheme="minorBidi"/>
          <w:color w:val="000000"/>
          <w:szCs w:val="22"/>
        </w:rPr>
        <w:t xml:space="preserve"> of a commercial</w:t>
      </w:r>
      <w:r w:rsidR="00FD056C">
        <w:rPr>
          <w:rFonts w:ascii="Calibri" w:eastAsiaTheme="minorHAnsi" w:hAnsi="Calibri" w:cstheme="minorBidi"/>
          <w:color w:val="000000"/>
          <w:szCs w:val="22"/>
        </w:rPr>
        <w:t>-</w:t>
      </w:r>
      <w:r w:rsidR="00D94B5A">
        <w:rPr>
          <w:rFonts w:ascii="Calibri" w:eastAsiaTheme="minorHAnsi" w:hAnsi="Calibri" w:cstheme="minorBidi"/>
          <w:color w:val="000000"/>
          <w:szCs w:val="22"/>
        </w:rPr>
        <w:t>scale process</w:t>
      </w:r>
      <w:r w:rsidR="00852A6D">
        <w:rPr>
          <w:rFonts w:ascii="Calibri" w:eastAsiaTheme="minorHAnsi" w:hAnsi="Calibri" w:cstheme="minorBidi"/>
          <w:color w:val="000000"/>
          <w:szCs w:val="22"/>
        </w:rPr>
        <w:t xml:space="preserve"> </w:t>
      </w:r>
      <w:r w:rsidR="00D94B5A">
        <w:rPr>
          <w:rFonts w:ascii="Calibri" w:eastAsiaTheme="minorHAnsi" w:hAnsi="Calibri" w:cstheme="minorBidi"/>
          <w:color w:val="000000"/>
          <w:szCs w:val="22"/>
        </w:rPr>
        <w:t xml:space="preserve">for continuous operation. </w:t>
      </w:r>
      <w:r w:rsidR="003E42EB">
        <w:rPr>
          <w:rFonts w:ascii="Calibri" w:eastAsiaTheme="minorHAnsi" w:hAnsi="Calibri" w:cstheme="minorBidi"/>
          <w:color w:val="000000"/>
          <w:szCs w:val="22"/>
        </w:rPr>
        <w:t xml:space="preserve">Applicants are required to </w:t>
      </w:r>
      <w:r w:rsidR="001576CD">
        <w:rPr>
          <w:rFonts w:ascii="Calibri" w:eastAsiaTheme="minorHAnsi" w:hAnsi="Calibri" w:cstheme="minorBidi"/>
          <w:color w:val="000000"/>
          <w:szCs w:val="22"/>
        </w:rPr>
        <w:t xml:space="preserve">justify the process </w:t>
      </w:r>
      <w:r w:rsidR="00BC07AE">
        <w:rPr>
          <w:rFonts w:ascii="Calibri" w:eastAsiaTheme="minorHAnsi" w:hAnsi="Calibri" w:cstheme="minorBidi"/>
          <w:color w:val="000000"/>
          <w:szCs w:val="22"/>
        </w:rPr>
        <w:t xml:space="preserve">as either pilot- or demonstration-scale based on sound engineering principles, </w:t>
      </w:r>
      <w:r w:rsidR="00306CE6">
        <w:rPr>
          <w:rFonts w:ascii="Calibri" w:eastAsiaTheme="minorHAnsi" w:hAnsi="Calibri" w:cstheme="minorBidi"/>
          <w:color w:val="000000"/>
          <w:szCs w:val="22"/>
        </w:rPr>
        <w:t>prior scale data</w:t>
      </w:r>
      <w:r w:rsidR="00994083">
        <w:rPr>
          <w:rFonts w:ascii="Calibri" w:eastAsiaTheme="minorHAnsi" w:hAnsi="Calibri" w:cstheme="minorBidi"/>
          <w:color w:val="000000"/>
          <w:szCs w:val="22"/>
        </w:rPr>
        <w:t>,</w:t>
      </w:r>
      <w:r w:rsidR="00306CE6">
        <w:rPr>
          <w:rFonts w:ascii="Calibri" w:eastAsiaTheme="minorHAnsi" w:hAnsi="Calibri" w:cstheme="minorBidi"/>
          <w:color w:val="000000"/>
          <w:szCs w:val="22"/>
        </w:rPr>
        <w:t xml:space="preserve"> </w:t>
      </w:r>
      <w:r w:rsidR="002A77C9">
        <w:rPr>
          <w:rFonts w:ascii="Calibri" w:eastAsiaTheme="minorHAnsi" w:hAnsi="Calibri" w:cstheme="minorBidi"/>
          <w:color w:val="000000"/>
          <w:szCs w:val="22"/>
        </w:rPr>
        <w:t xml:space="preserve">and </w:t>
      </w:r>
      <w:r w:rsidR="00306CE6">
        <w:rPr>
          <w:rFonts w:ascii="Calibri" w:eastAsiaTheme="minorHAnsi" w:hAnsi="Calibri" w:cstheme="minorBidi"/>
          <w:color w:val="000000"/>
          <w:szCs w:val="22"/>
        </w:rPr>
        <w:t>scaling factors</w:t>
      </w:r>
      <w:r w:rsidR="002A77C9">
        <w:rPr>
          <w:rFonts w:ascii="Calibri" w:eastAsiaTheme="minorHAnsi" w:hAnsi="Calibri" w:cstheme="minorBidi"/>
          <w:color w:val="000000"/>
          <w:szCs w:val="22"/>
        </w:rPr>
        <w:t xml:space="preserve">.  </w:t>
      </w:r>
      <w:r w:rsidR="00A26178">
        <w:rPr>
          <w:rFonts w:ascii="Calibri" w:eastAsiaTheme="minorHAnsi" w:hAnsi="Calibri" w:cstheme="minorBidi"/>
          <w:color w:val="000000"/>
          <w:szCs w:val="22"/>
        </w:rPr>
        <w:t xml:space="preserve">  </w:t>
      </w:r>
      <w:r w:rsidR="00B3494A">
        <w:rPr>
          <w:rFonts w:ascii="Calibri" w:eastAsiaTheme="minorHAnsi" w:hAnsi="Calibri" w:cstheme="minorBidi"/>
          <w:color w:val="000000"/>
          <w:szCs w:val="22"/>
        </w:rPr>
        <w:t xml:space="preserve"> </w:t>
      </w:r>
    </w:p>
    <w:p w14:paraId="2AFCB4AE" w14:textId="77777777" w:rsidR="002A77C9" w:rsidRDefault="002A77C9" w:rsidP="002C1E9C">
      <w:pPr>
        <w:ind w:left="1260"/>
        <w:rPr>
          <w:rFonts w:ascii="Calibri" w:eastAsiaTheme="minorHAnsi" w:hAnsi="Calibri" w:cstheme="minorBidi"/>
          <w:color w:val="000000"/>
          <w:szCs w:val="22"/>
        </w:rPr>
      </w:pPr>
    </w:p>
    <w:p w14:paraId="0C59FC47" w14:textId="0F80FDE2" w:rsidR="002C1E9C" w:rsidRPr="002C1E9C" w:rsidRDefault="002C1E9C" w:rsidP="002C1E9C">
      <w:pPr>
        <w:ind w:left="1260"/>
        <w:rPr>
          <w:rFonts w:ascii="Calibri" w:eastAsiaTheme="minorHAnsi" w:hAnsi="Calibri" w:cstheme="minorBidi"/>
          <w:color w:val="000000"/>
          <w:szCs w:val="22"/>
        </w:rPr>
      </w:pPr>
      <w:r w:rsidRPr="002C1E9C">
        <w:rPr>
          <w:rFonts w:ascii="Calibri" w:eastAsiaTheme="minorHAnsi" w:hAnsi="Calibri" w:cstheme="minorBidi"/>
          <w:color w:val="000000"/>
          <w:szCs w:val="22"/>
        </w:rPr>
        <w:t xml:space="preserve">Proposed technologies must meet </w:t>
      </w:r>
      <w:r w:rsidR="00475B41" w:rsidRPr="008B0D95">
        <w:rPr>
          <w:rFonts w:ascii="Calibri" w:eastAsiaTheme="minorHAnsi" w:hAnsi="Calibri" w:cstheme="minorBidi"/>
          <w:color w:val="000000"/>
          <w:szCs w:val="22"/>
        </w:rPr>
        <w:t>85</w:t>
      </w:r>
      <w:r w:rsidRPr="00A26178">
        <w:rPr>
          <w:rFonts w:ascii="Calibri" w:eastAsiaTheme="minorHAnsi" w:hAnsi="Calibri" w:cstheme="minorBidi"/>
          <w:color w:val="000000"/>
          <w:szCs w:val="22"/>
        </w:rPr>
        <w:t>%</w:t>
      </w:r>
      <w:r w:rsidRPr="002C1E9C">
        <w:rPr>
          <w:rFonts w:ascii="Calibri" w:eastAsiaTheme="minorHAnsi" w:hAnsi="Calibri" w:cstheme="minorBidi"/>
          <w:color w:val="000000"/>
          <w:szCs w:val="22"/>
        </w:rPr>
        <w:t xml:space="preserve"> GHG reduction relative to the petroleum-derived alternative. </w:t>
      </w:r>
      <w:r w:rsidRPr="002C1E9C">
        <w:rPr>
          <w:rFonts w:ascii="Calibri" w:eastAsiaTheme="minorHAnsi" w:hAnsi="Calibri" w:cstheme="minorBidi"/>
          <w:b/>
          <w:color w:val="000000"/>
          <w:szCs w:val="22"/>
        </w:rPr>
        <w:t xml:space="preserve">Although </w:t>
      </w:r>
      <w:r w:rsidR="001B0149" w:rsidRPr="008B0D95">
        <w:rPr>
          <w:rFonts w:ascii="Calibri" w:eastAsiaTheme="minorHAnsi" w:hAnsi="Calibri" w:cstheme="minorBidi"/>
          <w:b/>
          <w:color w:val="000000"/>
          <w:szCs w:val="22"/>
        </w:rPr>
        <w:t>85</w:t>
      </w:r>
      <w:r w:rsidRPr="00A26178">
        <w:rPr>
          <w:rFonts w:ascii="Calibri" w:eastAsiaTheme="minorHAnsi" w:hAnsi="Calibri" w:cstheme="minorBidi"/>
          <w:b/>
          <w:color w:val="000000"/>
          <w:szCs w:val="22"/>
        </w:rPr>
        <w:t>%</w:t>
      </w:r>
      <w:r w:rsidRPr="002C1E9C">
        <w:rPr>
          <w:rFonts w:ascii="Calibri" w:eastAsiaTheme="minorHAnsi" w:hAnsi="Calibri" w:cstheme="minorBidi"/>
          <w:b/>
          <w:color w:val="000000"/>
          <w:szCs w:val="22"/>
        </w:rPr>
        <w:t xml:space="preserve"> GHG reduction is the minimum allowable, applications with greater GHG reductions are highly encouraged and may </w:t>
      </w:r>
      <w:sdt>
        <w:sdtPr>
          <w:rPr>
            <w:rFonts w:ascii="Calibri" w:eastAsiaTheme="minorHAnsi" w:hAnsi="Calibri" w:cstheme="minorBidi"/>
            <w:szCs w:val="22"/>
          </w:rPr>
          <w:tag w:val="goog_rdk_73"/>
          <w:id w:val="-1834440608"/>
        </w:sdtPr>
        <w:sdtEndPr/>
        <w:sdtContent/>
      </w:sdt>
      <w:sdt>
        <w:sdtPr>
          <w:rPr>
            <w:rFonts w:ascii="Calibri" w:eastAsiaTheme="minorHAnsi" w:hAnsi="Calibri" w:cstheme="minorBidi"/>
            <w:szCs w:val="22"/>
          </w:rPr>
          <w:tag w:val="goog_rdk_74"/>
          <w:id w:val="-556556022"/>
        </w:sdtPr>
        <w:sdtEndPr/>
        <w:sdtContent/>
      </w:sdt>
      <w:sdt>
        <w:sdtPr>
          <w:rPr>
            <w:rFonts w:ascii="Calibri" w:eastAsiaTheme="minorHAnsi" w:hAnsi="Calibri" w:cstheme="minorBidi"/>
            <w:szCs w:val="22"/>
          </w:rPr>
          <w:tag w:val="goog_rdk_75"/>
          <w:id w:val="1539391638"/>
        </w:sdtPr>
        <w:sdtEndPr/>
        <w:sdtContent/>
      </w:sdt>
      <w:sdt>
        <w:sdtPr>
          <w:rPr>
            <w:rFonts w:ascii="Calibri" w:eastAsiaTheme="minorHAnsi" w:hAnsi="Calibri" w:cstheme="minorBidi"/>
            <w:szCs w:val="22"/>
          </w:rPr>
          <w:tag w:val="goog_rdk_76"/>
          <w:id w:val="-28566569"/>
        </w:sdtPr>
        <w:sdtEndPr/>
        <w:sdtContent/>
      </w:sdt>
      <w:r w:rsidRPr="002C1E9C">
        <w:rPr>
          <w:rFonts w:ascii="Calibri" w:eastAsiaTheme="minorHAnsi" w:hAnsi="Calibri" w:cstheme="minorBidi"/>
          <w:b/>
          <w:color w:val="000000"/>
          <w:szCs w:val="22"/>
        </w:rPr>
        <w:t>receive preference by way of a Program Policy Factor (section V.C.i).</w:t>
      </w:r>
      <w:r w:rsidRPr="002C1E9C">
        <w:rPr>
          <w:rFonts w:ascii="Calibri" w:eastAsiaTheme="minorHAnsi" w:hAnsi="Calibri" w:cstheme="minorBidi"/>
          <w:color w:val="000000"/>
          <w:szCs w:val="22"/>
        </w:rPr>
        <w:t xml:space="preserve"> The minimum baseline technology readiness level for projects submitted under this topic is </w:t>
      </w:r>
      <w:r w:rsidRPr="00A26178">
        <w:rPr>
          <w:rFonts w:ascii="Calibri" w:eastAsiaTheme="minorHAnsi" w:hAnsi="Calibri" w:cstheme="minorBidi"/>
          <w:color w:val="000000"/>
          <w:szCs w:val="22"/>
        </w:rPr>
        <w:t xml:space="preserve">TRL </w:t>
      </w:r>
      <w:r w:rsidR="001B0149" w:rsidRPr="008B0D95">
        <w:rPr>
          <w:rFonts w:ascii="Calibri" w:eastAsiaTheme="minorHAnsi" w:hAnsi="Calibri" w:cstheme="minorBidi"/>
          <w:color w:val="000000"/>
          <w:szCs w:val="22"/>
        </w:rPr>
        <w:t>5</w:t>
      </w:r>
      <w:r w:rsidRPr="00A26178">
        <w:rPr>
          <w:rFonts w:ascii="Calibri" w:eastAsiaTheme="minorHAnsi" w:hAnsi="Calibri" w:cstheme="minorBidi"/>
          <w:color w:val="000000"/>
          <w:szCs w:val="22"/>
        </w:rPr>
        <w:t xml:space="preserve"> with a maximum of TRL 7</w:t>
      </w:r>
      <w:r w:rsidRPr="002C1E9C">
        <w:rPr>
          <w:rFonts w:ascii="Calibri" w:eastAsiaTheme="minorHAnsi" w:hAnsi="Calibri" w:cstheme="minorBidi"/>
          <w:color w:val="000000"/>
          <w:szCs w:val="22"/>
        </w:rPr>
        <w:t xml:space="preserve"> at the conclusion of the project. Minimum requirements for Topic Area </w:t>
      </w:r>
      <w:r w:rsidR="00A00655">
        <w:rPr>
          <w:rFonts w:ascii="Calibri" w:eastAsiaTheme="minorHAnsi" w:hAnsi="Calibri" w:cstheme="minorBidi"/>
          <w:color w:val="000000"/>
          <w:szCs w:val="22"/>
        </w:rPr>
        <w:t>3</w:t>
      </w:r>
      <w:r w:rsidRPr="002C1E9C">
        <w:rPr>
          <w:rFonts w:ascii="Calibri" w:eastAsiaTheme="minorHAnsi" w:hAnsi="Calibri" w:cstheme="minorBidi"/>
          <w:color w:val="000000"/>
          <w:szCs w:val="22"/>
        </w:rPr>
        <w:t xml:space="preserve"> are shown in </w:t>
      </w:r>
      <w:r w:rsidR="008C01C5">
        <w:rPr>
          <w:rFonts w:ascii="Calibri" w:eastAsiaTheme="minorHAnsi" w:hAnsi="Calibri" w:cstheme="minorBidi"/>
          <w:color w:val="0070C0"/>
          <w:szCs w:val="22"/>
          <w:u w:val="single"/>
        </w:rPr>
        <w:fldChar w:fldCharType="begin"/>
      </w:r>
      <w:r w:rsidR="008C01C5">
        <w:rPr>
          <w:rFonts w:ascii="Calibri" w:eastAsiaTheme="minorHAnsi" w:hAnsi="Calibri" w:cstheme="minorBidi"/>
          <w:color w:val="0070C0"/>
          <w:szCs w:val="22"/>
          <w:u w:val="single"/>
        </w:rPr>
        <w:instrText xml:space="preserve"> REF  _Ref170220640  \* MERGEFORMAT </w:instrText>
      </w:r>
      <w:r w:rsidR="008C01C5">
        <w:rPr>
          <w:rFonts w:ascii="Calibri" w:eastAsiaTheme="minorHAnsi" w:hAnsi="Calibri" w:cstheme="minorBidi"/>
          <w:color w:val="0070C0"/>
          <w:szCs w:val="22"/>
          <w:u w:val="single"/>
        </w:rPr>
        <w:fldChar w:fldCharType="separate"/>
      </w:r>
      <w:r w:rsidR="001B6894">
        <w:t xml:space="preserve">Table </w:t>
      </w:r>
      <w:r w:rsidR="001B6894">
        <w:rPr>
          <w:noProof/>
        </w:rPr>
        <w:t>5</w:t>
      </w:r>
      <w:r w:rsidR="008C01C5">
        <w:rPr>
          <w:rFonts w:ascii="Calibri" w:eastAsiaTheme="minorHAnsi" w:hAnsi="Calibri" w:cstheme="minorBidi"/>
          <w:color w:val="0070C0"/>
          <w:szCs w:val="22"/>
          <w:u w:val="single"/>
        </w:rPr>
        <w:fldChar w:fldCharType="end"/>
      </w:r>
      <w:r w:rsidR="00134B0A">
        <w:rPr>
          <w:rFonts w:ascii="Calibri" w:eastAsiaTheme="minorHAnsi" w:hAnsi="Calibri" w:cstheme="minorBidi"/>
          <w:color w:val="000000"/>
          <w:szCs w:val="22"/>
        </w:rPr>
        <w:t xml:space="preserve"> </w:t>
      </w:r>
      <w:r w:rsidRPr="002C1E9C">
        <w:rPr>
          <w:rFonts w:ascii="Calibri" w:eastAsiaTheme="minorHAnsi" w:hAnsi="Calibri" w:cstheme="minorBidi"/>
          <w:color w:val="000000"/>
          <w:szCs w:val="22"/>
        </w:rPr>
        <w:t>below:</w:t>
      </w:r>
    </w:p>
    <w:p w14:paraId="732FE703" w14:textId="77777777" w:rsidR="002C1E9C" w:rsidRPr="002C1E9C" w:rsidRDefault="002C1E9C" w:rsidP="002C1E9C">
      <w:pPr>
        <w:ind w:left="1260"/>
        <w:rPr>
          <w:rFonts w:ascii="Calibri" w:eastAsiaTheme="minorHAnsi" w:hAnsi="Calibri" w:cstheme="minorBidi"/>
          <w:color w:val="000000"/>
          <w:szCs w:val="22"/>
        </w:rPr>
      </w:pPr>
    </w:p>
    <w:p w14:paraId="0FBE5946" w14:textId="1546F4DC" w:rsidR="002C1E9C" w:rsidRPr="002C1E9C" w:rsidRDefault="00134B0A" w:rsidP="008B0D95">
      <w:pPr>
        <w:pStyle w:val="Caption"/>
      </w:pPr>
      <w:bookmarkStart w:id="38" w:name="_Ref170220640"/>
      <w:bookmarkStart w:id="39" w:name="_Ref170220668"/>
      <w:r>
        <w:t xml:space="preserve">Table </w:t>
      </w:r>
      <w:r>
        <w:fldChar w:fldCharType="begin"/>
      </w:r>
      <w:r>
        <w:instrText xml:space="preserve"> SEQ Table \* ARABIC </w:instrText>
      </w:r>
      <w:r>
        <w:fldChar w:fldCharType="separate"/>
      </w:r>
      <w:r w:rsidR="001B6894">
        <w:rPr>
          <w:noProof/>
        </w:rPr>
        <w:t>5</w:t>
      </w:r>
      <w:r>
        <w:fldChar w:fldCharType="end"/>
      </w:r>
      <w:bookmarkEnd w:id="38"/>
      <w:r>
        <w:t xml:space="preserve">: </w:t>
      </w:r>
      <w:r w:rsidRPr="009C6266">
        <w:t>Topic Area 3 Minimum Requirements</w:t>
      </w:r>
      <w:bookmarkEnd w:id="39"/>
      <w:r w:rsidR="00BD682E">
        <w:t>*</w:t>
      </w:r>
    </w:p>
    <w:tbl>
      <w:tblPr>
        <w:tblStyle w:val="31"/>
        <w:tblW w:w="8100" w:type="dxa"/>
        <w:tblInd w:w="1250" w:type="dxa"/>
        <w:tblLayout w:type="fixed"/>
        <w:tblLook w:val="0400" w:firstRow="0" w:lastRow="0" w:firstColumn="0" w:lastColumn="0" w:noHBand="0" w:noVBand="1"/>
      </w:tblPr>
      <w:tblGrid>
        <w:gridCol w:w="2525"/>
        <w:gridCol w:w="5575"/>
      </w:tblGrid>
      <w:tr w:rsidR="002C1E9C" w:rsidRPr="002C1E9C" w14:paraId="3D67AD7B" w14:textId="77777777" w:rsidTr="00586B53">
        <w:trPr>
          <w:trHeight w:val="169"/>
        </w:trPr>
        <w:tc>
          <w:tcPr>
            <w:tcW w:w="2525" w:type="dxa"/>
            <w:tcBorders>
              <w:top w:val="single" w:sz="8" w:space="0" w:color="000000"/>
              <w:left w:val="single" w:sz="8" w:space="0" w:color="000000"/>
              <w:bottom w:val="single" w:sz="8" w:space="0" w:color="000000"/>
              <w:right w:val="nil"/>
            </w:tcBorders>
            <w:shd w:val="clear" w:color="auto" w:fill="auto"/>
            <w:vAlign w:val="bottom"/>
          </w:tcPr>
          <w:p w14:paraId="14739D96" w14:textId="77777777" w:rsidR="002C1E9C" w:rsidRPr="002C1E9C" w:rsidRDefault="002C1E9C" w:rsidP="002C1E9C">
            <w:pPr>
              <w:rPr>
                <w:rFonts w:ascii="Calibri" w:eastAsia="Times New Roman" w:hAnsi="Calibri" w:cs="Times New Roman"/>
                <w:b/>
                <w:color w:val="000000"/>
                <w:sz w:val="22"/>
                <w:szCs w:val="22"/>
              </w:rPr>
            </w:pPr>
            <w:r w:rsidRPr="002C1E9C">
              <w:rPr>
                <w:rFonts w:ascii="Calibri" w:eastAsia="Times New Roman" w:hAnsi="Calibri" w:cs="Times New Roman"/>
                <w:b/>
                <w:color w:val="000000"/>
                <w:sz w:val="22"/>
                <w:szCs w:val="22"/>
              </w:rPr>
              <w:t>Metric: </w:t>
            </w:r>
          </w:p>
        </w:tc>
        <w:tc>
          <w:tcPr>
            <w:tcW w:w="5575" w:type="dxa"/>
            <w:tcBorders>
              <w:top w:val="single" w:sz="8" w:space="0" w:color="000000"/>
              <w:left w:val="single" w:sz="8" w:space="0" w:color="000000"/>
              <w:bottom w:val="single" w:sz="8" w:space="0" w:color="000000"/>
              <w:right w:val="single" w:sz="8" w:space="0" w:color="000000"/>
            </w:tcBorders>
            <w:shd w:val="clear" w:color="auto" w:fill="auto"/>
            <w:vAlign w:val="bottom"/>
          </w:tcPr>
          <w:p w14:paraId="32713E16" w14:textId="77777777" w:rsidR="002C1E9C" w:rsidRPr="002C1E9C" w:rsidRDefault="002C1E9C" w:rsidP="002C1E9C">
            <w:pPr>
              <w:rPr>
                <w:rFonts w:ascii="Calibri" w:eastAsia="Times New Roman" w:hAnsi="Calibri" w:cs="Times New Roman"/>
                <w:b/>
                <w:color w:val="000000"/>
                <w:sz w:val="22"/>
                <w:szCs w:val="22"/>
              </w:rPr>
            </w:pPr>
            <w:r w:rsidRPr="002C1E9C">
              <w:rPr>
                <w:rFonts w:ascii="Calibri" w:eastAsia="Times New Roman" w:hAnsi="Calibri" w:cs="Times New Roman"/>
                <w:b/>
                <w:color w:val="000000"/>
                <w:sz w:val="22"/>
                <w:szCs w:val="22"/>
              </w:rPr>
              <w:t>Minimum: </w:t>
            </w:r>
          </w:p>
        </w:tc>
      </w:tr>
      <w:tr w:rsidR="002C1E9C" w:rsidRPr="002C1E9C" w14:paraId="6C8FE338" w14:textId="77777777" w:rsidTr="00586B53">
        <w:trPr>
          <w:trHeight w:val="161"/>
        </w:trPr>
        <w:tc>
          <w:tcPr>
            <w:tcW w:w="2525" w:type="dxa"/>
            <w:tcBorders>
              <w:top w:val="nil"/>
              <w:left w:val="single" w:sz="8" w:space="0" w:color="000000"/>
              <w:bottom w:val="single" w:sz="4" w:space="0" w:color="000000"/>
              <w:right w:val="nil"/>
            </w:tcBorders>
            <w:shd w:val="clear" w:color="auto" w:fill="auto"/>
            <w:vAlign w:val="center"/>
          </w:tcPr>
          <w:p w14:paraId="4D771935" w14:textId="4888393E" w:rsidR="002C1E9C" w:rsidRPr="002C1E9C" w:rsidRDefault="00A143E0" w:rsidP="002C1E9C">
            <w:pPr>
              <w:rPr>
                <w:rFonts w:ascii="Calibri" w:eastAsia="Times New Roman" w:hAnsi="Calibri" w:cs="Times New Roman"/>
                <w:color w:val="000000"/>
                <w:sz w:val="22"/>
                <w:szCs w:val="22"/>
              </w:rPr>
            </w:pPr>
            <w:r>
              <w:rPr>
                <w:rFonts w:eastAsia="Times New Roman" w:cs="Times New Roman"/>
                <w:color w:val="000000"/>
                <w:sz w:val="22"/>
                <w:szCs w:val="22"/>
              </w:rPr>
              <w:t>Organic Chemical</w:t>
            </w:r>
          </w:p>
        </w:tc>
        <w:tc>
          <w:tcPr>
            <w:tcW w:w="5575" w:type="dxa"/>
            <w:tcBorders>
              <w:top w:val="nil"/>
              <w:left w:val="single" w:sz="8" w:space="0" w:color="000000"/>
              <w:bottom w:val="single" w:sz="4" w:space="0" w:color="000000"/>
              <w:right w:val="single" w:sz="8" w:space="0" w:color="000000"/>
            </w:tcBorders>
            <w:shd w:val="clear" w:color="auto" w:fill="auto"/>
          </w:tcPr>
          <w:p w14:paraId="6D0ED1B4" w14:textId="41691D86" w:rsidR="002C1E9C" w:rsidRPr="008B0D95" w:rsidRDefault="00F90762" w:rsidP="002C1E9C">
            <w:pPr>
              <w:rPr>
                <w:rFonts w:ascii="Calibri" w:eastAsia="Times New Roman" w:hAnsi="Calibri" w:cs="Times New Roman"/>
                <w:color w:val="000000"/>
                <w:sz w:val="22"/>
                <w:szCs w:val="22"/>
                <w:highlight w:val="yellow"/>
              </w:rPr>
            </w:pPr>
            <w:r w:rsidRPr="008B0D95">
              <w:rPr>
                <w:rFonts w:ascii="Calibri" w:hAnsi="Calibri"/>
                <w:color w:val="000000"/>
                <w:sz w:val="22"/>
                <w:szCs w:val="22"/>
              </w:rPr>
              <w:t>Organic chemicals</w:t>
            </w:r>
            <w:r w:rsidR="00114CE3">
              <w:rPr>
                <w:rFonts w:ascii="Calibri" w:hAnsi="Calibri"/>
                <w:color w:val="000000"/>
                <w:sz w:val="22"/>
                <w:szCs w:val="22"/>
              </w:rPr>
              <w:t xml:space="preserve"> </w:t>
            </w:r>
            <w:r w:rsidR="009B4D98">
              <w:rPr>
                <w:rFonts w:ascii="Calibri" w:hAnsi="Calibri"/>
                <w:color w:val="000000"/>
                <w:sz w:val="22"/>
                <w:szCs w:val="22"/>
              </w:rPr>
              <w:t xml:space="preserve">from renewable feedstocks </w:t>
            </w:r>
            <w:r w:rsidRPr="008B0D95">
              <w:rPr>
                <w:rFonts w:ascii="Calibri" w:hAnsi="Calibri"/>
                <w:color w:val="000000"/>
                <w:sz w:val="22"/>
                <w:szCs w:val="22"/>
              </w:rPr>
              <w:t>with annual U.S. domestic production exceeding 0.5 million short tons.</w:t>
            </w:r>
          </w:p>
        </w:tc>
      </w:tr>
      <w:tr w:rsidR="002C1E9C" w:rsidRPr="002C1E9C" w14:paraId="58911718" w14:textId="77777777" w:rsidTr="00586B53">
        <w:trPr>
          <w:trHeight w:val="161"/>
        </w:trPr>
        <w:tc>
          <w:tcPr>
            <w:tcW w:w="2525" w:type="dxa"/>
            <w:tcBorders>
              <w:top w:val="nil"/>
              <w:left w:val="single" w:sz="8" w:space="0" w:color="000000"/>
              <w:bottom w:val="single" w:sz="4" w:space="0" w:color="000000"/>
              <w:right w:val="nil"/>
            </w:tcBorders>
            <w:shd w:val="clear" w:color="auto" w:fill="auto"/>
            <w:vAlign w:val="center"/>
          </w:tcPr>
          <w:p w14:paraId="670CCCDC" w14:textId="789E64B5" w:rsidR="002C1E9C" w:rsidRPr="002C1E9C" w:rsidRDefault="00A143E0" w:rsidP="002C1E9C">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Chemical</w:t>
            </w:r>
            <w:r w:rsidR="002C1E9C" w:rsidRPr="002C1E9C">
              <w:rPr>
                <w:rFonts w:ascii="Calibri" w:eastAsia="Times New Roman" w:hAnsi="Calibri" w:cs="Times New Roman"/>
                <w:color w:val="000000"/>
                <w:sz w:val="22"/>
                <w:szCs w:val="22"/>
              </w:rPr>
              <w:t xml:space="preserve"> Selling Price</w:t>
            </w:r>
          </w:p>
        </w:tc>
        <w:tc>
          <w:tcPr>
            <w:tcW w:w="5575" w:type="dxa"/>
            <w:tcBorders>
              <w:top w:val="nil"/>
              <w:left w:val="single" w:sz="8" w:space="0" w:color="000000"/>
              <w:bottom w:val="single" w:sz="4" w:space="0" w:color="000000"/>
              <w:right w:val="single" w:sz="8" w:space="0" w:color="000000"/>
            </w:tcBorders>
            <w:shd w:val="clear" w:color="auto" w:fill="auto"/>
          </w:tcPr>
          <w:p w14:paraId="711BF4F4" w14:textId="6F8A7B72" w:rsidR="002C1E9C" w:rsidRPr="008B0D95" w:rsidRDefault="002C1E9C" w:rsidP="002C1E9C">
            <w:pPr>
              <w:rPr>
                <w:rFonts w:ascii="Calibri" w:eastAsia="Times New Roman" w:hAnsi="Calibri" w:cs="Times New Roman"/>
                <w:color w:val="000000"/>
                <w:sz w:val="22"/>
                <w:szCs w:val="22"/>
                <w:highlight w:val="yellow"/>
              </w:rPr>
            </w:pPr>
            <w:r w:rsidRPr="00A143E0">
              <w:rPr>
                <w:rFonts w:ascii="Calibri" w:hAnsi="Calibri"/>
                <w:color w:val="000000"/>
                <w:sz w:val="22"/>
                <w:szCs w:val="22"/>
              </w:rPr>
              <w:t xml:space="preserve">Cost competitive with petroleum-based </w:t>
            </w:r>
            <w:r w:rsidR="00EB76D7">
              <w:rPr>
                <w:rFonts w:ascii="Calibri" w:hAnsi="Calibri"/>
                <w:color w:val="000000"/>
                <w:sz w:val="22"/>
                <w:szCs w:val="22"/>
              </w:rPr>
              <w:t>equivalents</w:t>
            </w:r>
            <w:r w:rsidRPr="00A143E0">
              <w:rPr>
                <w:rFonts w:ascii="Calibri" w:hAnsi="Calibri"/>
                <w:color w:val="000000"/>
                <w:sz w:val="22"/>
                <w:szCs w:val="22"/>
              </w:rPr>
              <w:t xml:space="preserve"> (model TEA for n</w:t>
            </w:r>
            <w:r w:rsidRPr="00A143E0">
              <w:rPr>
                <w:rFonts w:ascii="Calibri" w:hAnsi="Calibri"/>
                <w:color w:val="000000"/>
                <w:sz w:val="22"/>
                <w:szCs w:val="22"/>
                <w:vertAlign w:val="superscript"/>
              </w:rPr>
              <w:t>th</w:t>
            </w:r>
            <w:r w:rsidRPr="00A143E0">
              <w:rPr>
                <w:rFonts w:ascii="Calibri" w:hAnsi="Calibri"/>
                <w:color w:val="000000"/>
                <w:sz w:val="22"/>
                <w:szCs w:val="22"/>
              </w:rPr>
              <w:t xml:space="preserve"> plant)</w:t>
            </w:r>
          </w:p>
        </w:tc>
      </w:tr>
      <w:tr w:rsidR="002C1E9C" w:rsidRPr="002C1E9C" w14:paraId="6F887719" w14:textId="77777777" w:rsidTr="00586B53">
        <w:trPr>
          <w:trHeight w:val="323"/>
        </w:trPr>
        <w:tc>
          <w:tcPr>
            <w:tcW w:w="2525" w:type="dxa"/>
            <w:tcBorders>
              <w:top w:val="nil"/>
              <w:left w:val="single" w:sz="8" w:space="0" w:color="000000"/>
              <w:bottom w:val="single" w:sz="4" w:space="0" w:color="000000"/>
              <w:right w:val="nil"/>
            </w:tcBorders>
            <w:shd w:val="clear" w:color="auto" w:fill="auto"/>
            <w:vAlign w:val="center"/>
          </w:tcPr>
          <w:p w14:paraId="512FE7A2" w14:textId="77777777" w:rsidR="002C1E9C" w:rsidRPr="002C1E9C" w:rsidRDefault="002C1E9C" w:rsidP="002C1E9C">
            <w:pPr>
              <w:rPr>
                <w:rFonts w:ascii="Calibri" w:eastAsia="Times New Roman" w:hAnsi="Calibri" w:cs="Times New Roman"/>
                <w:color w:val="000000"/>
                <w:sz w:val="22"/>
                <w:szCs w:val="22"/>
              </w:rPr>
            </w:pPr>
            <w:r w:rsidRPr="002C1E9C">
              <w:rPr>
                <w:rFonts w:ascii="Calibri" w:eastAsia="Times New Roman" w:hAnsi="Calibri" w:cs="Times New Roman"/>
                <w:color w:val="000000"/>
                <w:sz w:val="22"/>
                <w:szCs w:val="22"/>
              </w:rPr>
              <w:t>Cumulative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35D60B9E" w14:textId="0174B641" w:rsidR="002C1E9C" w:rsidRPr="008B0D95" w:rsidRDefault="005D0464" w:rsidP="002C1E9C">
            <w:pPr>
              <w:rPr>
                <w:rFonts w:ascii="Calibri" w:eastAsia="Times New Roman" w:hAnsi="Calibri" w:cs="Times New Roman"/>
                <w:color w:val="000000"/>
                <w:sz w:val="22"/>
                <w:szCs w:val="22"/>
                <w:highlight w:val="yellow"/>
              </w:rPr>
            </w:pPr>
            <w:r>
              <w:rPr>
                <w:rFonts w:ascii="Calibri" w:hAnsi="Calibri"/>
                <w:color w:val="000000"/>
                <w:sz w:val="22"/>
                <w:szCs w:val="22"/>
              </w:rPr>
              <w:t xml:space="preserve">Pilot-scale: </w:t>
            </w:r>
            <w:r w:rsidR="002C1E9C" w:rsidRPr="00A143E0">
              <w:rPr>
                <w:rFonts w:ascii="Calibri" w:hAnsi="Calibri"/>
                <w:color w:val="000000"/>
                <w:sz w:val="22"/>
                <w:szCs w:val="22"/>
              </w:rPr>
              <w:t>1</w:t>
            </w:r>
            <w:r w:rsidR="00560DA0">
              <w:rPr>
                <w:rFonts w:ascii="Calibri" w:hAnsi="Calibri"/>
                <w:color w:val="000000"/>
                <w:sz w:val="22"/>
                <w:szCs w:val="22"/>
              </w:rPr>
              <w:t>500</w:t>
            </w:r>
            <w:r w:rsidR="002C1E9C" w:rsidRPr="00A143E0">
              <w:rPr>
                <w:rFonts w:ascii="Calibri" w:hAnsi="Calibri"/>
                <w:color w:val="000000"/>
                <w:sz w:val="22"/>
                <w:szCs w:val="22"/>
              </w:rPr>
              <w:t xml:space="preserve"> hours</w:t>
            </w:r>
            <w:r>
              <w:rPr>
                <w:rFonts w:ascii="Calibri" w:hAnsi="Calibri"/>
                <w:color w:val="000000"/>
                <w:sz w:val="22"/>
                <w:szCs w:val="22"/>
              </w:rPr>
              <w:t xml:space="preserve"> </w:t>
            </w:r>
            <w:r w:rsidR="00D96AD2">
              <w:rPr>
                <w:rFonts w:ascii="Calibri" w:hAnsi="Calibri"/>
                <w:color w:val="000000"/>
                <w:sz w:val="22"/>
                <w:szCs w:val="22"/>
              </w:rPr>
              <w:t xml:space="preserve">/ </w:t>
            </w:r>
            <w:r>
              <w:rPr>
                <w:rFonts w:ascii="Calibri" w:hAnsi="Calibri"/>
                <w:color w:val="000000"/>
                <w:sz w:val="22"/>
                <w:szCs w:val="22"/>
              </w:rPr>
              <w:t>Demonstration-scale: 1500 hours</w:t>
            </w:r>
          </w:p>
        </w:tc>
      </w:tr>
      <w:tr w:rsidR="002C1E9C" w:rsidRPr="002C1E9C" w14:paraId="12C739D6" w14:textId="77777777" w:rsidTr="00586B53">
        <w:trPr>
          <w:trHeight w:val="323"/>
        </w:trPr>
        <w:tc>
          <w:tcPr>
            <w:tcW w:w="2525" w:type="dxa"/>
            <w:tcBorders>
              <w:top w:val="nil"/>
              <w:left w:val="single" w:sz="8" w:space="0" w:color="000000"/>
              <w:bottom w:val="single" w:sz="4" w:space="0" w:color="000000"/>
              <w:right w:val="nil"/>
            </w:tcBorders>
            <w:shd w:val="clear" w:color="auto" w:fill="auto"/>
            <w:vAlign w:val="center"/>
          </w:tcPr>
          <w:p w14:paraId="614DFDF4" w14:textId="77777777" w:rsidR="002C1E9C" w:rsidRPr="002C1E9C" w:rsidRDefault="002C1E9C" w:rsidP="002C1E9C">
            <w:pPr>
              <w:rPr>
                <w:rFonts w:ascii="Calibri" w:eastAsia="Times New Roman" w:hAnsi="Calibri" w:cs="Times New Roman"/>
                <w:color w:val="000000"/>
                <w:sz w:val="22"/>
                <w:szCs w:val="22"/>
              </w:rPr>
            </w:pPr>
            <w:r w:rsidRPr="002C1E9C">
              <w:rPr>
                <w:rFonts w:ascii="Calibri" w:eastAsia="Times New Roman" w:hAnsi="Calibri" w:cs="Times New Roman"/>
                <w:color w:val="000000"/>
                <w:sz w:val="22"/>
                <w:szCs w:val="22"/>
              </w:rPr>
              <w:t>Continuous Time on Stream</w:t>
            </w:r>
          </w:p>
        </w:tc>
        <w:tc>
          <w:tcPr>
            <w:tcW w:w="5575" w:type="dxa"/>
            <w:tcBorders>
              <w:top w:val="nil"/>
              <w:left w:val="single" w:sz="8" w:space="0" w:color="000000"/>
              <w:bottom w:val="single" w:sz="4" w:space="0" w:color="000000"/>
              <w:right w:val="single" w:sz="8" w:space="0" w:color="000000"/>
            </w:tcBorders>
            <w:shd w:val="clear" w:color="auto" w:fill="auto"/>
            <w:vAlign w:val="center"/>
          </w:tcPr>
          <w:p w14:paraId="08146DDC" w14:textId="7580856C" w:rsidR="002C1E9C" w:rsidRPr="008B0D95" w:rsidRDefault="005D0464" w:rsidP="002C1E9C">
            <w:pPr>
              <w:rPr>
                <w:rFonts w:ascii="Calibri" w:eastAsia="Times New Roman" w:hAnsi="Calibri" w:cs="Times New Roman"/>
                <w:color w:val="000000"/>
                <w:sz w:val="22"/>
                <w:szCs w:val="22"/>
                <w:highlight w:val="yellow"/>
              </w:rPr>
            </w:pPr>
            <w:r>
              <w:rPr>
                <w:rFonts w:ascii="Calibri" w:hAnsi="Calibri"/>
                <w:color w:val="000000"/>
                <w:sz w:val="22"/>
                <w:szCs w:val="22"/>
              </w:rPr>
              <w:t xml:space="preserve">Pilot-scale: </w:t>
            </w:r>
            <w:r w:rsidR="00560DA0">
              <w:rPr>
                <w:rFonts w:ascii="Calibri" w:hAnsi="Calibri"/>
                <w:color w:val="000000"/>
                <w:sz w:val="22"/>
                <w:szCs w:val="22"/>
              </w:rPr>
              <w:t>1000</w:t>
            </w:r>
            <w:r w:rsidR="002C1E9C" w:rsidRPr="00A143E0">
              <w:rPr>
                <w:rFonts w:ascii="Calibri" w:hAnsi="Calibri"/>
                <w:color w:val="000000"/>
                <w:sz w:val="22"/>
                <w:szCs w:val="22"/>
              </w:rPr>
              <w:t xml:space="preserve"> hours</w:t>
            </w:r>
            <w:r w:rsidR="00D96AD2">
              <w:rPr>
                <w:rFonts w:ascii="Calibri" w:hAnsi="Calibri"/>
                <w:color w:val="000000"/>
                <w:sz w:val="22"/>
                <w:szCs w:val="22"/>
              </w:rPr>
              <w:t xml:space="preserve"> / Demonstration-scale: 1000 hours</w:t>
            </w:r>
          </w:p>
        </w:tc>
      </w:tr>
      <w:tr w:rsidR="002C1E9C" w:rsidRPr="002C1E9C" w14:paraId="388B1501" w14:textId="77777777" w:rsidTr="00586B53">
        <w:trPr>
          <w:trHeight w:val="626"/>
        </w:trPr>
        <w:tc>
          <w:tcPr>
            <w:tcW w:w="2525" w:type="dxa"/>
            <w:tcBorders>
              <w:top w:val="single" w:sz="4" w:space="0" w:color="000000"/>
              <w:left w:val="single" w:sz="4" w:space="0" w:color="000000"/>
              <w:bottom w:val="single" w:sz="4" w:space="0" w:color="000000"/>
              <w:right w:val="nil"/>
            </w:tcBorders>
            <w:shd w:val="clear" w:color="auto" w:fill="auto"/>
            <w:vAlign w:val="center"/>
          </w:tcPr>
          <w:p w14:paraId="000280F7" w14:textId="77777777" w:rsidR="002C1E9C" w:rsidRPr="002C1E9C" w:rsidRDefault="002C1E9C" w:rsidP="002C1E9C">
            <w:pPr>
              <w:rPr>
                <w:rFonts w:ascii="Calibri" w:eastAsia="Times New Roman" w:hAnsi="Calibri" w:cs="Times New Roman"/>
                <w:color w:val="000000"/>
                <w:sz w:val="22"/>
                <w:szCs w:val="22"/>
              </w:rPr>
            </w:pPr>
            <w:r w:rsidRPr="002C1E9C">
              <w:rPr>
                <w:rFonts w:ascii="Calibri" w:eastAsia="Times New Roman" w:hAnsi="Calibri" w:cs="Times New Roman"/>
                <w:color w:val="000000"/>
                <w:sz w:val="22"/>
                <w:szCs w:val="22"/>
              </w:rPr>
              <w:t>Throughput Equivalent </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B1A3C5F" w14:textId="5E8B67B6" w:rsidR="002C1E9C" w:rsidRPr="008B0D95" w:rsidRDefault="002802CD" w:rsidP="002C1E9C">
            <w:pPr>
              <w:rPr>
                <w:rFonts w:ascii="Calibri" w:eastAsia="Times New Roman" w:hAnsi="Calibri" w:cs="Times New Roman"/>
                <w:color w:val="000000"/>
                <w:sz w:val="22"/>
                <w:szCs w:val="22"/>
                <w:highlight w:val="yellow"/>
              </w:rPr>
            </w:pPr>
            <w:r>
              <w:rPr>
                <w:rFonts w:ascii="Calibri" w:hAnsi="Calibri"/>
                <w:color w:val="000000"/>
                <w:sz w:val="22"/>
                <w:szCs w:val="22"/>
              </w:rPr>
              <w:t xml:space="preserve">To be determined </w:t>
            </w:r>
            <w:r w:rsidR="00A11309">
              <w:rPr>
                <w:rFonts w:ascii="Calibri" w:hAnsi="Calibri"/>
                <w:color w:val="000000"/>
                <w:sz w:val="22"/>
                <w:szCs w:val="22"/>
              </w:rPr>
              <w:t xml:space="preserve">and justified </w:t>
            </w:r>
            <w:r>
              <w:rPr>
                <w:rFonts w:ascii="Calibri" w:hAnsi="Calibri"/>
                <w:color w:val="000000"/>
                <w:sz w:val="22"/>
                <w:szCs w:val="22"/>
              </w:rPr>
              <w:t>by applicant</w:t>
            </w:r>
            <w:r w:rsidR="00A11309">
              <w:rPr>
                <w:rFonts w:ascii="Calibri" w:hAnsi="Calibri"/>
                <w:color w:val="000000"/>
                <w:sz w:val="22"/>
                <w:szCs w:val="22"/>
              </w:rPr>
              <w:t xml:space="preserve"> for pilot- or demonstration-scale</w:t>
            </w:r>
            <w:r w:rsidR="007B2D4A">
              <w:rPr>
                <w:rFonts w:ascii="Calibri" w:hAnsi="Calibri"/>
                <w:color w:val="000000"/>
                <w:sz w:val="22"/>
                <w:szCs w:val="22"/>
              </w:rPr>
              <w:t xml:space="preserve">, e.g., </w:t>
            </w:r>
            <w:r w:rsidR="002232EB">
              <w:rPr>
                <w:rFonts w:ascii="Calibri" w:hAnsi="Calibri"/>
                <w:color w:val="000000"/>
                <w:sz w:val="22"/>
                <w:szCs w:val="22"/>
              </w:rPr>
              <w:t>1</w:t>
            </w:r>
            <w:r w:rsidR="007D4C9B">
              <w:rPr>
                <w:rFonts w:ascii="Calibri" w:hAnsi="Calibri"/>
                <w:color w:val="000000"/>
                <w:sz w:val="22"/>
                <w:szCs w:val="22"/>
              </w:rPr>
              <w:t>00</w:t>
            </w:r>
            <w:r w:rsidR="002232EB">
              <w:rPr>
                <w:rFonts w:ascii="Calibri" w:hAnsi="Calibri"/>
                <w:color w:val="000000"/>
                <w:sz w:val="22"/>
                <w:szCs w:val="22"/>
              </w:rPr>
              <w:t xml:space="preserve"> </w:t>
            </w:r>
            <w:r w:rsidR="007D4C9B">
              <w:rPr>
                <w:rFonts w:ascii="Calibri" w:hAnsi="Calibri"/>
                <w:color w:val="000000"/>
                <w:sz w:val="22"/>
                <w:szCs w:val="22"/>
              </w:rPr>
              <w:t>lbs</w:t>
            </w:r>
            <w:r w:rsidR="002232EB">
              <w:rPr>
                <w:rFonts w:ascii="Calibri" w:hAnsi="Calibri"/>
                <w:color w:val="000000"/>
                <w:sz w:val="22"/>
                <w:szCs w:val="22"/>
              </w:rPr>
              <w:t xml:space="preserve"> per day, or 1 short ton per day for pilot-, or demonstration-scale, respectively.</w:t>
            </w:r>
          </w:p>
        </w:tc>
      </w:tr>
      <w:tr w:rsidR="002C1E9C" w:rsidRPr="002C1E9C" w14:paraId="204E4634" w14:textId="77777777" w:rsidTr="00586B53">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4AB19ECE" w14:textId="77777777" w:rsidR="002C1E9C" w:rsidRPr="002C1E9C" w:rsidRDefault="002C1E9C" w:rsidP="002C1E9C">
            <w:pPr>
              <w:rPr>
                <w:rFonts w:ascii="Calibri" w:eastAsia="Times New Roman" w:hAnsi="Calibri" w:cs="Times New Roman"/>
                <w:color w:val="000000"/>
                <w:sz w:val="22"/>
                <w:szCs w:val="22"/>
              </w:rPr>
            </w:pPr>
            <w:r w:rsidRPr="002C1E9C">
              <w:rPr>
                <w:rFonts w:ascii="Calibri" w:eastAsia="Times New Roman" w:hAnsi="Calibri" w:cs="Times New Roman"/>
                <w:color w:val="000000"/>
                <w:sz w:val="22"/>
                <w:szCs w:val="22"/>
              </w:rPr>
              <w:t>GHG Reductions</w:t>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B261DB4" w14:textId="251690A7" w:rsidR="002C1E9C" w:rsidRPr="001F5634" w:rsidRDefault="00A11309" w:rsidP="002C1E9C">
            <w:pPr>
              <w:rPr>
                <w:rFonts w:ascii="Calibri" w:eastAsia="Times New Roman" w:hAnsi="Calibri" w:cs="Times New Roman"/>
                <w:color w:val="000000"/>
                <w:sz w:val="22"/>
                <w:szCs w:val="22"/>
              </w:rPr>
            </w:pPr>
            <w:r w:rsidRPr="008B0D95">
              <w:rPr>
                <w:rFonts w:ascii="Calibri" w:hAnsi="Calibri"/>
                <w:color w:val="000000"/>
                <w:sz w:val="22"/>
                <w:szCs w:val="22"/>
              </w:rPr>
              <w:t>85%</w:t>
            </w:r>
          </w:p>
        </w:tc>
      </w:tr>
      <w:tr w:rsidR="002C1E9C" w:rsidRPr="002C1E9C" w14:paraId="2EC00537" w14:textId="77777777" w:rsidTr="00586B53">
        <w:trPr>
          <w:trHeight w:val="90"/>
        </w:trPr>
        <w:tc>
          <w:tcPr>
            <w:tcW w:w="2525" w:type="dxa"/>
            <w:tcBorders>
              <w:top w:val="single" w:sz="4" w:space="0" w:color="000000"/>
              <w:left w:val="single" w:sz="4" w:space="0" w:color="000000"/>
              <w:bottom w:val="single" w:sz="4" w:space="0" w:color="000000"/>
              <w:right w:val="nil"/>
            </w:tcBorders>
            <w:shd w:val="clear" w:color="auto" w:fill="auto"/>
            <w:vAlign w:val="center"/>
          </w:tcPr>
          <w:p w14:paraId="75E7FB20" w14:textId="77777777" w:rsidR="002C1E9C" w:rsidRPr="002C1E9C" w:rsidRDefault="002C1E9C" w:rsidP="002C1E9C">
            <w:pPr>
              <w:rPr>
                <w:rFonts w:ascii="Calibri" w:eastAsia="Times New Roman" w:hAnsi="Calibri" w:cs="Times New Roman"/>
                <w:color w:val="000000"/>
                <w:sz w:val="22"/>
                <w:szCs w:val="22"/>
              </w:rPr>
            </w:pPr>
            <w:r w:rsidRPr="002C1E9C">
              <w:rPr>
                <w:rFonts w:ascii="Calibri" w:eastAsia="Times New Roman" w:hAnsi="Calibri" w:cs="Times New Roman"/>
                <w:color w:val="000000"/>
                <w:sz w:val="22"/>
                <w:szCs w:val="22"/>
              </w:rPr>
              <w:lastRenderedPageBreak/>
              <w:t>Allowable Feedstocks</w:t>
            </w:r>
            <w:r w:rsidRPr="002C1E9C">
              <w:rPr>
                <w:rFonts w:ascii="Calibri" w:eastAsia="Times New Roman" w:hAnsi="Calibri" w:cs="Times New Roman"/>
                <w:color w:val="000000"/>
                <w:sz w:val="22"/>
                <w:szCs w:val="22"/>
                <w:vertAlign w:val="superscript"/>
              </w:rPr>
              <w:footnoteReference w:id="33"/>
            </w:r>
          </w:p>
        </w:tc>
        <w:tc>
          <w:tcPr>
            <w:tcW w:w="557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F99EA57" w14:textId="77777777" w:rsidR="002C1E9C" w:rsidRPr="001F5634" w:rsidRDefault="002C1E9C" w:rsidP="002C1E9C">
            <w:pPr>
              <w:rPr>
                <w:rFonts w:ascii="Calibri" w:eastAsia="Times New Roman" w:hAnsi="Calibri" w:cs="Times New Roman"/>
                <w:color w:val="000000"/>
                <w:sz w:val="22"/>
                <w:szCs w:val="22"/>
              </w:rPr>
            </w:pPr>
            <w:r w:rsidRPr="001F5634">
              <w:rPr>
                <w:rFonts w:ascii="Calibri" w:hAnsi="Calibri"/>
                <w:color w:val="000000"/>
                <w:sz w:val="22"/>
                <w:szCs w:val="22"/>
              </w:rPr>
              <w:t>Lignocellulosic Feedstocks, Algae, Organic Wet Waste, Sorted Municipal Solid Waste, Food Waste, Biogas, Grain Starch, Oilseed Crops, C&amp;D Waste, Waste CO</w:t>
            </w:r>
            <w:r w:rsidRPr="001F5634">
              <w:rPr>
                <w:rFonts w:ascii="Calibri" w:hAnsi="Calibri"/>
                <w:color w:val="000000"/>
                <w:sz w:val="22"/>
                <w:szCs w:val="22"/>
                <w:vertAlign w:val="subscript"/>
              </w:rPr>
              <w:t>2</w:t>
            </w:r>
            <w:r w:rsidRPr="001F5634">
              <w:rPr>
                <w:rFonts w:ascii="Calibri" w:hAnsi="Calibri"/>
                <w:color w:val="000000"/>
                <w:sz w:val="22"/>
                <w:szCs w:val="22"/>
              </w:rPr>
              <w:t>, and CO</w:t>
            </w:r>
            <w:r w:rsidRPr="001F5634">
              <w:rPr>
                <w:rFonts w:ascii="Calibri" w:hAnsi="Calibri"/>
                <w:color w:val="000000"/>
                <w:sz w:val="22"/>
                <w:szCs w:val="22"/>
                <w:vertAlign w:val="subscript"/>
              </w:rPr>
              <w:t>2</w:t>
            </w:r>
            <w:r w:rsidRPr="001F5634">
              <w:rPr>
                <w:rFonts w:ascii="Calibri" w:hAnsi="Calibri"/>
                <w:color w:val="000000"/>
                <w:sz w:val="22"/>
                <w:szCs w:val="22"/>
              </w:rPr>
              <w:t xml:space="preserve"> by Direct Air Capture</w:t>
            </w:r>
          </w:p>
        </w:tc>
      </w:tr>
      <w:tr w:rsidR="002C1E9C" w:rsidRPr="002C1E9C" w14:paraId="45923F06" w14:textId="77777777" w:rsidTr="00586B53">
        <w:trPr>
          <w:trHeight w:val="90"/>
        </w:trPr>
        <w:tc>
          <w:tcPr>
            <w:tcW w:w="8100"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1794E141" w14:textId="6DB820D8" w:rsidR="002C1E9C" w:rsidRPr="008B0D95" w:rsidRDefault="001F5634" w:rsidP="002C1E9C">
            <w:pPr>
              <w:rPr>
                <w:rFonts w:ascii="Calibri" w:eastAsia="Times New Roman" w:hAnsi="Calibri" w:cs="Times New Roman"/>
                <w:color w:val="000000"/>
                <w:sz w:val="22"/>
                <w:szCs w:val="22"/>
                <w:highlight w:val="yellow"/>
              </w:rPr>
            </w:pPr>
            <w:r>
              <w:rPr>
                <w:rFonts w:ascii="Calibri" w:hAnsi="Calibri"/>
                <w:color w:val="000000"/>
                <w:sz w:val="22"/>
                <w:szCs w:val="22"/>
              </w:rPr>
              <w:t xml:space="preserve">*Applications submitted under Topic Area </w:t>
            </w:r>
            <w:r w:rsidR="00BD682E">
              <w:rPr>
                <w:rFonts w:ascii="Calibri" w:hAnsi="Calibri"/>
                <w:color w:val="000000"/>
                <w:sz w:val="22"/>
                <w:szCs w:val="22"/>
              </w:rPr>
              <w:t>3</w:t>
            </w:r>
            <w:r>
              <w:rPr>
                <w:rFonts w:ascii="Calibri" w:hAnsi="Calibri"/>
                <w:color w:val="000000"/>
                <w:sz w:val="22"/>
                <w:szCs w:val="22"/>
              </w:rPr>
              <w:t xml:space="preserve"> must reflect the minimum requirements indicated in this table as the expectation for an eventual facility that may be constructed and operated in Phase 2, subject to the application’s down-selection from Phase 1.</w:t>
            </w:r>
            <w:r>
              <w:rPr>
                <w:rStyle w:val="CommentReference"/>
                <w:rFonts w:eastAsia="Times New Roman" w:cs="Times New Roman"/>
              </w:rPr>
              <w:t xml:space="preserve"> </w:t>
            </w:r>
          </w:p>
        </w:tc>
      </w:tr>
    </w:tbl>
    <w:p w14:paraId="16889CCD" w14:textId="77777777" w:rsidR="002C1E9C" w:rsidRDefault="002C1E9C" w:rsidP="002C1E9C">
      <w:pPr>
        <w:ind w:left="1260"/>
        <w:rPr>
          <w:rFonts w:ascii="Calibri" w:eastAsiaTheme="minorHAnsi" w:hAnsi="Calibri" w:cstheme="minorBidi"/>
          <w:color w:val="000000"/>
          <w:szCs w:val="22"/>
        </w:rPr>
      </w:pPr>
    </w:p>
    <w:p w14:paraId="060A7BB8" w14:textId="089BB0FF" w:rsidR="00B972F1" w:rsidRDefault="00B972F1" w:rsidP="00B972F1">
      <w:pPr>
        <w:pStyle w:val="FOATemplateBody"/>
        <w:ind w:left="1260"/>
        <w:rPr>
          <w:color w:val="000000"/>
        </w:rPr>
      </w:pPr>
      <w:r w:rsidRPr="00AF2E02">
        <w:rPr>
          <w:color w:val="000000"/>
        </w:rPr>
        <w:t>Given the high cost and complexity of</w:t>
      </w:r>
      <w:r w:rsidR="00095D26">
        <w:rPr>
          <w:color w:val="000000"/>
        </w:rPr>
        <w:t xml:space="preserve"> pilot- and</w:t>
      </w:r>
      <w:r w:rsidRPr="00AF2E02">
        <w:rPr>
          <w:color w:val="000000"/>
        </w:rPr>
        <w:t xml:space="preserve"> </w:t>
      </w:r>
      <w:r>
        <w:rPr>
          <w:color w:val="000000"/>
        </w:rPr>
        <w:t>demonstration-</w:t>
      </w:r>
      <w:r w:rsidRPr="00AF2E02">
        <w:rPr>
          <w:color w:val="000000"/>
        </w:rPr>
        <w:t xml:space="preserve">scale projects, </w:t>
      </w:r>
      <w:r>
        <w:rPr>
          <w:color w:val="000000"/>
        </w:rPr>
        <w:t>selected applicants</w:t>
      </w:r>
      <w:r w:rsidRPr="00AF2E02">
        <w:rPr>
          <w:color w:val="000000"/>
        </w:rPr>
        <w:t xml:space="preserve"> in </w:t>
      </w:r>
      <w:r>
        <w:rPr>
          <w:color w:val="000000"/>
        </w:rPr>
        <w:t xml:space="preserve">Topic Area </w:t>
      </w:r>
      <w:r w:rsidR="00AD3847">
        <w:rPr>
          <w:color w:val="000000"/>
        </w:rPr>
        <w:t>3</w:t>
      </w:r>
      <w:r w:rsidRPr="00AF2E02">
        <w:rPr>
          <w:color w:val="000000"/>
        </w:rPr>
        <w:t xml:space="preserve"> will undergo</w:t>
      </w:r>
      <w:r>
        <w:rPr>
          <w:color w:val="000000"/>
        </w:rPr>
        <w:t xml:space="preserve"> a phased approach as depicted in</w:t>
      </w:r>
      <w:r w:rsidR="00AD3847">
        <w:rPr>
          <w:color w:val="000000"/>
        </w:rPr>
        <w:t xml:space="preserve"> Table 6</w:t>
      </w:r>
      <w:r>
        <w:rPr>
          <w:color w:val="000000"/>
        </w:rPr>
        <w:t xml:space="preserve"> below.</w:t>
      </w:r>
      <w:r w:rsidRPr="00AF2E02">
        <w:rPr>
          <w:color w:val="000000"/>
        </w:rPr>
        <w:t xml:space="preserve"> </w:t>
      </w:r>
      <w:r>
        <w:rPr>
          <w:color w:val="000000"/>
        </w:rPr>
        <w:t>Phase 1 will consist of a</w:t>
      </w:r>
      <w:r w:rsidRPr="00AF2E02">
        <w:rPr>
          <w:color w:val="000000"/>
        </w:rPr>
        <w:t xml:space="preserve"> </w:t>
      </w:r>
      <w:r w:rsidRPr="004F771F">
        <w:rPr>
          <w:color w:val="000000"/>
        </w:rPr>
        <w:t xml:space="preserve">24-month </w:t>
      </w:r>
      <w:r>
        <w:rPr>
          <w:color w:val="000000"/>
        </w:rPr>
        <w:t>“</w:t>
      </w:r>
      <w:r w:rsidRPr="004F771F">
        <w:rPr>
          <w:color w:val="000000"/>
        </w:rPr>
        <w:t>Verification</w:t>
      </w:r>
      <w:r w:rsidRPr="00AF2E02">
        <w:rPr>
          <w:color w:val="000000"/>
        </w:rPr>
        <w:t xml:space="preserve"> &amp; Design Basis Definition</w:t>
      </w:r>
      <w:r>
        <w:rPr>
          <w:color w:val="000000"/>
        </w:rPr>
        <w:t>”</w:t>
      </w:r>
      <w:r w:rsidRPr="00AF2E02">
        <w:rPr>
          <w:color w:val="000000"/>
        </w:rPr>
        <w:t xml:space="preserve"> phase to </w:t>
      </w:r>
      <w:r>
        <w:rPr>
          <w:color w:val="000000"/>
        </w:rPr>
        <w:t>verify</w:t>
      </w:r>
      <w:r w:rsidRPr="00AF2E02">
        <w:rPr>
          <w:color w:val="000000"/>
        </w:rPr>
        <w:t xml:space="preserve"> prior</w:t>
      </w:r>
      <w:r>
        <w:rPr>
          <w:color w:val="000000"/>
        </w:rPr>
        <w:t>-</w:t>
      </w:r>
      <w:r w:rsidRPr="00AF2E02">
        <w:rPr>
          <w:color w:val="000000"/>
        </w:rPr>
        <w:t>scale data and readiness to proceed</w:t>
      </w:r>
      <w:r>
        <w:rPr>
          <w:color w:val="000000"/>
        </w:rPr>
        <w:t xml:space="preserve">. </w:t>
      </w:r>
      <w:r w:rsidRPr="004F771F">
        <w:rPr>
          <w:color w:val="000000"/>
        </w:rPr>
        <w:t>Up to $3,000,000</w:t>
      </w:r>
      <w:r>
        <w:rPr>
          <w:color w:val="000000"/>
        </w:rPr>
        <w:t xml:space="preserve"> of federal funds will be made available for each Phase 1 project. A minimum of 50% cost share is required for Phase 1. </w:t>
      </w:r>
      <w:r w:rsidRPr="00AF2E02">
        <w:rPr>
          <w:color w:val="000000"/>
        </w:rPr>
        <w:t xml:space="preserve">DOE will conduct a down-select review between Phase 1 and the </w:t>
      </w:r>
      <w:r>
        <w:rPr>
          <w:color w:val="000000"/>
        </w:rPr>
        <w:t xml:space="preserve">final </w:t>
      </w:r>
      <w:r w:rsidRPr="00AF2E02">
        <w:rPr>
          <w:color w:val="000000"/>
        </w:rPr>
        <w:t>design/construction/operation phase (Phase 2), also referred to as Critical Decision (CD) 2</w:t>
      </w:r>
      <w:r>
        <w:rPr>
          <w:color w:val="000000"/>
        </w:rPr>
        <w:t>.</w:t>
      </w:r>
      <w:r w:rsidRPr="00AF2E02">
        <w:rPr>
          <w:rStyle w:val="FootnoteReference"/>
          <w:color w:val="000000"/>
        </w:rPr>
        <w:footnoteReference w:id="34"/>
      </w:r>
      <w:r w:rsidRPr="00AF2E02">
        <w:rPr>
          <w:color w:val="000000"/>
        </w:rPr>
        <w:t xml:space="preserve">  The down-select decision will be made by DOE at the completion of the </w:t>
      </w:r>
      <w:r w:rsidR="00BE1A86">
        <w:rPr>
          <w:color w:val="000000"/>
        </w:rPr>
        <w:t>12</w:t>
      </w:r>
      <w:r w:rsidR="00465F0B">
        <w:rPr>
          <w:color w:val="000000"/>
        </w:rPr>
        <w:t xml:space="preserve"> to </w:t>
      </w:r>
      <w:r>
        <w:rPr>
          <w:color w:val="000000"/>
        </w:rPr>
        <w:t>24</w:t>
      </w:r>
      <w:r w:rsidRPr="00AF2E02">
        <w:rPr>
          <w:color w:val="000000"/>
        </w:rPr>
        <w:t>-month Phase 1</w:t>
      </w:r>
      <w:r>
        <w:rPr>
          <w:color w:val="000000"/>
        </w:rPr>
        <w:t xml:space="preserve"> period</w:t>
      </w:r>
      <w:r w:rsidRPr="00AF2E02">
        <w:rPr>
          <w:color w:val="000000"/>
        </w:rPr>
        <w:t xml:space="preserve">. Project performance in Phase 1, as well as portfolio balance, </w:t>
      </w:r>
      <w:r>
        <w:rPr>
          <w:color w:val="000000"/>
        </w:rPr>
        <w:t>availability</w:t>
      </w:r>
      <w:r w:rsidRPr="00AF2E02">
        <w:rPr>
          <w:color w:val="000000"/>
        </w:rPr>
        <w:t xml:space="preserve"> of funds, and other factors, will be considered in the </w:t>
      </w:r>
      <w:r>
        <w:rPr>
          <w:color w:val="000000"/>
        </w:rPr>
        <w:t>down-select</w:t>
      </w:r>
      <w:r w:rsidRPr="00AF2E02">
        <w:rPr>
          <w:color w:val="000000"/>
        </w:rPr>
        <w:t xml:space="preserve"> process.  </w:t>
      </w:r>
      <w:r>
        <w:rPr>
          <w:color w:val="000000"/>
        </w:rPr>
        <w:t xml:space="preserve">Please see Appendix I – Preliminary Design Requirements for a list of the criteria upon which EERE will evaluate Phase 1 projects.  </w:t>
      </w:r>
      <w:r w:rsidRPr="00AF2E02">
        <w:rPr>
          <w:color w:val="000000"/>
        </w:rPr>
        <w:t xml:space="preserve">Only projects selected by DOE as a result of the down-select process will be eligible to receive additional </w:t>
      </w:r>
      <w:r>
        <w:rPr>
          <w:color w:val="000000"/>
        </w:rPr>
        <w:t xml:space="preserve">Phase 2 </w:t>
      </w:r>
      <w:r w:rsidRPr="00AF2E02">
        <w:rPr>
          <w:color w:val="000000"/>
        </w:rPr>
        <w:t xml:space="preserve">funding, subject to </w:t>
      </w:r>
      <w:r>
        <w:rPr>
          <w:color w:val="000000"/>
        </w:rPr>
        <w:t xml:space="preserve">future appropriations and </w:t>
      </w:r>
      <w:r w:rsidRPr="00AF2E02">
        <w:rPr>
          <w:color w:val="000000"/>
        </w:rPr>
        <w:t>the availability</w:t>
      </w:r>
      <w:r>
        <w:rPr>
          <w:color w:val="000000"/>
        </w:rPr>
        <w:t xml:space="preserve"> </w:t>
      </w:r>
      <w:r w:rsidRPr="00AF2E02">
        <w:rPr>
          <w:color w:val="000000"/>
        </w:rPr>
        <w:t xml:space="preserve">of </w:t>
      </w:r>
      <w:r>
        <w:rPr>
          <w:color w:val="000000"/>
        </w:rPr>
        <w:t>funds</w:t>
      </w:r>
      <w:r w:rsidRPr="00AF2E02">
        <w:rPr>
          <w:color w:val="000000"/>
        </w:rPr>
        <w:t xml:space="preserve">, and be permitted to proceed into the </w:t>
      </w:r>
      <w:r>
        <w:rPr>
          <w:color w:val="000000"/>
        </w:rPr>
        <w:t>36</w:t>
      </w:r>
      <w:r w:rsidRPr="00AF2E02">
        <w:rPr>
          <w:color w:val="000000"/>
        </w:rPr>
        <w:t>-</w:t>
      </w:r>
      <w:r>
        <w:rPr>
          <w:color w:val="000000"/>
        </w:rPr>
        <w:t>60</w:t>
      </w:r>
      <w:r w:rsidRPr="00AF2E02">
        <w:rPr>
          <w:color w:val="000000"/>
        </w:rPr>
        <w:t xml:space="preserve"> month design/construction/operation phase (Phase 2).</w:t>
      </w:r>
      <w:r>
        <w:rPr>
          <w:color w:val="000000"/>
        </w:rPr>
        <w:t xml:space="preserve">  </w:t>
      </w:r>
    </w:p>
    <w:p w14:paraId="5B38FA60" w14:textId="77777777" w:rsidR="00B972F1" w:rsidRDefault="00B972F1" w:rsidP="00B972F1">
      <w:pPr>
        <w:pStyle w:val="FOATemplateBody"/>
        <w:ind w:left="1260"/>
        <w:rPr>
          <w:color w:val="000000"/>
        </w:rPr>
      </w:pPr>
    </w:p>
    <w:p w14:paraId="33EA23BC" w14:textId="146FFA66" w:rsidR="00B972F1" w:rsidRDefault="00B972F1" w:rsidP="00B972F1">
      <w:pPr>
        <w:pStyle w:val="Caption"/>
        <w:keepNext/>
      </w:pPr>
      <w:r>
        <w:t xml:space="preserve">Table </w:t>
      </w:r>
      <w:r w:rsidR="00E41EB4">
        <w:t>6</w:t>
      </w:r>
      <w:r>
        <w:t xml:space="preserve">: </w:t>
      </w:r>
      <w:r w:rsidRPr="006C019C">
        <w:t xml:space="preserve">Topic Area </w:t>
      </w:r>
      <w:r w:rsidR="00E41EB4">
        <w:t>3</w:t>
      </w:r>
      <w:r w:rsidRPr="006C019C">
        <w:t xml:space="preserve"> Award Structure</w:t>
      </w:r>
      <w:r>
        <w:t xml:space="preserve"> – Preliminary Design and Phased Construction</w:t>
      </w:r>
    </w:p>
    <w:tbl>
      <w:tblPr>
        <w:tblStyle w:val="29"/>
        <w:tblW w:w="8015" w:type="dxa"/>
        <w:tblInd w:w="1250" w:type="dxa"/>
        <w:tblLayout w:type="fixed"/>
        <w:tblLook w:val="0400" w:firstRow="0" w:lastRow="0" w:firstColumn="0" w:lastColumn="0" w:noHBand="0" w:noVBand="1"/>
      </w:tblPr>
      <w:tblGrid>
        <w:gridCol w:w="2160"/>
        <w:gridCol w:w="990"/>
        <w:gridCol w:w="4865"/>
      </w:tblGrid>
      <w:tr w:rsidR="00B972F1" w:rsidRPr="00AF2E02" w14:paraId="0A4BC601" w14:textId="77777777" w:rsidTr="0007273A">
        <w:trPr>
          <w:trHeight w:val="300"/>
        </w:trPr>
        <w:tc>
          <w:tcPr>
            <w:tcW w:w="216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38699FD7" w14:textId="77777777" w:rsidR="00B972F1" w:rsidRPr="00AF2E02" w:rsidRDefault="00B972F1" w:rsidP="0007273A">
            <w:pPr>
              <w:rPr>
                <w:rFonts w:ascii="Calibri" w:hAnsi="Calibri"/>
                <w:b/>
                <w:color w:val="000000"/>
                <w:sz w:val="22"/>
                <w:szCs w:val="22"/>
              </w:rPr>
            </w:pPr>
            <w:r w:rsidRPr="00AF2E02">
              <w:rPr>
                <w:rFonts w:ascii="Calibri" w:hAnsi="Calibri"/>
                <w:b/>
                <w:color w:val="000000"/>
                <w:sz w:val="22"/>
                <w:szCs w:val="22"/>
              </w:rPr>
              <w:t>Phases</w:t>
            </w:r>
          </w:p>
        </w:tc>
        <w:tc>
          <w:tcPr>
            <w:tcW w:w="990" w:type="dxa"/>
            <w:tcBorders>
              <w:top w:val="single" w:sz="8" w:space="0" w:color="000000"/>
              <w:left w:val="nil"/>
              <w:bottom w:val="single" w:sz="8" w:space="0" w:color="000000"/>
              <w:right w:val="single" w:sz="4" w:space="0" w:color="000000"/>
            </w:tcBorders>
            <w:shd w:val="clear" w:color="auto" w:fill="auto"/>
            <w:vAlign w:val="center"/>
          </w:tcPr>
          <w:p w14:paraId="4725CBF4" w14:textId="77777777" w:rsidR="00B972F1" w:rsidRPr="00AF2E02" w:rsidRDefault="00B972F1" w:rsidP="0007273A">
            <w:pPr>
              <w:rPr>
                <w:rFonts w:ascii="Calibri" w:hAnsi="Calibri"/>
                <w:b/>
                <w:color w:val="000000"/>
                <w:sz w:val="22"/>
                <w:szCs w:val="22"/>
              </w:rPr>
            </w:pPr>
            <w:r w:rsidRPr="00AF2E02">
              <w:rPr>
                <w:rFonts w:ascii="Calibri" w:hAnsi="Calibri"/>
                <w:b/>
                <w:color w:val="000000"/>
                <w:sz w:val="22"/>
                <w:szCs w:val="22"/>
              </w:rPr>
              <w:t>Budget Periods</w:t>
            </w:r>
          </w:p>
        </w:tc>
        <w:tc>
          <w:tcPr>
            <w:tcW w:w="4865" w:type="dxa"/>
            <w:tcBorders>
              <w:top w:val="single" w:sz="8" w:space="0" w:color="000000"/>
              <w:left w:val="nil"/>
              <w:bottom w:val="single" w:sz="8" w:space="0" w:color="000000"/>
              <w:right w:val="single" w:sz="8" w:space="0" w:color="000000"/>
            </w:tcBorders>
            <w:shd w:val="clear" w:color="auto" w:fill="auto"/>
            <w:vAlign w:val="center"/>
          </w:tcPr>
          <w:p w14:paraId="100E291C" w14:textId="77777777" w:rsidR="00B972F1" w:rsidRPr="00AF2E02" w:rsidRDefault="00B972F1" w:rsidP="0007273A">
            <w:pPr>
              <w:rPr>
                <w:rFonts w:ascii="Calibri" w:hAnsi="Calibri"/>
                <w:b/>
                <w:color w:val="000000"/>
                <w:sz w:val="22"/>
                <w:szCs w:val="22"/>
              </w:rPr>
            </w:pPr>
            <w:r w:rsidRPr="00AF2E02">
              <w:rPr>
                <w:rFonts w:ascii="Calibri" w:hAnsi="Calibri"/>
                <w:b/>
                <w:color w:val="000000"/>
                <w:sz w:val="22"/>
                <w:szCs w:val="22"/>
              </w:rPr>
              <w:t>Scope</w:t>
            </w:r>
          </w:p>
        </w:tc>
      </w:tr>
      <w:tr w:rsidR="00B972F1" w:rsidRPr="00AF2E02" w14:paraId="031828E2" w14:textId="77777777" w:rsidTr="0007273A">
        <w:trPr>
          <w:trHeight w:val="430"/>
        </w:trPr>
        <w:tc>
          <w:tcPr>
            <w:tcW w:w="2160"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14:paraId="17F7DBFF" w14:textId="77777777" w:rsidR="00B972F1" w:rsidRDefault="00B972F1" w:rsidP="0007273A">
            <w:pPr>
              <w:jc w:val="center"/>
              <w:rPr>
                <w:rFonts w:ascii="Calibri" w:hAnsi="Calibri"/>
                <w:color w:val="000000"/>
                <w:sz w:val="22"/>
                <w:szCs w:val="22"/>
              </w:rPr>
            </w:pPr>
            <w:r w:rsidRPr="00AF2E02">
              <w:rPr>
                <w:rFonts w:ascii="Calibri" w:hAnsi="Calibri"/>
                <w:color w:val="000000"/>
                <w:sz w:val="22"/>
                <w:szCs w:val="22"/>
              </w:rPr>
              <w:t>Phase 1 – Verification &amp; Design Basis Definition</w:t>
            </w:r>
            <w:r w:rsidRPr="00AF2E02">
              <w:rPr>
                <w:rFonts w:ascii="Calibri" w:hAnsi="Calibri"/>
                <w:color w:val="000000"/>
                <w:sz w:val="22"/>
                <w:szCs w:val="22"/>
              </w:rPr>
              <w:br/>
              <w:t>(12</w:t>
            </w:r>
            <w:r>
              <w:rPr>
                <w:rFonts w:ascii="Calibri" w:hAnsi="Calibri"/>
                <w:color w:val="000000"/>
                <w:sz w:val="22"/>
                <w:szCs w:val="22"/>
              </w:rPr>
              <w:t xml:space="preserve"> - 24</w:t>
            </w:r>
            <w:r w:rsidRPr="00AF2E02">
              <w:rPr>
                <w:rFonts w:ascii="Calibri" w:hAnsi="Calibri"/>
                <w:color w:val="000000"/>
                <w:sz w:val="22"/>
                <w:szCs w:val="22"/>
              </w:rPr>
              <w:t xml:space="preserve"> Months)</w:t>
            </w:r>
          </w:p>
          <w:p w14:paraId="1ABF91FE" w14:textId="77777777" w:rsidR="00B972F1" w:rsidRPr="00AF2E02" w:rsidRDefault="00B972F1" w:rsidP="0007273A">
            <w:pPr>
              <w:jc w:val="center"/>
              <w:rPr>
                <w:rFonts w:ascii="Calibri" w:hAnsi="Calibri"/>
                <w:color w:val="000000"/>
                <w:sz w:val="22"/>
                <w:szCs w:val="22"/>
              </w:rPr>
            </w:pPr>
          </w:p>
        </w:tc>
        <w:tc>
          <w:tcPr>
            <w:tcW w:w="990" w:type="dxa"/>
            <w:tcBorders>
              <w:top w:val="single" w:sz="8" w:space="0" w:color="000000"/>
              <w:left w:val="nil"/>
              <w:bottom w:val="single" w:sz="4" w:space="0" w:color="000000"/>
              <w:right w:val="single" w:sz="4" w:space="0" w:color="000000"/>
            </w:tcBorders>
            <w:shd w:val="clear" w:color="auto" w:fill="auto"/>
            <w:vAlign w:val="center"/>
          </w:tcPr>
          <w:p w14:paraId="42507445"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BP1</w:t>
            </w:r>
          </w:p>
        </w:tc>
        <w:tc>
          <w:tcPr>
            <w:tcW w:w="4865" w:type="dxa"/>
            <w:tcBorders>
              <w:top w:val="single" w:sz="8" w:space="0" w:color="000000"/>
              <w:left w:val="nil"/>
              <w:bottom w:val="single" w:sz="4" w:space="0" w:color="000000"/>
              <w:right w:val="single" w:sz="8" w:space="0" w:color="000000"/>
            </w:tcBorders>
            <w:shd w:val="clear" w:color="auto" w:fill="auto"/>
            <w:vAlign w:val="center"/>
          </w:tcPr>
          <w:p w14:paraId="23896158"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 xml:space="preserve">Verification of baseline data presented in application </w:t>
            </w:r>
          </w:p>
          <w:p w14:paraId="6868447C" w14:textId="77777777" w:rsidR="00B972F1" w:rsidRPr="00AF2E02" w:rsidRDefault="00B972F1" w:rsidP="0007273A">
            <w:pPr>
              <w:rPr>
                <w:rFonts w:ascii="Calibri" w:hAnsi="Calibri"/>
                <w:color w:val="000000"/>
                <w:sz w:val="22"/>
                <w:szCs w:val="22"/>
              </w:rPr>
            </w:pPr>
          </w:p>
        </w:tc>
      </w:tr>
      <w:tr w:rsidR="00B972F1" w:rsidRPr="00AF2E02" w14:paraId="08A7E4D8" w14:textId="77777777" w:rsidTr="0007273A">
        <w:trPr>
          <w:trHeight w:val="431"/>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0E525CA" w14:textId="77777777" w:rsidR="00B972F1" w:rsidRPr="00AF2E02"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4" w:space="0" w:color="000000"/>
            </w:tcBorders>
            <w:shd w:val="clear" w:color="auto" w:fill="auto"/>
            <w:vAlign w:val="center"/>
          </w:tcPr>
          <w:p w14:paraId="01E79F5D" w14:textId="77777777" w:rsidR="00B972F1" w:rsidRPr="00AF2E02" w:rsidRDefault="00B972F1" w:rsidP="0007273A">
            <w:pPr>
              <w:jc w:val="center"/>
              <w:rPr>
                <w:rFonts w:ascii="Calibri" w:hAnsi="Calibri"/>
                <w:b/>
                <w:color w:val="000000"/>
                <w:sz w:val="22"/>
                <w:szCs w:val="22"/>
              </w:rPr>
            </w:pPr>
            <w:r w:rsidRPr="00AF2E02">
              <w:rPr>
                <w:rFonts w:ascii="Calibri" w:hAnsi="Calibri"/>
                <w:b/>
                <w:color w:val="000000"/>
                <w:sz w:val="22"/>
                <w:szCs w:val="22"/>
              </w:rPr>
              <w:t>Go/No-Go</w:t>
            </w:r>
          </w:p>
          <w:p w14:paraId="2DD96942"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Review of Verification outcome</w:t>
            </w:r>
          </w:p>
        </w:tc>
      </w:tr>
      <w:tr w:rsidR="00B972F1" w:rsidRPr="00AF2E02" w14:paraId="3FC1778A" w14:textId="77777777" w:rsidTr="0007273A">
        <w:trPr>
          <w:trHeight w:val="708"/>
        </w:trPr>
        <w:tc>
          <w:tcPr>
            <w:tcW w:w="2160"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2C02F11C" w14:textId="77777777" w:rsidR="00B972F1" w:rsidRPr="00AF2E02"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single" w:sz="4" w:space="0" w:color="000000"/>
              <w:left w:val="nil"/>
              <w:bottom w:val="single" w:sz="4" w:space="0" w:color="000000"/>
              <w:right w:val="single" w:sz="4" w:space="0" w:color="000000"/>
            </w:tcBorders>
            <w:shd w:val="clear" w:color="auto" w:fill="auto"/>
            <w:vAlign w:val="center"/>
          </w:tcPr>
          <w:p w14:paraId="07E89352"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BP2</w:t>
            </w:r>
          </w:p>
        </w:tc>
        <w:tc>
          <w:tcPr>
            <w:tcW w:w="4865" w:type="dxa"/>
            <w:tcBorders>
              <w:top w:val="single" w:sz="4" w:space="0" w:color="000000"/>
              <w:left w:val="nil"/>
              <w:bottom w:val="single" w:sz="4" w:space="0" w:color="000000"/>
              <w:right w:val="single" w:sz="8" w:space="0" w:color="000000"/>
            </w:tcBorders>
            <w:shd w:val="clear" w:color="auto" w:fill="auto"/>
            <w:vAlign w:val="center"/>
          </w:tcPr>
          <w:p w14:paraId="00686398"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Design Basis Definition</w:t>
            </w:r>
          </w:p>
        </w:tc>
      </w:tr>
      <w:tr w:rsidR="00B972F1" w:rsidRPr="00AF2E02" w14:paraId="1CE98D7E" w14:textId="77777777" w:rsidTr="0007273A">
        <w:trPr>
          <w:trHeight w:val="628"/>
        </w:trPr>
        <w:tc>
          <w:tcPr>
            <w:tcW w:w="801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C13C13F" w14:textId="77777777" w:rsidR="00B972F1" w:rsidRPr="00AF2E02" w:rsidRDefault="00B972F1" w:rsidP="0007273A">
            <w:pPr>
              <w:jc w:val="center"/>
              <w:rPr>
                <w:rFonts w:ascii="Calibri" w:hAnsi="Calibri"/>
                <w:color w:val="000000"/>
                <w:sz w:val="22"/>
                <w:szCs w:val="22"/>
              </w:rPr>
            </w:pPr>
            <w:r>
              <w:rPr>
                <w:rFonts w:ascii="Calibri" w:hAnsi="Calibri"/>
                <w:b/>
                <w:color w:val="000000"/>
                <w:sz w:val="22"/>
                <w:szCs w:val="22"/>
              </w:rPr>
              <w:t>Down-select</w:t>
            </w:r>
            <w:r w:rsidRPr="00AF2E02">
              <w:rPr>
                <w:rFonts w:ascii="Calibri" w:hAnsi="Calibri"/>
                <w:b/>
                <w:color w:val="000000"/>
                <w:sz w:val="22"/>
                <w:szCs w:val="22"/>
              </w:rPr>
              <w:t xml:space="preserve"> (CD-2)</w:t>
            </w:r>
            <w:r w:rsidRPr="00AF2E02">
              <w:rPr>
                <w:rFonts w:ascii="Calibri" w:hAnsi="Calibri"/>
                <w:color w:val="000000"/>
                <w:sz w:val="22"/>
                <w:szCs w:val="22"/>
              </w:rPr>
              <w:br/>
              <w:t>Approve project scope and begin design (Subject to future appropriations</w:t>
            </w:r>
            <w:r>
              <w:rPr>
                <w:rFonts w:ascii="Calibri" w:hAnsi="Calibri"/>
                <w:color w:val="000000"/>
                <w:sz w:val="22"/>
                <w:szCs w:val="22"/>
              </w:rPr>
              <w:t xml:space="preserve"> and availability of funds</w:t>
            </w:r>
            <w:r w:rsidRPr="00AF2E02">
              <w:rPr>
                <w:rFonts w:ascii="Calibri" w:hAnsi="Calibri"/>
                <w:color w:val="000000"/>
                <w:sz w:val="22"/>
                <w:szCs w:val="22"/>
              </w:rPr>
              <w:t xml:space="preserve">) </w:t>
            </w:r>
          </w:p>
        </w:tc>
      </w:tr>
      <w:tr w:rsidR="00B972F1" w:rsidRPr="00AF2E02" w14:paraId="54010449" w14:textId="77777777" w:rsidTr="0007273A">
        <w:trPr>
          <w:trHeight w:val="600"/>
        </w:trPr>
        <w:tc>
          <w:tcPr>
            <w:tcW w:w="2160" w:type="dxa"/>
            <w:vMerge w:val="restart"/>
            <w:tcBorders>
              <w:top w:val="nil"/>
              <w:left w:val="single" w:sz="8" w:space="0" w:color="000000"/>
              <w:bottom w:val="single" w:sz="8" w:space="0" w:color="000000"/>
              <w:right w:val="single" w:sz="4" w:space="0" w:color="000000"/>
            </w:tcBorders>
            <w:shd w:val="clear" w:color="auto" w:fill="auto"/>
            <w:vAlign w:val="center"/>
          </w:tcPr>
          <w:p w14:paraId="46E5DB23" w14:textId="77777777" w:rsidR="00B972F1" w:rsidRPr="00D85084" w:rsidRDefault="00B972F1" w:rsidP="0007273A">
            <w:pPr>
              <w:jc w:val="center"/>
              <w:rPr>
                <w:rFonts w:ascii="Calibri" w:hAnsi="Calibri"/>
                <w:color w:val="000000"/>
                <w:sz w:val="22"/>
                <w:szCs w:val="22"/>
              </w:rPr>
            </w:pPr>
            <w:r w:rsidRPr="00D85084">
              <w:rPr>
                <w:rFonts w:ascii="Calibri" w:hAnsi="Calibri"/>
                <w:color w:val="000000"/>
                <w:sz w:val="22"/>
                <w:szCs w:val="22"/>
              </w:rPr>
              <w:lastRenderedPageBreak/>
              <w:t>Phase 2 – Final Design, Construction, Operation</w:t>
            </w:r>
            <w:r w:rsidRPr="00D85084">
              <w:rPr>
                <w:rFonts w:ascii="Calibri" w:hAnsi="Calibri"/>
                <w:color w:val="000000"/>
                <w:sz w:val="22"/>
                <w:szCs w:val="22"/>
              </w:rPr>
              <w:br/>
              <w:t>(</w:t>
            </w:r>
            <w:r>
              <w:rPr>
                <w:rFonts w:ascii="Calibri" w:hAnsi="Calibri"/>
                <w:color w:val="000000"/>
                <w:sz w:val="22"/>
                <w:szCs w:val="22"/>
              </w:rPr>
              <w:t>36</w:t>
            </w:r>
            <w:r w:rsidRPr="00D85084">
              <w:rPr>
                <w:rFonts w:ascii="Calibri" w:hAnsi="Calibri"/>
                <w:color w:val="000000"/>
                <w:sz w:val="22"/>
                <w:szCs w:val="22"/>
              </w:rPr>
              <w:t>-</w:t>
            </w:r>
            <w:r>
              <w:rPr>
                <w:rFonts w:ascii="Calibri" w:hAnsi="Calibri"/>
                <w:color w:val="000000"/>
                <w:sz w:val="22"/>
                <w:szCs w:val="22"/>
              </w:rPr>
              <w:t>60</w:t>
            </w:r>
            <w:r w:rsidRPr="00D85084">
              <w:rPr>
                <w:rFonts w:ascii="Calibri" w:hAnsi="Calibri"/>
                <w:color w:val="000000"/>
                <w:sz w:val="22"/>
                <w:szCs w:val="22"/>
              </w:rPr>
              <w:t xml:space="preserve"> Months)</w:t>
            </w:r>
          </w:p>
          <w:p w14:paraId="7B14A8AD" w14:textId="77777777" w:rsidR="00B972F1" w:rsidRPr="00D85084" w:rsidRDefault="00B972F1" w:rsidP="0007273A">
            <w:pPr>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6297E251" w14:textId="77777777" w:rsidR="00B972F1" w:rsidRPr="00D85084" w:rsidRDefault="00B972F1" w:rsidP="0007273A">
            <w:pPr>
              <w:jc w:val="center"/>
              <w:rPr>
                <w:rFonts w:ascii="Calibri" w:hAnsi="Calibri"/>
                <w:color w:val="000000"/>
                <w:sz w:val="22"/>
                <w:szCs w:val="22"/>
              </w:rPr>
            </w:pPr>
            <w:r w:rsidRPr="00D85084">
              <w:rPr>
                <w:rFonts w:ascii="Calibri" w:hAnsi="Calibri"/>
                <w:color w:val="000000"/>
                <w:sz w:val="22"/>
                <w:szCs w:val="22"/>
              </w:rPr>
              <w:t>BP3</w:t>
            </w:r>
          </w:p>
        </w:tc>
        <w:tc>
          <w:tcPr>
            <w:tcW w:w="4865" w:type="dxa"/>
            <w:tcBorders>
              <w:top w:val="nil"/>
              <w:left w:val="nil"/>
              <w:bottom w:val="single" w:sz="4" w:space="0" w:color="000000"/>
              <w:right w:val="single" w:sz="8" w:space="0" w:color="000000"/>
            </w:tcBorders>
            <w:shd w:val="clear" w:color="auto" w:fill="auto"/>
            <w:vAlign w:val="center"/>
          </w:tcPr>
          <w:p w14:paraId="77D225CC" w14:textId="77777777" w:rsidR="00B972F1" w:rsidRPr="00D85084" w:rsidRDefault="00B972F1" w:rsidP="0007273A">
            <w:pPr>
              <w:jc w:val="center"/>
              <w:rPr>
                <w:rFonts w:ascii="Calibri" w:hAnsi="Calibri"/>
                <w:color w:val="000000"/>
                <w:sz w:val="22"/>
                <w:szCs w:val="22"/>
              </w:rPr>
            </w:pPr>
            <w:r w:rsidRPr="00D85084">
              <w:rPr>
                <w:rFonts w:ascii="Calibri" w:hAnsi="Calibri"/>
                <w:color w:val="000000"/>
                <w:sz w:val="22"/>
                <w:szCs w:val="22"/>
              </w:rPr>
              <w:t>Project Definition - preliminary planning and design</w:t>
            </w:r>
          </w:p>
        </w:tc>
      </w:tr>
      <w:tr w:rsidR="00B972F1" w:rsidRPr="00AF2E02" w14:paraId="6A98DECC" w14:textId="77777777" w:rsidTr="0007273A">
        <w:trPr>
          <w:trHeight w:val="61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460E440E" w14:textId="77777777" w:rsidR="00B972F1" w:rsidRPr="00D85084"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2C559744" w14:textId="77777777" w:rsidR="00B972F1" w:rsidRPr="00D85084" w:rsidRDefault="00B972F1" w:rsidP="0007273A">
            <w:pPr>
              <w:jc w:val="center"/>
              <w:rPr>
                <w:rFonts w:ascii="Calibri" w:hAnsi="Calibri"/>
                <w:color w:val="000000"/>
                <w:sz w:val="22"/>
                <w:szCs w:val="22"/>
              </w:rPr>
            </w:pPr>
            <w:r w:rsidRPr="00D85084">
              <w:rPr>
                <w:rFonts w:ascii="Calibri" w:hAnsi="Calibri"/>
                <w:b/>
                <w:color w:val="000000"/>
                <w:sz w:val="22"/>
                <w:szCs w:val="22"/>
              </w:rPr>
              <w:t>Go/No-Go (CD-3)</w:t>
            </w:r>
            <w:r w:rsidRPr="00D85084">
              <w:rPr>
                <w:rFonts w:ascii="Calibri" w:hAnsi="Calibri"/>
                <w:color w:val="000000"/>
                <w:sz w:val="22"/>
                <w:szCs w:val="22"/>
              </w:rPr>
              <w:br/>
              <w:t>Review to approve start of construction</w:t>
            </w:r>
          </w:p>
        </w:tc>
      </w:tr>
      <w:tr w:rsidR="00B972F1" w:rsidRPr="00AF2E02" w14:paraId="55D6EAF8" w14:textId="77777777" w:rsidTr="0007273A">
        <w:trPr>
          <w:trHeight w:val="288"/>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05A822D0" w14:textId="77777777" w:rsidR="00B972F1" w:rsidRPr="00D85084"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4" w:space="0" w:color="000000"/>
              <w:right w:val="single" w:sz="4" w:space="0" w:color="000000"/>
            </w:tcBorders>
            <w:shd w:val="clear" w:color="auto" w:fill="auto"/>
            <w:vAlign w:val="center"/>
          </w:tcPr>
          <w:p w14:paraId="1E4C2BDA" w14:textId="77777777" w:rsidR="00B972F1" w:rsidRPr="00D85084" w:rsidRDefault="00B972F1" w:rsidP="0007273A">
            <w:pPr>
              <w:jc w:val="center"/>
              <w:rPr>
                <w:rFonts w:ascii="Calibri" w:hAnsi="Calibri"/>
                <w:color w:val="000000"/>
                <w:sz w:val="22"/>
                <w:szCs w:val="22"/>
              </w:rPr>
            </w:pPr>
            <w:r w:rsidRPr="00D85084">
              <w:rPr>
                <w:rFonts w:ascii="Calibri" w:hAnsi="Calibri"/>
                <w:color w:val="000000"/>
                <w:sz w:val="22"/>
                <w:szCs w:val="22"/>
              </w:rPr>
              <w:t>BP4</w:t>
            </w:r>
          </w:p>
        </w:tc>
        <w:tc>
          <w:tcPr>
            <w:tcW w:w="4865" w:type="dxa"/>
            <w:tcBorders>
              <w:top w:val="nil"/>
              <w:left w:val="nil"/>
              <w:bottom w:val="single" w:sz="4" w:space="0" w:color="000000"/>
              <w:right w:val="single" w:sz="8" w:space="0" w:color="000000"/>
            </w:tcBorders>
            <w:shd w:val="clear" w:color="auto" w:fill="auto"/>
            <w:vAlign w:val="center"/>
          </w:tcPr>
          <w:p w14:paraId="6B3B1D10" w14:textId="77777777" w:rsidR="00B972F1" w:rsidRPr="00D85084" w:rsidRDefault="00B972F1" w:rsidP="0007273A">
            <w:pPr>
              <w:jc w:val="center"/>
              <w:rPr>
                <w:rFonts w:ascii="Calibri" w:hAnsi="Calibri"/>
                <w:color w:val="000000"/>
                <w:sz w:val="22"/>
                <w:szCs w:val="22"/>
              </w:rPr>
            </w:pPr>
            <w:r w:rsidRPr="00D85084">
              <w:rPr>
                <w:rFonts w:ascii="Calibri" w:hAnsi="Calibri"/>
                <w:color w:val="000000"/>
                <w:sz w:val="22"/>
                <w:szCs w:val="22"/>
              </w:rPr>
              <w:t>Project Execution - complete final design and construction</w:t>
            </w:r>
          </w:p>
        </w:tc>
      </w:tr>
      <w:tr w:rsidR="00B972F1" w:rsidRPr="00AF2E02" w14:paraId="5A94859E" w14:textId="77777777" w:rsidTr="0007273A">
        <w:trPr>
          <w:trHeight w:val="583"/>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3101052F" w14:textId="77777777" w:rsidR="00B972F1" w:rsidRPr="00D85084"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5855" w:type="dxa"/>
            <w:gridSpan w:val="2"/>
            <w:tcBorders>
              <w:top w:val="single" w:sz="4" w:space="0" w:color="000000"/>
              <w:left w:val="nil"/>
              <w:bottom w:val="single" w:sz="4" w:space="0" w:color="000000"/>
              <w:right w:val="single" w:sz="8" w:space="0" w:color="000000"/>
            </w:tcBorders>
            <w:shd w:val="clear" w:color="auto" w:fill="auto"/>
            <w:vAlign w:val="center"/>
          </w:tcPr>
          <w:p w14:paraId="0F30B4CB" w14:textId="77777777" w:rsidR="00B972F1" w:rsidRPr="00D85084" w:rsidRDefault="00B972F1" w:rsidP="0007273A">
            <w:pPr>
              <w:jc w:val="center"/>
              <w:rPr>
                <w:rFonts w:ascii="Calibri" w:hAnsi="Calibri"/>
                <w:color w:val="000000"/>
                <w:sz w:val="22"/>
                <w:szCs w:val="22"/>
              </w:rPr>
            </w:pPr>
            <w:r w:rsidRPr="00D85084">
              <w:rPr>
                <w:rFonts w:ascii="Calibri" w:hAnsi="Calibri"/>
                <w:b/>
                <w:color w:val="000000"/>
                <w:sz w:val="22"/>
                <w:szCs w:val="22"/>
              </w:rPr>
              <w:t>Go/No-Go (CD-4)</w:t>
            </w:r>
            <w:r w:rsidRPr="00D85084">
              <w:rPr>
                <w:rFonts w:ascii="Calibri" w:hAnsi="Calibri"/>
                <w:color w:val="000000"/>
                <w:sz w:val="22"/>
                <w:szCs w:val="22"/>
              </w:rPr>
              <w:br/>
              <w:t>Performance test to verify readiness to begin operations</w:t>
            </w:r>
          </w:p>
        </w:tc>
      </w:tr>
      <w:tr w:rsidR="00B972F1" w:rsidRPr="00AF2E02" w14:paraId="041A4B0B" w14:textId="77777777" w:rsidTr="0007273A">
        <w:trPr>
          <w:trHeight w:val="300"/>
        </w:trPr>
        <w:tc>
          <w:tcPr>
            <w:tcW w:w="2160" w:type="dxa"/>
            <w:vMerge/>
            <w:tcBorders>
              <w:top w:val="nil"/>
              <w:left w:val="single" w:sz="8" w:space="0" w:color="000000"/>
              <w:bottom w:val="single" w:sz="8" w:space="0" w:color="000000"/>
              <w:right w:val="single" w:sz="4" w:space="0" w:color="000000"/>
            </w:tcBorders>
            <w:shd w:val="clear" w:color="auto" w:fill="auto"/>
            <w:vAlign w:val="center"/>
          </w:tcPr>
          <w:p w14:paraId="0ED6EF3E" w14:textId="77777777" w:rsidR="00B972F1" w:rsidRPr="00AF2E02" w:rsidRDefault="00B972F1" w:rsidP="0007273A">
            <w:pPr>
              <w:widowControl w:val="0"/>
              <w:pBdr>
                <w:top w:val="nil"/>
                <w:left w:val="nil"/>
                <w:bottom w:val="nil"/>
                <w:right w:val="nil"/>
                <w:between w:val="nil"/>
              </w:pBdr>
              <w:spacing w:line="276" w:lineRule="auto"/>
              <w:rPr>
                <w:rFonts w:ascii="Calibri" w:hAnsi="Calibri"/>
                <w:color w:val="000000"/>
                <w:sz w:val="22"/>
                <w:szCs w:val="22"/>
              </w:rPr>
            </w:pPr>
          </w:p>
        </w:tc>
        <w:tc>
          <w:tcPr>
            <w:tcW w:w="990" w:type="dxa"/>
            <w:tcBorders>
              <w:top w:val="nil"/>
              <w:left w:val="nil"/>
              <w:bottom w:val="single" w:sz="8" w:space="0" w:color="000000"/>
              <w:right w:val="single" w:sz="4" w:space="0" w:color="000000"/>
            </w:tcBorders>
            <w:shd w:val="clear" w:color="auto" w:fill="auto"/>
            <w:vAlign w:val="center"/>
          </w:tcPr>
          <w:p w14:paraId="66A4E620"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BP5</w:t>
            </w:r>
          </w:p>
        </w:tc>
        <w:tc>
          <w:tcPr>
            <w:tcW w:w="4865" w:type="dxa"/>
            <w:tcBorders>
              <w:top w:val="nil"/>
              <w:left w:val="nil"/>
              <w:bottom w:val="single" w:sz="8" w:space="0" w:color="000000"/>
              <w:right w:val="single" w:sz="8" w:space="0" w:color="000000"/>
            </w:tcBorders>
            <w:shd w:val="clear" w:color="auto" w:fill="auto"/>
            <w:vAlign w:val="center"/>
          </w:tcPr>
          <w:p w14:paraId="5F1D5A33" w14:textId="77777777" w:rsidR="00B972F1" w:rsidRPr="00AF2E02" w:rsidRDefault="00B972F1" w:rsidP="0007273A">
            <w:pPr>
              <w:jc w:val="center"/>
              <w:rPr>
                <w:rFonts w:ascii="Calibri" w:hAnsi="Calibri"/>
                <w:color w:val="000000"/>
                <w:sz w:val="22"/>
                <w:szCs w:val="22"/>
              </w:rPr>
            </w:pPr>
            <w:r w:rsidRPr="00AF2E02">
              <w:rPr>
                <w:rFonts w:ascii="Calibri" w:hAnsi="Calibri"/>
                <w:color w:val="000000"/>
                <w:sz w:val="22"/>
                <w:szCs w:val="22"/>
              </w:rPr>
              <w:t>Operations</w:t>
            </w:r>
          </w:p>
        </w:tc>
      </w:tr>
    </w:tbl>
    <w:p w14:paraId="7FBDA9C7" w14:textId="77777777" w:rsidR="00B972F1" w:rsidRDefault="00B972F1" w:rsidP="00B972F1">
      <w:pPr>
        <w:pStyle w:val="FOATemplateBody"/>
        <w:ind w:left="1260"/>
        <w:rPr>
          <w:color w:val="000000"/>
        </w:rPr>
      </w:pPr>
    </w:p>
    <w:p w14:paraId="2A272DC2" w14:textId="77777777" w:rsidR="00B972F1" w:rsidRDefault="00B972F1" w:rsidP="00B972F1">
      <w:pPr>
        <w:pStyle w:val="FOATemplateBody"/>
        <w:ind w:left="1260"/>
        <w:rPr>
          <w:color w:val="000000"/>
        </w:rPr>
      </w:pPr>
    </w:p>
    <w:p w14:paraId="3C1325B2" w14:textId="40DCDF65" w:rsidR="00B972F1" w:rsidRPr="00240059" w:rsidRDefault="00B972F1" w:rsidP="00B972F1">
      <w:pPr>
        <w:ind w:left="1260"/>
        <w:rPr>
          <w:rFonts w:ascii="Calibri" w:hAnsi="Calibri"/>
          <w:color w:val="000000"/>
        </w:rPr>
      </w:pPr>
      <w:r>
        <w:t>Applications</w:t>
      </w:r>
      <w:r w:rsidRPr="000867A8">
        <w:t xml:space="preserve"> should consider Phase 2 (</w:t>
      </w:r>
      <w:r>
        <w:t xml:space="preserve">Final </w:t>
      </w:r>
      <w:r w:rsidRPr="000867A8">
        <w:t xml:space="preserve">Design, Construction, Operation) projects on </w:t>
      </w:r>
      <w:r w:rsidRPr="0039543D">
        <w:t xml:space="preserve">the order of </w:t>
      </w:r>
      <w:r w:rsidR="00645106">
        <w:t xml:space="preserve">$15,000,000 for pilot-scale, and </w:t>
      </w:r>
      <w:r w:rsidRPr="0039543D">
        <w:t>$100,000,000</w:t>
      </w:r>
      <w:r w:rsidRPr="000867A8">
        <w:t xml:space="preserve"> </w:t>
      </w:r>
      <w:r w:rsidR="00645106">
        <w:t xml:space="preserve">for demonstration-scale </w:t>
      </w:r>
      <w:r w:rsidRPr="000867A8">
        <w:t xml:space="preserve">of federal funds plus a minimum of 50% </w:t>
      </w:r>
      <w:r>
        <w:t>applicant</w:t>
      </w:r>
      <w:r w:rsidRPr="000867A8">
        <w:t xml:space="preserve"> cost-share when developing the</w:t>
      </w:r>
      <w:r>
        <w:t>ir</w:t>
      </w:r>
      <w:r w:rsidRPr="000867A8">
        <w:t xml:space="preserve"> Phase 1 </w:t>
      </w:r>
      <w:r>
        <w:t>application</w:t>
      </w:r>
      <w:r w:rsidRPr="000867A8">
        <w:t xml:space="preserve">s. </w:t>
      </w:r>
      <w:r w:rsidRPr="008F610F">
        <w:t>Only Phase 1 funds will be obligated at time of initial award.</w:t>
      </w:r>
      <w:r w:rsidRPr="005B52F3">
        <w:rPr>
          <w:b/>
          <w:bCs/>
        </w:rPr>
        <w:t xml:space="preserve"> Selection for Phase 1 award does not guarantee a Phase 2 award.  Phase 2 funds are subject to future appropriations and availability of funds, which may be obligated to successful Phase 2 awards </w:t>
      </w:r>
      <w:r>
        <w:rPr>
          <w:b/>
          <w:bCs/>
        </w:rPr>
        <w:t>in the event that</w:t>
      </w:r>
      <w:r w:rsidRPr="005B52F3">
        <w:rPr>
          <w:b/>
          <w:bCs/>
        </w:rPr>
        <w:t xml:space="preserve"> a down-select occurs (see section </w:t>
      </w:r>
      <w:r w:rsidRPr="00D85084">
        <w:rPr>
          <w:b/>
          <w:bCs/>
        </w:rPr>
        <w:t>VI.C</w:t>
      </w:r>
      <w:r w:rsidRPr="005B52F3">
        <w:rPr>
          <w:b/>
          <w:bCs/>
        </w:rPr>
        <w:t>.).</w:t>
      </w:r>
      <w:r w:rsidRPr="002C0058">
        <w:t xml:space="preserve"> </w:t>
      </w:r>
      <w:r w:rsidRPr="002C0058">
        <w:rPr>
          <w:color w:val="000000"/>
        </w:rPr>
        <w:t xml:space="preserve"> </w:t>
      </w:r>
    </w:p>
    <w:p w14:paraId="4EE93432" w14:textId="77777777" w:rsidR="00B972F1" w:rsidRPr="002C1E9C" w:rsidRDefault="00B972F1" w:rsidP="001E0D1A">
      <w:pPr>
        <w:rPr>
          <w:rFonts w:ascii="Calibri" w:eastAsiaTheme="minorHAnsi" w:hAnsi="Calibri" w:cstheme="minorBidi"/>
          <w:color w:val="000000"/>
          <w:szCs w:val="22"/>
        </w:rPr>
      </w:pPr>
    </w:p>
    <w:p w14:paraId="031E6309" w14:textId="71F2A41C" w:rsidR="002C1E9C" w:rsidRPr="008B0D95" w:rsidRDefault="002C1E9C" w:rsidP="0082553C">
      <w:pPr>
        <w:ind w:left="1260"/>
        <w:rPr>
          <w:rFonts w:ascii="Calibri" w:hAnsi="Calibri"/>
          <w:color w:val="000000"/>
        </w:rPr>
      </w:pPr>
      <w:r w:rsidRPr="002C1E9C">
        <w:rPr>
          <w:b/>
        </w:rPr>
        <w:t xml:space="preserve">Topic Area </w:t>
      </w:r>
      <w:r w:rsidR="0082553C">
        <w:rPr>
          <w:b/>
        </w:rPr>
        <w:t xml:space="preserve">3 </w:t>
      </w:r>
      <w:r w:rsidR="00095D26">
        <w:rPr>
          <w:b/>
        </w:rPr>
        <w:t xml:space="preserve">Phase 1 </w:t>
      </w:r>
      <w:r w:rsidRPr="002C1E9C">
        <w:rPr>
          <w:b/>
        </w:rPr>
        <w:t>Deliverables</w:t>
      </w:r>
    </w:p>
    <w:p w14:paraId="3FC9F4C3" w14:textId="77777777" w:rsidR="002C1E9C" w:rsidRPr="002C1E9C" w:rsidRDefault="002C1E9C" w:rsidP="002C1E9C">
      <w:pPr>
        <w:ind w:left="1260"/>
      </w:pPr>
    </w:p>
    <w:p w14:paraId="6FB3DDB5" w14:textId="05DBD1AD" w:rsidR="002C1E9C" w:rsidRPr="002C1E9C" w:rsidRDefault="00CC0C6C" w:rsidP="002C1E9C">
      <w:pPr>
        <w:ind w:left="1260"/>
        <w:rPr>
          <w:rFonts w:ascii="Calibri" w:eastAsiaTheme="minorHAnsi" w:hAnsi="Calibri" w:cstheme="minorBidi"/>
          <w:color w:val="000000"/>
          <w:szCs w:val="22"/>
        </w:rPr>
      </w:pPr>
      <w:r>
        <w:t xml:space="preserve">At the end of Phase 1, a full engineering design package and other project deliverables will be reviewed and verified by DOE and its Independent Engineer. The full design package includes items such as </w:t>
      </w:r>
      <w:r w:rsidRPr="008015FD">
        <w:rPr>
          <w:rFonts w:ascii="Calibri" w:hAnsi="Calibri"/>
          <w:color w:val="000000"/>
        </w:rPr>
        <w:t>Process Design Basis Document</w:t>
      </w:r>
      <w:r>
        <w:rPr>
          <w:rFonts w:ascii="Calibri" w:hAnsi="Calibri"/>
          <w:color w:val="000000"/>
        </w:rPr>
        <w:t xml:space="preserve">s, </w:t>
      </w:r>
      <w:r>
        <w:t xml:space="preserve">Process Flow Diagrams, Mass and Energy Balances, budgetary estimates, and schedules. A more extensive list of design package elements is found in </w:t>
      </w:r>
      <w:r w:rsidRPr="00D85084">
        <w:t>Appendix I</w:t>
      </w:r>
      <w:r>
        <w:t xml:space="preserve">. </w:t>
      </w:r>
    </w:p>
    <w:p w14:paraId="6A9DB7C4" w14:textId="77777777" w:rsidR="00540347" w:rsidRDefault="00540347" w:rsidP="002C1E9C">
      <w:pPr>
        <w:ind w:left="1260"/>
        <w:rPr>
          <w:b/>
          <w:color w:val="000000"/>
        </w:rPr>
      </w:pPr>
    </w:p>
    <w:p w14:paraId="624D5613" w14:textId="5A28CF18" w:rsidR="002C1E9C" w:rsidRPr="002C1E9C" w:rsidRDefault="002C1E9C" w:rsidP="002C1E9C">
      <w:pPr>
        <w:ind w:left="1260"/>
        <w:rPr>
          <w:b/>
          <w:color w:val="000000"/>
        </w:rPr>
      </w:pPr>
      <w:r w:rsidRPr="002C1E9C">
        <w:rPr>
          <w:b/>
          <w:color w:val="000000"/>
        </w:rPr>
        <w:t xml:space="preserve">Topic Area </w:t>
      </w:r>
      <w:r w:rsidR="007E2489">
        <w:rPr>
          <w:b/>
          <w:color w:val="000000"/>
        </w:rPr>
        <w:t>3</w:t>
      </w:r>
      <w:r w:rsidRPr="002C1E9C">
        <w:rPr>
          <w:b/>
          <w:color w:val="000000"/>
        </w:rPr>
        <w:t xml:space="preserve"> Initial Project </w:t>
      </w:r>
      <w:sdt>
        <w:sdtPr>
          <w:tag w:val="goog_rdk_77"/>
          <w:id w:val="1495989167"/>
        </w:sdtPr>
        <w:sdtEndPr/>
        <w:sdtContent/>
      </w:sdt>
      <w:sdt>
        <w:sdtPr>
          <w:tag w:val="goog_rdk_78"/>
          <w:id w:val="-604565724"/>
        </w:sdtPr>
        <w:sdtEndPr/>
        <w:sdtContent/>
      </w:sdt>
      <w:r w:rsidRPr="002C1E9C">
        <w:rPr>
          <w:b/>
          <w:color w:val="000000"/>
        </w:rPr>
        <w:t>Verification</w:t>
      </w:r>
    </w:p>
    <w:p w14:paraId="4BEBF157" w14:textId="77777777" w:rsidR="002C1E9C" w:rsidRPr="002C1E9C" w:rsidRDefault="002C1E9C" w:rsidP="002C1E9C">
      <w:pPr>
        <w:ind w:left="1260"/>
        <w:rPr>
          <w:b/>
          <w:color w:val="000000"/>
        </w:rPr>
      </w:pPr>
    </w:p>
    <w:p w14:paraId="359679A9" w14:textId="4FA602D9" w:rsidR="002C1E9C" w:rsidRPr="002C1E9C" w:rsidRDefault="002C1E9C" w:rsidP="002C1E9C">
      <w:pPr>
        <w:ind w:left="1260"/>
      </w:pPr>
      <w:r w:rsidRPr="002C1E9C">
        <w:t xml:space="preserve">All Topic Area </w:t>
      </w:r>
      <w:r w:rsidR="007E2489">
        <w:t>3</w:t>
      </w:r>
      <w:r w:rsidRPr="002C1E9C">
        <w:t xml:space="preserve"> projects will be subject to an initial verification effort to review their baseline and proposed targets and will result in a Go/No-Go decision (see Section VI.B.xv). The verification will require that the Recipient conduct a performance test of the process proposed in its application. The performance test will require that the Recipient reproduce data sets commensurate to the prior-scale work presented in the application. The prior-scale data sets must be available to DOE, (which may include delivery to DOE), or its representatives (such as an Independent Engineer), for review in support of the verification effort. The outcome of this performance test will be a primary component of the Go/No-Go decision. Applicants must include this task within their proposed scope, schedule, and budget. It is anticipated that the initial verification can take up to six months; Applicants must include this task in their schedule as Budget Period 1. </w:t>
      </w:r>
    </w:p>
    <w:p w14:paraId="68C6272D" w14:textId="77777777" w:rsidR="002C1E9C" w:rsidRPr="002C1E9C" w:rsidRDefault="002C1E9C" w:rsidP="002C1E9C">
      <w:pPr>
        <w:ind w:left="1260"/>
      </w:pPr>
    </w:p>
    <w:p w14:paraId="14D9E0F0" w14:textId="77777777" w:rsidR="002C1E9C" w:rsidRPr="002C1E9C" w:rsidRDefault="002C1E9C" w:rsidP="002C1E9C">
      <w:pPr>
        <w:ind w:left="1260"/>
      </w:pPr>
      <w:r w:rsidRPr="002C1E9C">
        <w:rPr>
          <w:b/>
          <w:bCs/>
        </w:rPr>
        <w:lastRenderedPageBreak/>
        <w:t xml:space="preserve">Note: </w:t>
      </w:r>
      <w:r w:rsidRPr="002C1E9C">
        <w:t xml:space="preserve">Applicants will be required to execute the appropriate Conflict of Interest and Non-disclosure Agreements (COI/NDA) with DOE’s representatives immediately after negotiation and execution of an award. Failure to execute the COI/NDAs in a reasonable amount of time to enable the verification review will result in a ‘No-Go’ decision. Projects that receive a ‘Go’ decision at the conclusion of the initial verification effort and proceed to Budget Period 2 will also be subject to a final verification review </w:t>
      </w:r>
      <w:r w:rsidRPr="00327E24">
        <w:t>as part of the down-select process prior to Phase 2</w:t>
      </w:r>
      <w:r w:rsidRPr="002C1E9C">
        <w:t xml:space="preserve">. </w:t>
      </w:r>
    </w:p>
    <w:p w14:paraId="059706C5" w14:textId="77777777" w:rsidR="002C1E9C" w:rsidRPr="002C1E9C" w:rsidRDefault="002C1E9C" w:rsidP="002C1E9C">
      <w:pPr>
        <w:ind w:left="1260"/>
      </w:pPr>
    </w:p>
    <w:p w14:paraId="0DEB7428" w14:textId="19149AB2" w:rsidR="002C1E9C" w:rsidRPr="002C1E9C" w:rsidRDefault="002C1E9C" w:rsidP="002C1E9C">
      <w:pPr>
        <w:ind w:left="1260"/>
        <w:rPr>
          <w:b/>
        </w:rPr>
      </w:pPr>
      <w:r w:rsidRPr="002C1E9C">
        <w:rPr>
          <w:b/>
        </w:rPr>
        <w:t xml:space="preserve">Topic Area </w:t>
      </w:r>
      <w:r w:rsidR="008E44EB">
        <w:rPr>
          <w:b/>
        </w:rPr>
        <w:t>3</w:t>
      </w:r>
      <w:r w:rsidRPr="002C1E9C">
        <w:rPr>
          <w:b/>
        </w:rPr>
        <w:t xml:space="preserve"> National Environmental Policy Act (NEPA) Considerations</w:t>
      </w:r>
    </w:p>
    <w:p w14:paraId="1CD3EC0A" w14:textId="77777777" w:rsidR="002C1E9C" w:rsidRPr="002C1E9C" w:rsidRDefault="002C1E9C" w:rsidP="002C1E9C">
      <w:pPr>
        <w:ind w:left="1260"/>
        <w:rPr>
          <w:b/>
        </w:rPr>
      </w:pPr>
    </w:p>
    <w:p w14:paraId="0912F661" w14:textId="4D39A680" w:rsidR="002C1E9C" w:rsidRPr="002C1E9C" w:rsidRDefault="002C1E9C" w:rsidP="002C1E9C">
      <w:pPr>
        <w:ind w:left="1260"/>
        <w:rPr>
          <w:szCs w:val="24"/>
        </w:rPr>
      </w:pPr>
      <w:r w:rsidRPr="002C1E9C">
        <w:rPr>
          <w:szCs w:val="24"/>
        </w:rPr>
        <w:t xml:space="preserve">All Topic Area </w:t>
      </w:r>
      <w:r w:rsidR="008E44EB">
        <w:rPr>
          <w:szCs w:val="24"/>
        </w:rPr>
        <w:t>3</w:t>
      </w:r>
      <w:r w:rsidRPr="002C1E9C">
        <w:rPr>
          <w:szCs w:val="24"/>
        </w:rPr>
        <w:t xml:space="preserve"> project activities will be subject to NEPA review.  Applicants must account for NEPA related efforts in the project scope, schedule, and budget.  Phase 1 of each award will be limited in scope, as it will focus only on project development and design activities related to future pilot- or demonstration-scale integrated biorefineries. Under Phase 1, limited modifications to existing facilities to complete the prior scale data set may be allowed; construction of new facilities will not be allowed.  </w:t>
      </w:r>
    </w:p>
    <w:p w14:paraId="3782AA4D" w14:textId="77777777" w:rsidR="002C1E9C" w:rsidRPr="002C1E9C" w:rsidRDefault="002C1E9C" w:rsidP="002C1E9C">
      <w:pPr>
        <w:ind w:left="1260"/>
      </w:pPr>
    </w:p>
    <w:p w14:paraId="2ACC1541" w14:textId="595DEE62" w:rsidR="002C1E9C" w:rsidRPr="0051393B" w:rsidRDefault="002C1E9C" w:rsidP="002C1E9C">
      <w:pPr>
        <w:ind w:left="1260"/>
      </w:pPr>
      <w:r w:rsidRPr="0051393B">
        <w:t>Any construction activities will be restricted to Phase 2.  DOE will complete additional NEPA review and NEPA determination for Phase 2 activities.  See Section</w:t>
      </w:r>
      <w:r w:rsidR="00150325">
        <w:t xml:space="preserve"> </w:t>
      </w:r>
      <w:r w:rsidRPr="0051393B">
        <w:t xml:space="preserve">VI.B.vi for additional information on NEPA requirements. It should be noted that new construction or significant modification of an existing facility will likely trigger an Environmental Assessment or Environmental Impact Statement. Proper budgeting and scheduling must be accounted for within the proposed project’s application.  </w:t>
      </w:r>
    </w:p>
    <w:p w14:paraId="72582AD0" w14:textId="77777777" w:rsidR="002C1E9C" w:rsidRPr="002C1E9C" w:rsidRDefault="002C1E9C" w:rsidP="002C1E9C">
      <w:pPr>
        <w:pBdr>
          <w:top w:val="nil"/>
          <w:left w:val="nil"/>
          <w:bottom w:val="nil"/>
          <w:right w:val="nil"/>
          <w:between w:val="nil"/>
        </w:pBdr>
        <w:ind w:left="1260"/>
        <w:rPr>
          <w:rFonts w:ascii="Calibri" w:hAnsi="Calibri"/>
          <w:b/>
          <w:color w:val="000000"/>
        </w:rPr>
      </w:pPr>
    </w:p>
    <w:p w14:paraId="3B6F635A" w14:textId="12600748" w:rsidR="002C1E9C" w:rsidRPr="00601EB6" w:rsidRDefault="002C1E9C" w:rsidP="002C1E9C">
      <w:pPr>
        <w:pBdr>
          <w:top w:val="nil"/>
          <w:left w:val="nil"/>
          <w:bottom w:val="nil"/>
          <w:right w:val="nil"/>
          <w:between w:val="nil"/>
        </w:pBdr>
        <w:ind w:left="1260"/>
        <w:rPr>
          <w:rFonts w:ascii="Calibri" w:hAnsi="Calibri"/>
          <w:b/>
          <w:color w:val="000000"/>
        </w:rPr>
      </w:pPr>
      <w:r w:rsidRPr="00601EB6">
        <w:rPr>
          <w:rFonts w:ascii="Calibri" w:hAnsi="Calibri"/>
          <w:b/>
          <w:color w:val="000000"/>
        </w:rPr>
        <w:t xml:space="preserve">Topic Area </w:t>
      </w:r>
      <w:r w:rsidR="008E44EB" w:rsidRPr="00601EB6">
        <w:rPr>
          <w:rFonts w:ascii="Calibri" w:hAnsi="Calibri"/>
          <w:b/>
          <w:color w:val="000000"/>
        </w:rPr>
        <w:t>3</w:t>
      </w:r>
      <w:r w:rsidRPr="00601EB6">
        <w:rPr>
          <w:rFonts w:ascii="Calibri" w:hAnsi="Calibri"/>
          <w:b/>
          <w:color w:val="000000"/>
        </w:rPr>
        <w:t xml:space="preserve"> Additional Financial Requirements</w:t>
      </w:r>
    </w:p>
    <w:p w14:paraId="3B433BDA" w14:textId="77777777" w:rsidR="002C1E9C" w:rsidRPr="008B0D95" w:rsidRDefault="002C1E9C" w:rsidP="002C1E9C">
      <w:pPr>
        <w:pBdr>
          <w:top w:val="nil"/>
          <w:left w:val="nil"/>
          <w:bottom w:val="nil"/>
          <w:right w:val="nil"/>
          <w:between w:val="nil"/>
        </w:pBdr>
        <w:ind w:left="1260"/>
        <w:rPr>
          <w:rFonts w:ascii="Calibri" w:hAnsi="Calibri"/>
          <w:color w:val="000000"/>
          <w:highlight w:val="yellow"/>
          <w:u w:val="single"/>
        </w:rPr>
      </w:pPr>
    </w:p>
    <w:p w14:paraId="650D9DA5" w14:textId="553D4C22" w:rsidR="00622119" w:rsidRPr="008015FD" w:rsidRDefault="00622119" w:rsidP="00622119">
      <w:pPr>
        <w:pBdr>
          <w:top w:val="nil"/>
          <w:left w:val="nil"/>
          <w:bottom w:val="nil"/>
          <w:right w:val="nil"/>
          <w:between w:val="nil"/>
        </w:pBdr>
        <w:ind w:left="1260"/>
        <w:rPr>
          <w:rFonts w:ascii="Calibri" w:hAnsi="Calibri"/>
          <w:color w:val="000000"/>
        </w:rPr>
      </w:pPr>
      <w:r>
        <w:rPr>
          <w:rFonts w:ascii="Calibri" w:hAnsi="Calibri"/>
          <w:color w:val="000000"/>
        </w:rPr>
        <w:t>If selected through DOE’s down-selection process, award recipients will be required to demonstrate their financial readiness to proceed into Phase 2.</w:t>
      </w:r>
      <w:r w:rsidRPr="008015FD">
        <w:rPr>
          <w:rFonts w:ascii="Calibri" w:hAnsi="Calibri"/>
          <w:color w:val="000000"/>
        </w:rPr>
        <w:t xml:space="preserve"> This includes demonstrating the ability to provide all required cost share and contingency </w:t>
      </w:r>
      <w:r>
        <w:rPr>
          <w:rFonts w:ascii="Calibri" w:hAnsi="Calibri"/>
          <w:color w:val="000000"/>
        </w:rPr>
        <w:t xml:space="preserve">funds reserve (see below) </w:t>
      </w:r>
      <w:r w:rsidRPr="008015FD">
        <w:rPr>
          <w:rFonts w:ascii="Calibri" w:hAnsi="Calibri"/>
          <w:color w:val="000000"/>
        </w:rPr>
        <w:t xml:space="preserve">prior to entering into </w:t>
      </w:r>
      <w:r>
        <w:rPr>
          <w:rFonts w:ascii="Calibri" w:hAnsi="Calibri"/>
          <w:color w:val="000000"/>
        </w:rPr>
        <w:t>Phase 2</w:t>
      </w:r>
      <w:r w:rsidRPr="008015FD">
        <w:rPr>
          <w:rFonts w:ascii="Calibri" w:hAnsi="Calibri"/>
          <w:color w:val="000000"/>
        </w:rPr>
        <w:t xml:space="preserve"> of the project. Recipients are required to secure all cost share and contingency </w:t>
      </w:r>
      <w:r w:rsidR="002042AE">
        <w:rPr>
          <w:rFonts w:ascii="Calibri" w:hAnsi="Calibri"/>
          <w:color w:val="000000"/>
        </w:rPr>
        <w:t xml:space="preserve">reserve </w:t>
      </w:r>
      <w:r>
        <w:rPr>
          <w:rFonts w:ascii="Calibri" w:hAnsi="Calibri"/>
          <w:color w:val="000000"/>
        </w:rPr>
        <w:t xml:space="preserve">funds reserve </w:t>
      </w:r>
      <w:r w:rsidRPr="008015FD">
        <w:rPr>
          <w:rFonts w:ascii="Calibri" w:hAnsi="Calibri"/>
          <w:color w:val="000000"/>
        </w:rPr>
        <w:t xml:space="preserve">prior to proceeding into </w:t>
      </w:r>
      <w:r>
        <w:rPr>
          <w:rFonts w:ascii="Calibri" w:hAnsi="Calibri"/>
          <w:color w:val="000000"/>
        </w:rPr>
        <w:t>P</w:t>
      </w:r>
      <w:r w:rsidRPr="008015FD">
        <w:rPr>
          <w:rFonts w:ascii="Calibri" w:hAnsi="Calibri"/>
          <w:color w:val="000000"/>
        </w:rPr>
        <w:t>hase</w:t>
      </w:r>
      <w:r>
        <w:rPr>
          <w:rFonts w:ascii="Calibri" w:hAnsi="Calibri"/>
          <w:color w:val="000000"/>
        </w:rPr>
        <w:t xml:space="preserve"> 2</w:t>
      </w:r>
      <w:r w:rsidRPr="008015FD">
        <w:rPr>
          <w:rFonts w:ascii="Calibri" w:hAnsi="Calibri"/>
          <w:color w:val="000000"/>
        </w:rPr>
        <w:t xml:space="preserve">. Throughout the award life cycle, DOE will review and monitor the financial capability of the </w:t>
      </w:r>
      <w:r>
        <w:rPr>
          <w:rFonts w:ascii="Calibri" w:hAnsi="Calibri"/>
          <w:color w:val="000000"/>
        </w:rPr>
        <w:t>R</w:t>
      </w:r>
      <w:r w:rsidRPr="008015FD">
        <w:rPr>
          <w:rFonts w:ascii="Calibri" w:hAnsi="Calibri"/>
          <w:color w:val="000000"/>
        </w:rPr>
        <w:t xml:space="preserve">ecipient and other key organizations within the project team, such as parent companies or cost share providers. DOE may also conduct pre-award accounting system audits, financial capability reviews, or reviews of financial or compliance audits.  </w:t>
      </w:r>
    </w:p>
    <w:p w14:paraId="5665A41F" w14:textId="77777777" w:rsidR="00622119" w:rsidRPr="008015FD" w:rsidRDefault="00622119" w:rsidP="00622119">
      <w:pPr>
        <w:pBdr>
          <w:top w:val="nil"/>
          <w:left w:val="nil"/>
          <w:bottom w:val="nil"/>
          <w:right w:val="nil"/>
          <w:between w:val="nil"/>
        </w:pBdr>
        <w:ind w:left="1260"/>
        <w:rPr>
          <w:rFonts w:ascii="Calibri" w:hAnsi="Calibri"/>
          <w:color w:val="000000"/>
        </w:rPr>
      </w:pPr>
    </w:p>
    <w:p w14:paraId="145629A8" w14:textId="361FD220" w:rsidR="00622119" w:rsidRPr="008015FD" w:rsidRDefault="00622119" w:rsidP="00622119">
      <w:pPr>
        <w:pBdr>
          <w:top w:val="nil"/>
          <w:left w:val="nil"/>
          <w:bottom w:val="nil"/>
          <w:right w:val="nil"/>
          <w:between w:val="nil"/>
        </w:pBdr>
        <w:ind w:left="1260"/>
        <w:rPr>
          <w:rFonts w:ascii="Calibri" w:hAnsi="Calibri"/>
          <w:color w:val="000000"/>
        </w:rPr>
      </w:pPr>
      <w:r w:rsidRPr="008015FD">
        <w:rPr>
          <w:rFonts w:ascii="Calibri" w:hAnsi="Calibri"/>
          <w:color w:val="000000"/>
        </w:rPr>
        <w:t xml:space="preserve">A contingency </w:t>
      </w:r>
      <w:r>
        <w:rPr>
          <w:rFonts w:ascii="Calibri" w:hAnsi="Calibri"/>
          <w:color w:val="000000"/>
        </w:rPr>
        <w:t xml:space="preserve">funds </w:t>
      </w:r>
      <w:r w:rsidRPr="008015FD">
        <w:rPr>
          <w:rFonts w:ascii="Calibri" w:hAnsi="Calibri"/>
          <w:color w:val="000000"/>
        </w:rPr>
        <w:t xml:space="preserve">reserve is required for all Phase 2 activities. DOE experience and industry best practice show that a minimum of 25% of Total Project Cost (federal share and cost share) </w:t>
      </w:r>
      <w:r>
        <w:rPr>
          <w:rFonts w:ascii="Calibri" w:hAnsi="Calibri"/>
          <w:color w:val="000000"/>
        </w:rPr>
        <w:t xml:space="preserve">for </w:t>
      </w:r>
      <w:r w:rsidRPr="008015FD">
        <w:rPr>
          <w:rFonts w:ascii="Calibri" w:hAnsi="Calibri"/>
          <w:color w:val="000000"/>
        </w:rPr>
        <w:t xml:space="preserve">Phase 2 Costs is necessary to allow the project to continue when unexpected expenses are encountered.  </w:t>
      </w:r>
      <w:r>
        <w:t xml:space="preserve">Recipients must </w:t>
      </w:r>
      <w:r>
        <w:lastRenderedPageBreak/>
        <w:t xml:space="preserve">demonstrate that they can meet the financial needs of Phase 2 of their project when submitting a continuation application. The continuation application (see Section VI.B.xiv) for Phase 2 must include documentation showing that the Recipient has access to this minimum </w:t>
      </w:r>
      <w:r w:rsidRPr="00A20B3D">
        <w:t>25% required contingency</w:t>
      </w:r>
      <w:r>
        <w:t xml:space="preserve"> funds</w:t>
      </w:r>
      <w:r w:rsidR="00E46326">
        <w:t xml:space="preserve"> reserve</w:t>
      </w:r>
      <w:r w:rsidRPr="008015FD">
        <w:rPr>
          <w:rFonts w:ascii="Calibri" w:hAnsi="Calibri"/>
          <w:color w:val="000000"/>
        </w:rPr>
        <w:t xml:space="preserve">. </w:t>
      </w:r>
      <w:r w:rsidR="00A86CD5">
        <w:rPr>
          <w:rFonts w:ascii="Calibri" w:hAnsi="Calibri"/>
          <w:color w:val="000000"/>
        </w:rPr>
        <w:t>The c</w:t>
      </w:r>
      <w:r w:rsidRPr="008015FD">
        <w:rPr>
          <w:rFonts w:ascii="Calibri" w:hAnsi="Calibri"/>
          <w:color w:val="000000"/>
        </w:rPr>
        <w:t>ontingency funds</w:t>
      </w:r>
      <w:r w:rsidR="00A86CD5">
        <w:rPr>
          <w:rFonts w:ascii="Calibri" w:hAnsi="Calibri"/>
          <w:color w:val="000000"/>
        </w:rPr>
        <w:t xml:space="preserve"> reserve</w:t>
      </w:r>
      <w:r w:rsidRPr="008015FD">
        <w:rPr>
          <w:rFonts w:ascii="Calibri" w:hAnsi="Calibri"/>
          <w:color w:val="000000"/>
        </w:rPr>
        <w:t xml:space="preserve"> must be: (a) liquid, (b) immediately available, and (c) unrestricted funds dedicated exclusively to the project for the purpose of mitigating project performance baseline risk. The contingency</w:t>
      </w:r>
      <w:r>
        <w:rPr>
          <w:rFonts w:ascii="Calibri" w:hAnsi="Calibri"/>
          <w:color w:val="000000"/>
        </w:rPr>
        <w:t xml:space="preserve"> funds </w:t>
      </w:r>
      <w:r w:rsidRPr="008015FD">
        <w:rPr>
          <w:rFonts w:ascii="Calibri" w:hAnsi="Calibri"/>
          <w:color w:val="000000"/>
        </w:rPr>
        <w:t xml:space="preserve">reserve is in addition to Total Project Costs and cannot count towards cost share, until expended.  If expended, the contingency will not result in reimbursement by DOE above the total federal share approved in the award.  </w:t>
      </w:r>
      <w:r w:rsidRPr="00A20B3D">
        <w:rPr>
          <w:rFonts w:ascii="Calibri" w:hAnsi="Calibri"/>
          <w:color w:val="000000"/>
        </w:rPr>
        <w:t xml:space="preserve">DOE highly discourages </w:t>
      </w:r>
      <w:r>
        <w:rPr>
          <w:rFonts w:ascii="Calibri" w:hAnsi="Calibri"/>
          <w:color w:val="000000"/>
        </w:rPr>
        <w:t>selected applicants</w:t>
      </w:r>
      <w:r w:rsidRPr="00A20B3D">
        <w:rPr>
          <w:rFonts w:ascii="Calibri" w:hAnsi="Calibri"/>
          <w:color w:val="000000"/>
        </w:rPr>
        <w:t xml:space="preserve"> from reducing scope to comply with the contingency </w:t>
      </w:r>
      <w:r w:rsidR="00E46326">
        <w:rPr>
          <w:rFonts w:ascii="Calibri" w:hAnsi="Calibri"/>
          <w:color w:val="000000"/>
        </w:rPr>
        <w:t xml:space="preserve">funds </w:t>
      </w:r>
      <w:r w:rsidRPr="00A20B3D">
        <w:rPr>
          <w:rFonts w:ascii="Calibri" w:hAnsi="Calibri"/>
          <w:color w:val="000000"/>
        </w:rPr>
        <w:t>reserve requirement.</w:t>
      </w:r>
    </w:p>
    <w:p w14:paraId="47D22F76" w14:textId="77777777" w:rsidR="002C1E9C" w:rsidRPr="002C1E9C" w:rsidRDefault="002C1E9C" w:rsidP="002C1E9C">
      <w:pPr>
        <w:ind w:left="1260"/>
        <w:rPr>
          <w:rFonts w:ascii="Calibri" w:eastAsiaTheme="minorHAnsi" w:hAnsi="Calibri" w:cstheme="minorBidi"/>
          <w:color w:val="000000"/>
          <w:szCs w:val="22"/>
        </w:rPr>
      </w:pPr>
    </w:p>
    <w:p w14:paraId="6573AAEA" w14:textId="08D51FE4" w:rsidR="002C1E9C" w:rsidRPr="002C1E9C" w:rsidRDefault="002C1E9C" w:rsidP="002C1E9C">
      <w:pPr>
        <w:ind w:left="1296"/>
        <w:rPr>
          <w:b/>
          <w:color w:val="000000"/>
        </w:rPr>
      </w:pPr>
      <w:r w:rsidRPr="002C1E9C">
        <w:rPr>
          <w:b/>
          <w:color w:val="000000"/>
        </w:rPr>
        <w:t xml:space="preserve">Topic Area </w:t>
      </w:r>
      <w:r w:rsidR="00713763">
        <w:rPr>
          <w:b/>
          <w:color w:val="000000"/>
        </w:rPr>
        <w:t>3</w:t>
      </w:r>
      <w:r w:rsidRPr="002C1E9C">
        <w:rPr>
          <w:b/>
          <w:color w:val="000000"/>
        </w:rPr>
        <w:t xml:space="preserve"> Specific Requirements</w:t>
      </w:r>
    </w:p>
    <w:p w14:paraId="2170C62D" w14:textId="77777777" w:rsidR="002C1E9C" w:rsidRPr="002C1E9C" w:rsidRDefault="002C1E9C" w:rsidP="002C1E9C">
      <w:pPr>
        <w:ind w:left="1296"/>
      </w:pPr>
    </w:p>
    <w:p w14:paraId="7E6F66CA" w14:textId="7DCCEFFC" w:rsidR="002C1E9C" w:rsidRPr="002C1E9C" w:rsidRDefault="002C1E9C" w:rsidP="002C1E9C">
      <w:pPr>
        <w:pBdr>
          <w:top w:val="nil"/>
          <w:left w:val="nil"/>
          <w:bottom w:val="nil"/>
          <w:right w:val="nil"/>
          <w:between w:val="nil"/>
        </w:pBdr>
        <w:ind w:left="1260"/>
        <w:rPr>
          <w:rFonts w:ascii="Calibri" w:hAnsi="Calibri"/>
          <w:color w:val="000000"/>
        </w:rPr>
      </w:pPr>
      <w:r w:rsidRPr="002C1E9C">
        <w:rPr>
          <w:rFonts w:ascii="Calibri" w:hAnsi="Calibri"/>
          <w:color w:val="000000"/>
        </w:rPr>
        <w:t xml:space="preserve">The following requirements must be addressed in the application and the strength of the </w:t>
      </w:r>
      <w:r w:rsidR="00EB6DB9">
        <w:rPr>
          <w:rFonts w:ascii="Calibri" w:hAnsi="Calibri"/>
          <w:color w:val="000000"/>
        </w:rPr>
        <w:t>a</w:t>
      </w:r>
      <w:r w:rsidRPr="002C1E9C">
        <w:rPr>
          <w:rFonts w:ascii="Calibri" w:hAnsi="Calibri"/>
          <w:color w:val="000000"/>
        </w:rPr>
        <w:t xml:space="preserve">pplicant’s discussion will be evaluated by the independent technical review panel for engineering and scientific merit (see evaluation criteria in Section V.A.ii.): </w:t>
      </w:r>
    </w:p>
    <w:p w14:paraId="12C7474D" w14:textId="77777777" w:rsidR="002C1E9C" w:rsidRPr="002C1E9C" w:rsidRDefault="002C1E9C" w:rsidP="002C1E9C">
      <w:pPr>
        <w:pBdr>
          <w:top w:val="nil"/>
          <w:left w:val="nil"/>
          <w:bottom w:val="nil"/>
          <w:right w:val="nil"/>
          <w:between w:val="nil"/>
        </w:pBdr>
        <w:ind w:left="1350"/>
        <w:rPr>
          <w:rFonts w:ascii="Calibri" w:hAnsi="Calibri"/>
          <w:b/>
          <w:color w:val="000000"/>
        </w:rPr>
      </w:pPr>
    </w:p>
    <w:p w14:paraId="02070874" w14:textId="266FDC79" w:rsidR="002C1E9C" w:rsidRPr="008B0D95" w:rsidRDefault="00953C4D" w:rsidP="002C1E9C">
      <w:pPr>
        <w:numPr>
          <w:ilvl w:val="0"/>
          <w:numId w:val="150"/>
        </w:numPr>
        <w:ind w:left="2016"/>
        <w:rPr>
          <w:rStyle w:val="CommentReference"/>
          <w:color w:val="000000"/>
          <w:sz w:val="24"/>
          <w:szCs w:val="20"/>
        </w:rPr>
      </w:pPr>
      <w:r w:rsidRPr="008B0D95">
        <w:rPr>
          <w:rFonts w:ascii="Calibri" w:hAnsi="Calibri"/>
          <w:color w:val="000000"/>
          <w:szCs w:val="24"/>
        </w:rPr>
        <w:t xml:space="preserve">Applications submitted under Topic Area 3 must reflect the minimum requirements indicated in </w:t>
      </w:r>
      <w:r w:rsidR="008C01C5">
        <w:rPr>
          <w:color w:val="0070C0"/>
          <w:u w:val="single"/>
        </w:rPr>
        <w:fldChar w:fldCharType="begin"/>
      </w:r>
      <w:r w:rsidR="008C01C5">
        <w:rPr>
          <w:color w:val="0070C0"/>
          <w:u w:val="single"/>
        </w:rPr>
        <w:instrText xml:space="preserve"> REF  _Ref170220668  \* MERGEFORMAT </w:instrText>
      </w:r>
      <w:r w:rsidR="008C01C5">
        <w:rPr>
          <w:color w:val="0070C0"/>
          <w:u w:val="single"/>
        </w:rPr>
        <w:fldChar w:fldCharType="separate"/>
      </w:r>
      <w:r w:rsidR="001B6894">
        <w:t xml:space="preserve">Table </w:t>
      </w:r>
      <w:r w:rsidR="001B6894">
        <w:rPr>
          <w:noProof/>
        </w:rPr>
        <w:t>5</w:t>
      </w:r>
      <w:r w:rsidR="001B6894">
        <w:t xml:space="preserve">: </w:t>
      </w:r>
      <w:r w:rsidR="001B6894" w:rsidRPr="009C6266">
        <w:t>Topic Area 3 Minimum Requirements</w:t>
      </w:r>
      <w:r w:rsidR="008C01C5">
        <w:rPr>
          <w:color w:val="0070C0"/>
          <w:u w:val="single"/>
        </w:rPr>
        <w:fldChar w:fldCharType="end"/>
      </w:r>
      <w:r w:rsidRPr="008B0D95">
        <w:rPr>
          <w:rFonts w:ascii="Calibri" w:hAnsi="Calibri"/>
          <w:color w:val="000000"/>
          <w:szCs w:val="24"/>
        </w:rPr>
        <w:t xml:space="preserve"> as the expectation for an eventual facility that may be constructed and operated in Phase 2, subject to the application’s down-selection from Phase 1.</w:t>
      </w:r>
      <w:r>
        <w:rPr>
          <w:rStyle w:val="CommentReference"/>
        </w:rPr>
        <w:t xml:space="preserve"> </w:t>
      </w:r>
    </w:p>
    <w:p w14:paraId="27B57D0E" w14:textId="1FCEFCC1" w:rsidR="00BD5163" w:rsidRPr="002C1E9C" w:rsidRDefault="00BD5163" w:rsidP="002C1E9C">
      <w:pPr>
        <w:numPr>
          <w:ilvl w:val="0"/>
          <w:numId w:val="150"/>
        </w:numPr>
        <w:ind w:left="2016"/>
        <w:rPr>
          <w:color w:val="000000"/>
        </w:rPr>
      </w:pPr>
      <w:r>
        <w:rPr>
          <w:rStyle w:val="CommentReference"/>
          <w:sz w:val="24"/>
          <w:szCs w:val="24"/>
        </w:rPr>
        <w:t xml:space="preserve">Applications submitted under Topic Area 3 must utilize an allowable feedstock as </w:t>
      </w:r>
      <w:r w:rsidR="00FC7C74">
        <w:rPr>
          <w:rStyle w:val="CommentReference"/>
          <w:sz w:val="24"/>
          <w:szCs w:val="24"/>
        </w:rPr>
        <w:t>defined in Table 5 and Appendix E.</w:t>
      </w:r>
    </w:p>
    <w:p w14:paraId="62DBF573" w14:textId="7B3FB23E" w:rsidR="002C1E9C" w:rsidRPr="002C1E9C" w:rsidRDefault="002C1E9C" w:rsidP="002C1E9C">
      <w:pPr>
        <w:numPr>
          <w:ilvl w:val="0"/>
          <w:numId w:val="150"/>
        </w:numPr>
        <w:ind w:left="2016"/>
        <w:rPr>
          <w:color w:val="000000"/>
        </w:rPr>
      </w:pPr>
      <w:r w:rsidRPr="002C1E9C">
        <w:rPr>
          <w:color w:val="000000"/>
        </w:rPr>
        <w:t xml:space="preserve">Applications submitted under Topic Area </w:t>
      </w:r>
      <w:r w:rsidR="00A82506">
        <w:rPr>
          <w:color w:val="000000"/>
        </w:rPr>
        <w:t>3</w:t>
      </w:r>
      <w:r w:rsidRPr="002C1E9C">
        <w:rPr>
          <w:color w:val="000000"/>
        </w:rPr>
        <w:t xml:space="preserve"> are required to participate in the Verification Process as described in Section I.C. </w:t>
      </w:r>
    </w:p>
    <w:p w14:paraId="2B64162C" w14:textId="48441F35" w:rsidR="002C1E9C" w:rsidRPr="002C1E9C" w:rsidRDefault="002C1E9C" w:rsidP="002C1E9C">
      <w:pPr>
        <w:numPr>
          <w:ilvl w:val="0"/>
          <w:numId w:val="150"/>
        </w:numPr>
        <w:ind w:left="2016"/>
        <w:rPr>
          <w:color w:val="000000"/>
        </w:rPr>
      </w:pPr>
      <w:r w:rsidRPr="002C1E9C">
        <w:rPr>
          <w:rFonts w:ascii="Calibri" w:hAnsi="Calibri"/>
        </w:rPr>
        <w:t xml:space="preserve">Applications must contain techno-economic and life cycle analyses (TEA and LCA) that relate the key technical parameters of the proposed technology described in the proposal application to achieving a cost competitive </w:t>
      </w:r>
      <w:r w:rsidR="00E9350A">
        <w:rPr>
          <w:rFonts w:ascii="Calibri" w:hAnsi="Calibri"/>
        </w:rPr>
        <w:t xml:space="preserve">production cost </w:t>
      </w:r>
      <w:r w:rsidRPr="002C1E9C">
        <w:rPr>
          <w:rFonts w:ascii="Calibri" w:hAnsi="Calibri"/>
        </w:rPr>
        <w:t>and GHG reduction targets.  Previously achieved values, scales, and durations should be delineated from the values necessary to meet the targeted</w:t>
      </w:r>
      <w:r w:rsidR="00E9350A">
        <w:rPr>
          <w:rFonts w:ascii="Calibri" w:hAnsi="Calibri"/>
        </w:rPr>
        <w:t xml:space="preserve"> cost</w:t>
      </w:r>
      <w:r w:rsidRPr="002C1E9C">
        <w:rPr>
          <w:rFonts w:ascii="Calibri" w:hAnsi="Calibri"/>
        </w:rPr>
        <w:t xml:space="preserve"> so that the level of technology advancement needed is clear.</w:t>
      </w:r>
    </w:p>
    <w:p w14:paraId="39B354DA" w14:textId="77777777" w:rsidR="002C1E9C" w:rsidRPr="006C7F55" w:rsidRDefault="002C1E9C" w:rsidP="002C1E9C">
      <w:pPr>
        <w:numPr>
          <w:ilvl w:val="0"/>
          <w:numId w:val="150"/>
        </w:numPr>
        <w:ind w:left="2016"/>
        <w:rPr>
          <w:color w:val="000000"/>
        </w:rPr>
      </w:pPr>
      <w:r w:rsidRPr="006C7F55">
        <w:rPr>
          <w:color w:val="000000"/>
        </w:rPr>
        <w:t xml:space="preserve">A Block Flow Diagram and Supplemental Data template are required as part of the application.  </w:t>
      </w:r>
    </w:p>
    <w:p w14:paraId="2FCAF1E2" w14:textId="77777777" w:rsidR="002C1E9C" w:rsidRPr="006C7F55" w:rsidRDefault="002C1E9C" w:rsidP="002C1E9C">
      <w:pPr>
        <w:numPr>
          <w:ilvl w:val="0"/>
          <w:numId w:val="150"/>
        </w:numPr>
        <w:ind w:left="2016"/>
        <w:rPr>
          <w:color w:val="000000"/>
        </w:rPr>
      </w:pPr>
      <w:r w:rsidRPr="006C7F55">
        <w:rPr>
          <w:color w:val="000000"/>
        </w:rPr>
        <w:t>Scale-up factors</w:t>
      </w:r>
      <w:r w:rsidRPr="006C7F55">
        <w:rPr>
          <w:color w:val="000000"/>
          <w:vertAlign w:val="superscript"/>
        </w:rPr>
        <w:footnoteReference w:id="35"/>
      </w:r>
      <w:r w:rsidRPr="006C7F55">
        <w:rPr>
          <w:color w:val="000000"/>
        </w:rPr>
        <w:t xml:space="preserve"> per unit operation</w:t>
      </w:r>
      <w:r w:rsidRPr="006C7F55">
        <w:rPr>
          <w:color w:val="000000"/>
          <w:vertAlign w:val="superscript"/>
        </w:rPr>
        <w:footnoteReference w:id="36"/>
      </w:r>
      <w:r w:rsidRPr="006C7F55">
        <w:rPr>
          <w:color w:val="000000"/>
        </w:rPr>
        <w:t xml:space="preserve"> can be no greater than 50x.</w:t>
      </w:r>
    </w:p>
    <w:p w14:paraId="17AE37E8" w14:textId="786E0566" w:rsidR="002C1E9C" w:rsidRPr="006C7F55" w:rsidRDefault="002C1E9C" w:rsidP="002C1E9C">
      <w:pPr>
        <w:numPr>
          <w:ilvl w:val="0"/>
          <w:numId w:val="150"/>
        </w:numPr>
        <w:ind w:left="2016"/>
        <w:rPr>
          <w:color w:val="000000"/>
        </w:rPr>
      </w:pPr>
      <w:r w:rsidRPr="006C7F55">
        <w:rPr>
          <w:color w:val="000000"/>
        </w:rPr>
        <w:t xml:space="preserve">All major equipment being utilized in the </w:t>
      </w:r>
      <w:r w:rsidR="009F15ED" w:rsidRPr="008B0D95">
        <w:rPr>
          <w:color w:val="000000"/>
        </w:rPr>
        <w:t xml:space="preserve">pilot- or </w:t>
      </w:r>
      <w:r w:rsidRPr="006C7F55">
        <w:rPr>
          <w:color w:val="000000"/>
        </w:rPr>
        <w:t>demonstration</w:t>
      </w:r>
      <w:r w:rsidR="009F15ED" w:rsidRPr="008B0D95">
        <w:rPr>
          <w:color w:val="000000"/>
        </w:rPr>
        <w:t>-</w:t>
      </w:r>
      <w:r w:rsidRPr="006C7F55">
        <w:rPr>
          <w:color w:val="000000"/>
        </w:rPr>
        <w:t xml:space="preserve">scale plant must be based on the equipment that will be used in the eventual </w:t>
      </w:r>
      <w:r w:rsidRPr="006C7F55">
        <w:rPr>
          <w:color w:val="000000"/>
        </w:rPr>
        <w:lastRenderedPageBreak/>
        <w:t>commercial facility. For example, if a fluidized bed will be utilized in the commercial scale a fluidized bed must be utilized in the pilot facility.</w:t>
      </w:r>
    </w:p>
    <w:p w14:paraId="40A52C3F" w14:textId="77777777" w:rsidR="002C1E9C" w:rsidRPr="006C7F55" w:rsidRDefault="002C1E9C" w:rsidP="002C1E9C">
      <w:pPr>
        <w:numPr>
          <w:ilvl w:val="0"/>
          <w:numId w:val="151"/>
        </w:numPr>
        <w:ind w:left="1980"/>
        <w:rPr>
          <w:rFonts w:ascii="Calibri" w:hAnsi="Calibri"/>
        </w:rPr>
      </w:pPr>
      <w:r w:rsidRPr="006C7F55">
        <w:rPr>
          <w:color w:val="000000"/>
        </w:rPr>
        <w:t>Applications cannot include greater than 10% of the total project budget for earlier stage RD&amp;D (&lt;TRL 6), including expenses for equipment, salaries, and supplies. </w:t>
      </w:r>
    </w:p>
    <w:p w14:paraId="1B9F4A66" w14:textId="1BCB63E8" w:rsidR="002C1E9C" w:rsidRPr="002C1E9C" w:rsidRDefault="002B1415" w:rsidP="002C1E9C">
      <w:pPr>
        <w:numPr>
          <w:ilvl w:val="0"/>
          <w:numId w:val="151"/>
        </w:numPr>
        <w:ind w:left="1980"/>
        <w:rPr>
          <w:rFonts w:ascii="Calibri" w:hAnsi="Calibri"/>
          <w:color w:val="000000"/>
        </w:rPr>
      </w:pPr>
      <w:r>
        <w:rPr>
          <w:rFonts w:ascii="Calibri" w:hAnsi="Calibri"/>
          <w:color w:val="000000"/>
        </w:rPr>
        <w:t>O</w:t>
      </w:r>
      <w:r w:rsidR="006C7F55">
        <w:rPr>
          <w:rFonts w:ascii="Calibri" w:hAnsi="Calibri"/>
          <w:color w:val="000000"/>
        </w:rPr>
        <w:t>rganic chemicals</w:t>
      </w:r>
      <w:r w:rsidR="002C1E9C" w:rsidRPr="002C1E9C">
        <w:rPr>
          <w:rFonts w:ascii="Calibri" w:hAnsi="Calibri"/>
          <w:color w:val="000000"/>
        </w:rPr>
        <w:t xml:space="preserve"> </w:t>
      </w:r>
      <w:r>
        <w:rPr>
          <w:rFonts w:ascii="Calibri" w:hAnsi="Calibri"/>
          <w:color w:val="000000"/>
        </w:rPr>
        <w:t xml:space="preserve">from renewable feedstocks </w:t>
      </w:r>
      <w:r w:rsidR="002C1E9C" w:rsidRPr="002C1E9C">
        <w:rPr>
          <w:rFonts w:ascii="Calibri" w:hAnsi="Calibri"/>
          <w:color w:val="000000"/>
        </w:rPr>
        <w:t>must be produced in the U.S.</w:t>
      </w:r>
    </w:p>
    <w:p w14:paraId="48F5F8E8" w14:textId="77777777" w:rsidR="002C1E9C" w:rsidRPr="002C1E9C" w:rsidRDefault="002C1E9C" w:rsidP="002C1E9C">
      <w:pPr>
        <w:ind w:left="1296"/>
        <w:rPr>
          <w:b/>
          <w:color w:val="000000"/>
        </w:rPr>
      </w:pPr>
    </w:p>
    <w:p w14:paraId="1F5AAB8F" w14:textId="2AFDA041" w:rsidR="002C1E9C" w:rsidRPr="002C1E9C" w:rsidRDefault="002C1E9C" w:rsidP="002C1E9C">
      <w:pPr>
        <w:ind w:left="1296"/>
        <w:rPr>
          <w:b/>
          <w:color w:val="000000"/>
        </w:rPr>
      </w:pPr>
      <w:r w:rsidRPr="002C1E9C">
        <w:rPr>
          <w:b/>
          <w:color w:val="000000"/>
        </w:rPr>
        <w:t xml:space="preserve">Topic Area </w:t>
      </w:r>
      <w:r w:rsidR="005643BA">
        <w:rPr>
          <w:b/>
          <w:color w:val="000000"/>
        </w:rPr>
        <w:t>3</w:t>
      </w:r>
      <w:r w:rsidRPr="002C1E9C">
        <w:rPr>
          <w:b/>
          <w:color w:val="000000"/>
        </w:rPr>
        <w:t xml:space="preserve"> Applications Specifically Not of Interest</w:t>
      </w:r>
    </w:p>
    <w:p w14:paraId="7474472A" w14:textId="77777777" w:rsidR="002C1E9C" w:rsidRPr="002C1E9C" w:rsidRDefault="002C1E9C" w:rsidP="002C1E9C">
      <w:pPr>
        <w:ind w:left="1296"/>
      </w:pPr>
    </w:p>
    <w:p w14:paraId="2BDB1BA2" w14:textId="77777777" w:rsidR="002C1E9C" w:rsidRDefault="002C1E9C" w:rsidP="002C1E9C">
      <w:pPr>
        <w:numPr>
          <w:ilvl w:val="0"/>
          <w:numId w:val="151"/>
        </w:numPr>
        <w:ind w:left="2016"/>
      </w:pPr>
      <w:r w:rsidRPr="002C1E9C">
        <w:t>Those identified in Section I.D. of the FOA.</w:t>
      </w:r>
    </w:p>
    <w:p w14:paraId="54F4C56B" w14:textId="3A517729" w:rsidR="005908A1" w:rsidRDefault="00C30A12" w:rsidP="002C1E9C">
      <w:pPr>
        <w:numPr>
          <w:ilvl w:val="0"/>
          <w:numId w:val="151"/>
        </w:numPr>
        <w:ind w:left="2016"/>
      </w:pPr>
      <w:r>
        <w:t>Those proposing pilot- or demonstration-scale processes to produce inorganic chemicals e.g. chlorine, caustic soda, ammonia, hydrogen</w:t>
      </w:r>
      <w:r w:rsidR="00EB32CB">
        <w:t xml:space="preserve"> are not of interest. </w:t>
      </w:r>
    </w:p>
    <w:p w14:paraId="358F3794" w14:textId="77777777" w:rsidR="00EB32CB" w:rsidRDefault="00251322" w:rsidP="002C1E9C">
      <w:pPr>
        <w:numPr>
          <w:ilvl w:val="0"/>
          <w:numId w:val="151"/>
        </w:numPr>
        <w:ind w:left="2016"/>
      </w:pPr>
      <w:r>
        <w:t>Applications proposing or utilizing processes targeting small, niche or fine chemical markets</w:t>
      </w:r>
      <w:r w:rsidR="00EB32CB">
        <w:t>, pharmaceutical markets, or nutraceutical markets are not of interest.</w:t>
      </w:r>
    </w:p>
    <w:p w14:paraId="2C509B1B" w14:textId="2B219D73" w:rsidR="00251322" w:rsidRPr="002C1E9C" w:rsidRDefault="00E437D8" w:rsidP="002C1E9C">
      <w:pPr>
        <w:numPr>
          <w:ilvl w:val="0"/>
          <w:numId w:val="151"/>
        </w:numPr>
        <w:ind w:left="2016"/>
      </w:pPr>
      <w:r>
        <w:t>Applications proposing processes targeting the production of pr</w:t>
      </w:r>
      <w:r w:rsidR="00334515">
        <w:t>o</w:t>
      </w:r>
      <w:r>
        <w:t>tein or biomass as an end-product are not of interest.</w:t>
      </w:r>
      <w:r w:rsidR="00EB32CB">
        <w:t xml:space="preserve">  </w:t>
      </w:r>
    </w:p>
    <w:p w14:paraId="0FBFD59E" w14:textId="77777777" w:rsidR="002C1E9C" w:rsidRPr="002C1E9C" w:rsidRDefault="002C1E9C" w:rsidP="002C1E9C">
      <w:pPr>
        <w:rPr>
          <w:rFonts w:ascii="Calibri" w:hAnsi="Calibri"/>
          <w:b/>
          <w:color w:val="000000"/>
        </w:rPr>
      </w:pPr>
    </w:p>
    <w:p w14:paraId="4D72D7FA" w14:textId="0369DB8F" w:rsidR="002C1E9C" w:rsidRPr="002C1E9C" w:rsidRDefault="002C1E9C" w:rsidP="002C1E9C">
      <w:pPr>
        <w:ind w:left="1260"/>
        <w:rPr>
          <w:rFonts w:ascii="Calibri" w:hAnsi="Calibri"/>
          <w:b/>
          <w:color w:val="000000"/>
        </w:rPr>
      </w:pPr>
      <w:r w:rsidRPr="002C1E9C">
        <w:rPr>
          <w:rFonts w:ascii="Calibri" w:hAnsi="Calibri"/>
          <w:b/>
          <w:color w:val="000000"/>
        </w:rPr>
        <w:t xml:space="preserve">Topic Area </w:t>
      </w:r>
      <w:r w:rsidR="005643BA">
        <w:rPr>
          <w:rFonts w:ascii="Calibri" w:hAnsi="Calibri"/>
          <w:b/>
          <w:color w:val="000000"/>
        </w:rPr>
        <w:t>3</w:t>
      </w:r>
      <w:r w:rsidRPr="002C1E9C">
        <w:rPr>
          <w:rFonts w:ascii="Calibri" w:hAnsi="Calibri"/>
          <w:b/>
          <w:color w:val="000000"/>
        </w:rPr>
        <w:t xml:space="preserve"> Special Deliverables</w:t>
      </w:r>
    </w:p>
    <w:p w14:paraId="49D479E5" w14:textId="77777777" w:rsidR="002C1E9C" w:rsidRPr="002C1E9C" w:rsidRDefault="002C1E9C" w:rsidP="002C1E9C">
      <w:pPr>
        <w:ind w:left="1260"/>
        <w:rPr>
          <w:rFonts w:ascii="Calibri" w:hAnsi="Calibri"/>
          <w:b/>
          <w:color w:val="000000"/>
        </w:rPr>
      </w:pPr>
    </w:p>
    <w:p w14:paraId="77552B7E" w14:textId="7577CADA" w:rsidR="002C1E9C" w:rsidRPr="002C1E9C" w:rsidRDefault="002C1E9C" w:rsidP="002C1E9C">
      <w:pPr>
        <w:ind w:left="1296"/>
        <w:rPr>
          <w:rFonts w:ascii="Calibri" w:hAnsi="Calibri"/>
        </w:rPr>
      </w:pPr>
      <w:r w:rsidRPr="002C1E9C">
        <w:rPr>
          <w:rFonts w:ascii="Calibri" w:hAnsi="Calibri"/>
          <w:color w:val="000000"/>
        </w:rPr>
        <w:t xml:space="preserve">In addition to the deliverables required in the Federal Assistance Reporting Checklist, the following deliverables are required for awards made under Topic Area </w:t>
      </w:r>
      <w:r w:rsidR="005643BA">
        <w:rPr>
          <w:rFonts w:ascii="Calibri" w:hAnsi="Calibri"/>
          <w:color w:val="000000"/>
        </w:rPr>
        <w:t>3</w:t>
      </w:r>
      <w:r w:rsidRPr="002C1E9C">
        <w:rPr>
          <w:rFonts w:ascii="Calibri" w:hAnsi="Calibri"/>
          <w:color w:val="000000"/>
        </w:rPr>
        <w:t>: </w:t>
      </w:r>
      <w:r w:rsidRPr="002C1E9C">
        <w:rPr>
          <w:rFonts w:ascii="Calibri" w:hAnsi="Calibri"/>
        </w:rPr>
        <w:t> </w:t>
      </w:r>
    </w:p>
    <w:p w14:paraId="197270CB" w14:textId="77777777" w:rsidR="002C1E9C" w:rsidRPr="002C1E9C" w:rsidRDefault="002C1E9C" w:rsidP="002C1E9C">
      <w:pPr>
        <w:ind w:left="1296"/>
        <w:rPr>
          <w:rFonts w:ascii="Calibri" w:hAnsi="Calibri"/>
        </w:rPr>
      </w:pPr>
    </w:p>
    <w:p w14:paraId="565DE480" w14:textId="77777777" w:rsidR="002C1E9C" w:rsidRPr="002C1E9C" w:rsidRDefault="002C1E9C" w:rsidP="002C1E9C">
      <w:pPr>
        <w:numPr>
          <w:ilvl w:val="0"/>
          <w:numId w:val="150"/>
        </w:numPr>
        <w:ind w:left="2016"/>
        <w:contextualSpacing/>
        <w:rPr>
          <w:rFonts w:ascii="Calibri" w:hAnsi="Calibri"/>
        </w:rPr>
      </w:pPr>
      <w:r w:rsidRPr="002C1E9C">
        <w:rPr>
          <w:szCs w:val="24"/>
        </w:rPr>
        <w:t xml:space="preserve">Attendance and participation at the BETO Biennial Peer Review is required so that external subject matter experts can review project accomplishments and provide feedback to ensure optimal use of BETO funds. </w:t>
      </w:r>
    </w:p>
    <w:p w14:paraId="6B13EAA6" w14:textId="6140FE79" w:rsidR="002C1E9C" w:rsidRPr="002C1E9C" w:rsidRDefault="002C1E9C" w:rsidP="002C1E9C">
      <w:pPr>
        <w:numPr>
          <w:ilvl w:val="0"/>
          <w:numId w:val="150"/>
        </w:numPr>
        <w:ind w:left="2016"/>
        <w:rPr>
          <w:rFonts w:ascii="Calibri" w:hAnsi="Calibri"/>
        </w:rPr>
      </w:pPr>
      <w:r w:rsidRPr="002C1E9C">
        <w:rPr>
          <w:color w:val="000000"/>
        </w:rPr>
        <w:t xml:space="preserve">A publicly releasable final technical report describing how the technology would contribute to the BETO 2030 goal being cost competitive with petroleum-based </w:t>
      </w:r>
      <w:r w:rsidR="0000156C">
        <w:rPr>
          <w:color w:val="000000"/>
        </w:rPr>
        <w:t>organic chemicals</w:t>
      </w:r>
      <w:r w:rsidRPr="002C1E9C">
        <w:rPr>
          <w:color w:val="000000"/>
        </w:rPr>
        <w:t xml:space="preserve"> (model TEA for nth plant) with </w:t>
      </w:r>
      <w:r w:rsidRPr="0000156C">
        <w:rPr>
          <w:color w:val="000000"/>
        </w:rPr>
        <w:t xml:space="preserve">at least </w:t>
      </w:r>
      <w:r w:rsidR="0000156C" w:rsidRPr="008B0D95">
        <w:rPr>
          <w:color w:val="000000"/>
        </w:rPr>
        <w:t>85</w:t>
      </w:r>
      <w:r w:rsidRPr="0000156C">
        <w:rPr>
          <w:color w:val="000000"/>
        </w:rPr>
        <w:t>%</w:t>
      </w:r>
      <w:r w:rsidRPr="002C1E9C">
        <w:rPr>
          <w:color w:val="000000"/>
        </w:rPr>
        <w:t xml:space="preserve"> reduction in greenhouse gas emissions relative to petroleum derived fuels. </w:t>
      </w:r>
    </w:p>
    <w:p w14:paraId="761DCE93" w14:textId="77777777" w:rsidR="002C1E9C" w:rsidRPr="005908A1" w:rsidRDefault="002C1E9C" w:rsidP="002C1E9C">
      <w:pPr>
        <w:numPr>
          <w:ilvl w:val="0"/>
          <w:numId w:val="150"/>
        </w:numPr>
        <w:ind w:left="1980"/>
        <w:contextualSpacing/>
      </w:pPr>
      <w:r w:rsidRPr="005908A1">
        <w:rPr>
          <w:rFonts w:ascii="Calibri" w:eastAsia="Calibri" w:hAnsi="Calibri"/>
        </w:rPr>
        <w:t>Recipients will be required to provide input for DOE’s design cases (link to our latest State of Technology Report that discusses these design cases can be found at the link provided below) to refine the various program models (such as TEA and LCA) in an anonymous manner (permitting the data to be made publicly available).</w:t>
      </w:r>
    </w:p>
    <w:p w14:paraId="708AC95F" w14:textId="77777777" w:rsidR="002C1E9C" w:rsidRPr="002C1E9C" w:rsidRDefault="002C1E9C" w:rsidP="002C1E9C">
      <w:pPr>
        <w:numPr>
          <w:ilvl w:val="3"/>
          <w:numId w:val="150"/>
        </w:numPr>
        <w:tabs>
          <w:tab w:val="left" w:pos="2520"/>
        </w:tabs>
        <w:ind w:left="2520"/>
        <w:contextualSpacing/>
        <w:rPr>
          <w:color w:val="808080"/>
        </w:rPr>
      </w:pPr>
      <w:r w:rsidRPr="002C1E9C">
        <w:rPr>
          <w:rFonts w:eastAsia="Calibri"/>
        </w:rPr>
        <w:t>(</w:t>
      </w:r>
      <w:r w:rsidRPr="002C1E9C">
        <w:rPr>
          <w:rFonts w:ascii="Calibri" w:eastAsia="Calibri" w:hAnsi="Calibri"/>
        </w:rPr>
        <w:t>https://www.energy.gov/sites/prod/files/2020/07/f76/beto-2019-state-of-technology-july-2020-r1.pdf)</w:t>
      </w:r>
    </w:p>
    <w:p w14:paraId="175C37FA" w14:textId="77777777" w:rsidR="002C1E9C" w:rsidRPr="002C1E9C" w:rsidRDefault="002C1E9C" w:rsidP="002C1E9C">
      <w:pPr>
        <w:keepNext/>
        <w:ind w:left="1710" w:hanging="360"/>
        <w:contextualSpacing/>
        <w:outlineLvl w:val="2"/>
        <w:rPr>
          <w:rFonts w:ascii="Calibri" w:hAnsi="Calibri"/>
          <w:b/>
          <w:sz w:val="28"/>
          <w:szCs w:val="28"/>
        </w:rPr>
      </w:pPr>
    </w:p>
    <w:p w14:paraId="47DC2C0A" w14:textId="77777777" w:rsidR="002C1E9C" w:rsidRPr="002C1E9C" w:rsidRDefault="002C1E9C" w:rsidP="002C1E9C">
      <w:pPr>
        <w:ind w:left="1350"/>
        <w:rPr>
          <w:szCs w:val="24"/>
        </w:rPr>
      </w:pPr>
      <w:r w:rsidRPr="002C1E9C">
        <w:rPr>
          <w:szCs w:val="24"/>
        </w:rPr>
        <w:t>All work under EERE funding agreements must be performed in the United States. See Section IV.K.iii. and Appendix C.</w:t>
      </w:r>
    </w:p>
    <w:p w14:paraId="031BAEBC" w14:textId="77777777" w:rsidR="009A690C" w:rsidRPr="00A53BBC" w:rsidRDefault="009A690C" w:rsidP="00D07031">
      <w:pPr>
        <w:rPr>
          <w:b/>
          <w:szCs w:val="24"/>
        </w:rPr>
      </w:pPr>
    </w:p>
    <w:p w14:paraId="7A6D236F" w14:textId="77777777" w:rsidR="00FC0DE0" w:rsidRDefault="00FC0DE0" w:rsidP="001612A1">
      <w:pPr>
        <w:pStyle w:val="FOAHeading2"/>
      </w:pPr>
      <w:bookmarkStart w:id="40" w:name="_Toc166587564"/>
      <w:bookmarkStart w:id="41" w:name="_Toc517798892"/>
      <w:bookmarkStart w:id="42" w:name="_Toc519602224"/>
      <w:bookmarkStart w:id="43" w:name="_Toc519602305"/>
      <w:bookmarkStart w:id="44" w:name="_Toc176864408"/>
      <w:r>
        <w:t>Verifications</w:t>
      </w:r>
      <w:bookmarkEnd w:id="40"/>
      <w:bookmarkEnd w:id="44"/>
    </w:p>
    <w:p w14:paraId="44BE06FD" w14:textId="77777777" w:rsidR="00FC0DE0" w:rsidRPr="008015FD" w:rsidRDefault="00FC0DE0" w:rsidP="00FC0DE0">
      <w:pPr>
        <w:ind w:left="1296"/>
      </w:pPr>
      <w:r w:rsidRPr="008015FD">
        <w:t xml:space="preserve">All applications selected for award negotiations under this FOA are required to participate in a verification process led by DOE’s identified external third-party non-conflicted verification team. This team may be led by the National Renewable Energy Laboratory’s Systems Integration team, DOE BETO’s independent engineering contractor, or another non-conflicted BETO contractor. Personnel involved in verifications sign project specific Non-Disclosure Agreements and </w:t>
      </w:r>
      <w:r>
        <w:t>C</w:t>
      </w:r>
      <w:r w:rsidRPr="008015FD">
        <w:t xml:space="preserve">onflict of </w:t>
      </w:r>
      <w:r>
        <w:t>I</w:t>
      </w:r>
      <w:r w:rsidRPr="008015FD">
        <w:t>nterest statements. This verification process provides technical assistance to both the DOE BETO and the project by providing an in-depth analysis of key technical and economic metrics to ensure transparency and increase the likelihood of project success.</w:t>
      </w:r>
    </w:p>
    <w:p w14:paraId="491EE6F6" w14:textId="77777777" w:rsidR="00FC0DE0" w:rsidRPr="008015FD" w:rsidRDefault="00FC0DE0" w:rsidP="00FC0DE0">
      <w:pPr>
        <w:ind w:left="1296"/>
      </w:pPr>
    </w:p>
    <w:p w14:paraId="418F370C" w14:textId="77777777" w:rsidR="00FC0DE0" w:rsidRPr="008015FD" w:rsidRDefault="00FC0DE0" w:rsidP="00FC0DE0">
      <w:pPr>
        <w:ind w:left="1296"/>
      </w:pPr>
      <w:r w:rsidRPr="008015FD">
        <w:t xml:space="preserve">The objectives of the verification effort are to: </w:t>
      </w:r>
    </w:p>
    <w:p w14:paraId="2E3F8C5F" w14:textId="77777777" w:rsidR="00FC0DE0" w:rsidRPr="008015FD" w:rsidRDefault="00FC0DE0" w:rsidP="00FC0DE0">
      <w:pPr>
        <w:ind w:left="1296"/>
      </w:pPr>
    </w:p>
    <w:p w14:paraId="56F8D727" w14:textId="156F41CD" w:rsidR="00FC0DE0" w:rsidRPr="00A52D75" w:rsidRDefault="00FC0DE0" w:rsidP="00FC0DE0">
      <w:pPr>
        <w:numPr>
          <w:ilvl w:val="0"/>
          <w:numId w:val="152"/>
        </w:numPr>
        <w:pBdr>
          <w:top w:val="nil"/>
          <w:left w:val="nil"/>
          <w:bottom w:val="nil"/>
          <w:right w:val="nil"/>
          <w:between w:val="nil"/>
        </w:pBdr>
        <w:ind w:left="1980"/>
        <w:rPr>
          <w:rFonts w:ascii="Calibri" w:hAnsi="Calibri"/>
          <w:color w:val="000000"/>
        </w:rPr>
      </w:pPr>
      <w:r w:rsidRPr="00A52D75">
        <w:rPr>
          <w:rFonts w:ascii="Calibri" w:hAnsi="Calibri"/>
          <w:color w:val="000000"/>
        </w:rPr>
        <w:t xml:space="preserve">Verify the </w:t>
      </w:r>
      <w:r w:rsidR="00EB6DB9">
        <w:rPr>
          <w:rFonts w:ascii="Calibri" w:hAnsi="Calibri"/>
          <w:color w:val="000000"/>
        </w:rPr>
        <w:t>a</w:t>
      </w:r>
      <w:r w:rsidRPr="00A52D75">
        <w:rPr>
          <w:rFonts w:ascii="Calibri" w:hAnsi="Calibri"/>
          <w:color w:val="000000"/>
        </w:rPr>
        <w:t xml:space="preserve">pplicant’s technical data/performance metrics/targets as described in the original application. </w:t>
      </w:r>
    </w:p>
    <w:p w14:paraId="2362C751" w14:textId="77777777" w:rsidR="00FC0DE0" w:rsidRPr="00A52D75" w:rsidRDefault="00FC0DE0" w:rsidP="00FC0DE0">
      <w:pPr>
        <w:numPr>
          <w:ilvl w:val="0"/>
          <w:numId w:val="152"/>
        </w:numPr>
        <w:pBdr>
          <w:top w:val="nil"/>
          <w:left w:val="nil"/>
          <w:bottom w:val="nil"/>
          <w:right w:val="nil"/>
          <w:between w:val="nil"/>
        </w:pBdr>
        <w:ind w:left="1980"/>
        <w:rPr>
          <w:rFonts w:ascii="Calibri" w:hAnsi="Calibri"/>
          <w:color w:val="000000"/>
        </w:rPr>
      </w:pPr>
      <w:r w:rsidRPr="00A52D75">
        <w:rPr>
          <w:rFonts w:ascii="Calibri" w:hAnsi="Calibri"/>
          <w:color w:val="000000"/>
        </w:rPr>
        <w:t xml:space="preserve">Establish a framework to evaluate and track progress over time so that the milestones and Go/No-Go decision points separating budget periods may be tracked and evaluated. </w:t>
      </w:r>
    </w:p>
    <w:p w14:paraId="1F85213B" w14:textId="77777777" w:rsidR="00FC0DE0" w:rsidRPr="00A52D75" w:rsidRDefault="00FC0DE0" w:rsidP="00FC0DE0">
      <w:pPr>
        <w:numPr>
          <w:ilvl w:val="0"/>
          <w:numId w:val="152"/>
        </w:numPr>
        <w:pBdr>
          <w:top w:val="nil"/>
          <w:left w:val="nil"/>
          <w:bottom w:val="nil"/>
          <w:right w:val="nil"/>
          <w:between w:val="nil"/>
        </w:pBdr>
        <w:ind w:left="1980"/>
        <w:rPr>
          <w:rFonts w:ascii="Calibri" w:hAnsi="Calibri"/>
          <w:color w:val="000000"/>
        </w:rPr>
      </w:pPr>
      <w:r w:rsidRPr="00A52D75">
        <w:rPr>
          <w:rFonts w:ascii="Calibri" w:hAnsi="Calibri"/>
          <w:color w:val="000000"/>
        </w:rPr>
        <w:t xml:space="preserve">Update or provide data in the </w:t>
      </w:r>
      <w:r w:rsidRPr="00744DAF">
        <w:rPr>
          <w:rFonts w:ascii="Calibri" w:hAnsi="Calibri"/>
          <w:color w:val="000000"/>
        </w:rPr>
        <w:t xml:space="preserve">Supplemental Content Requirements </w:t>
      </w:r>
      <w:r w:rsidRPr="00A52D75">
        <w:rPr>
          <w:rFonts w:ascii="Calibri" w:hAnsi="Calibri"/>
          <w:color w:val="000000"/>
        </w:rPr>
        <w:t xml:space="preserve">(see Appendix H). </w:t>
      </w:r>
    </w:p>
    <w:p w14:paraId="51588DC1" w14:textId="77777777" w:rsidR="00FC0DE0" w:rsidRPr="00A52D75" w:rsidRDefault="00FC0DE0" w:rsidP="00FC0DE0">
      <w:pPr>
        <w:numPr>
          <w:ilvl w:val="0"/>
          <w:numId w:val="152"/>
        </w:numPr>
        <w:pBdr>
          <w:top w:val="nil"/>
          <w:left w:val="nil"/>
          <w:bottom w:val="nil"/>
          <w:right w:val="nil"/>
          <w:between w:val="nil"/>
        </w:pBdr>
        <w:ind w:left="1980"/>
        <w:rPr>
          <w:rFonts w:ascii="Calibri" w:hAnsi="Calibri"/>
          <w:color w:val="000000"/>
        </w:rPr>
      </w:pPr>
      <w:r w:rsidRPr="00A52D75">
        <w:rPr>
          <w:rFonts w:ascii="Calibri" w:hAnsi="Calibri"/>
          <w:color w:val="000000"/>
        </w:rPr>
        <w:t xml:space="preserve">Establish benchmark, baseline, and associated target values. </w:t>
      </w:r>
    </w:p>
    <w:p w14:paraId="4D42FD3A" w14:textId="77777777" w:rsidR="00FC0DE0" w:rsidRDefault="00FC0DE0" w:rsidP="00FC0DE0">
      <w:pPr>
        <w:numPr>
          <w:ilvl w:val="0"/>
          <w:numId w:val="152"/>
        </w:numPr>
        <w:pBdr>
          <w:top w:val="nil"/>
          <w:left w:val="nil"/>
          <w:bottom w:val="nil"/>
          <w:right w:val="nil"/>
          <w:between w:val="nil"/>
        </w:pBdr>
        <w:ind w:left="1980"/>
        <w:rPr>
          <w:rFonts w:ascii="Calibri" w:hAnsi="Calibri"/>
          <w:color w:val="000000"/>
        </w:rPr>
      </w:pPr>
      <w:r w:rsidRPr="008015FD">
        <w:rPr>
          <w:rFonts w:ascii="Calibri" w:hAnsi="Calibri"/>
          <w:color w:val="000000"/>
        </w:rPr>
        <w:t xml:space="preserve">Identify potential major showstoppers and discuss risk mitigation strategies. </w:t>
      </w:r>
    </w:p>
    <w:p w14:paraId="1DF98B4A" w14:textId="77777777" w:rsidR="00FC0DE0" w:rsidRPr="008015FD" w:rsidRDefault="00FC0DE0" w:rsidP="00FC0DE0">
      <w:pPr>
        <w:numPr>
          <w:ilvl w:val="0"/>
          <w:numId w:val="152"/>
        </w:numPr>
        <w:pBdr>
          <w:top w:val="nil"/>
          <w:left w:val="nil"/>
          <w:bottom w:val="nil"/>
          <w:right w:val="nil"/>
          <w:between w:val="nil"/>
        </w:pBdr>
        <w:ind w:left="1980"/>
        <w:rPr>
          <w:rFonts w:ascii="Calibri" w:hAnsi="Calibri"/>
          <w:color w:val="000000"/>
        </w:rPr>
      </w:pPr>
      <w:r>
        <w:rPr>
          <w:rFonts w:ascii="Calibri" w:hAnsi="Calibri"/>
          <w:color w:val="000000"/>
        </w:rPr>
        <w:t>Identify and address potential safety concerns. This is not intended to replace an organization’s own hazard and safety analysis but instead to add another layer of safety.</w:t>
      </w:r>
    </w:p>
    <w:p w14:paraId="09615AF8" w14:textId="77777777" w:rsidR="00FC0DE0" w:rsidRPr="008015FD" w:rsidRDefault="00FC0DE0" w:rsidP="00FC0DE0">
      <w:pPr>
        <w:numPr>
          <w:ilvl w:val="0"/>
          <w:numId w:val="152"/>
        </w:numPr>
        <w:pBdr>
          <w:top w:val="nil"/>
          <w:left w:val="nil"/>
          <w:bottom w:val="nil"/>
          <w:right w:val="nil"/>
          <w:between w:val="nil"/>
        </w:pBdr>
        <w:ind w:left="1980"/>
        <w:rPr>
          <w:rFonts w:ascii="Calibri" w:hAnsi="Calibri"/>
          <w:color w:val="000000"/>
        </w:rPr>
      </w:pPr>
      <w:r w:rsidRPr="008015FD">
        <w:rPr>
          <w:rFonts w:ascii="Calibri" w:hAnsi="Calibri"/>
          <w:color w:val="000000"/>
        </w:rPr>
        <w:t xml:space="preserve">Align project goals with BETO’s expectations. </w:t>
      </w:r>
    </w:p>
    <w:p w14:paraId="76EBA1B3" w14:textId="77777777" w:rsidR="00FC0DE0" w:rsidRPr="008015FD" w:rsidRDefault="00FC0DE0" w:rsidP="00FC0DE0">
      <w:pPr>
        <w:ind w:left="1296"/>
        <w:rPr>
          <w:rFonts w:ascii="Calibri" w:hAnsi="Calibri"/>
          <w:color w:val="000000"/>
          <w:sz w:val="23"/>
          <w:szCs w:val="23"/>
        </w:rPr>
      </w:pPr>
    </w:p>
    <w:p w14:paraId="48A7466A" w14:textId="1212B021" w:rsidR="00FC0DE0" w:rsidRPr="008015FD" w:rsidRDefault="00FC0DE0" w:rsidP="00FC0DE0">
      <w:pPr>
        <w:ind w:left="1296"/>
        <w:rPr>
          <w:sz w:val="23"/>
          <w:szCs w:val="23"/>
        </w:rPr>
      </w:pPr>
      <w:r w:rsidRPr="008015FD">
        <w:rPr>
          <w:rFonts w:ascii="Calibri" w:hAnsi="Calibri"/>
          <w:color w:val="000000"/>
        </w:rPr>
        <w:t xml:space="preserve">There are three types of verification periods throughout the lifetime of the project: the “Initial Verification,” conducted at the beginning of the project (months 0-3); the “Intermediate Verification(s),” conducted as a part of Go/No-Go decisions separating budget periods; and the “Final Verification,” conducted at the end of the project (within 3 months of closeout). The verification team will perform some or all of these verifications at the </w:t>
      </w:r>
      <w:r>
        <w:rPr>
          <w:rFonts w:ascii="Calibri" w:hAnsi="Calibri"/>
          <w:color w:val="000000"/>
        </w:rPr>
        <w:t>R</w:t>
      </w:r>
      <w:r w:rsidRPr="008015FD">
        <w:rPr>
          <w:rFonts w:ascii="Calibri" w:hAnsi="Calibri"/>
          <w:color w:val="000000"/>
        </w:rPr>
        <w:t>ecipient’s facility to initially verify the data included in the application or</w:t>
      </w:r>
      <w:r>
        <w:rPr>
          <w:rFonts w:ascii="Calibri" w:hAnsi="Calibri"/>
          <w:color w:val="000000"/>
        </w:rPr>
        <w:t xml:space="preserve"> in negotiated</w:t>
      </w:r>
      <w:r w:rsidRPr="008015FD">
        <w:rPr>
          <w:rFonts w:ascii="Calibri" w:hAnsi="Calibri"/>
          <w:color w:val="000000"/>
        </w:rPr>
        <w:t xml:space="preserve"> Technical </w:t>
      </w:r>
      <w:r>
        <w:rPr>
          <w:rFonts w:ascii="Calibri" w:hAnsi="Calibri"/>
          <w:color w:val="000000"/>
        </w:rPr>
        <w:t>D</w:t>
      </w:r>
      <w:r w:rsidRPr="008015FD">
        <w:rPr>
          <w:rFonts w:ascii="Calibri" w:hAnsi="Calibri"/>
          <w:color w:val="000000"/>
        </w:rPr>
        <w:t xml:space="preserve">atasheet, and subsequently in conjunction with site visits to monitor progress. </w:t>
      </w:r>
    </w:p>
    <w:p w14:paraId="54452A0C" w14:textId="77777777" w:rsidR="00FC0DE0" w:rsidRPr="008015FD" w:rsidRDefault="00FC0DE0" w:rsidP="00FC0DE0">
      <w:pPr>
        <w:ind w:left="1296"/>
        <w:rPr>
          <w:sz w:val="23"/>
          <w:szCs w:val="23"/>
        </w:rPr>
      </w:pPr>
    </w:p>
    <w:p w14:paraId="7C6AEA85" w14:textId="77777777" w:rsidR="00FC0DE0" w:rsidRPr="008015FD" w:rsidRDefault="00FC0DE0" w:rsidP="00FC0DE0">
      <w:pPr>
        <w:ind w:left="1296"/>
        <w:rPr>
          <w:rFonts w:ascii="Calibri" w:hAnsi="Calibri"/>
          <w:color w:val="000000"/>
        </w:rPr>
      </w:pPr>
      <w:r w:rsidRPr="008015FD">
        <w:rPr>
          <w:rFonts w:ascii="Calibri" w:hAnsi="Calibri"/>
          <w:color w:val="000000"/>
        </w:rPr>
        <w:t xml:space="preserve">The specific objectives of these verifications are set forth below: </w:t>
      </w:r>
    </w:p>
    <w:p w14:paraId="2CB3DA31" w14:textId="77777777" w:rsidR="00FC0DE0" w:rsidRPr="008015FD" w:rsidRDefault="00FC0DE0" w:rsidP="00FC0DE0">
      <w:pPr>
        <w:ind w:left="1296"/>
        <w:rPr>
          <w:rFonts w:ascii="Calibri" w:hAnsi="Calibri"/>
          <w:color w:val="000000"/>
        </w:rPr>
      </w:pPr>
    </w:p>
    <w:p w14:paraId="0AC6569B" w14:textId="77777777" w:rsidR="00FC0DE0" w:rsidRPr="008015FD" w:rsidRDefault="00FC0DE0" w:rsidP="00FC0DE0">
      <w:pPr>
        <w:numPr>
          <w:ilvl w:val="0"/>
          <w:numId w:val="152"/>
        </w:numPr>
        <w:pBdr>
          <w:top w:val="nil"/>
          <w:left w:val="nil"/>
          <w:bottom w:val="nil"/>
          <w:right w:val="nil"/>
          <w:between w:val="nil"/>
        </w:pBdr>
        <w:ind w:left="1980"/>
        <w:rPr>
          <w:rFonts w:ascii="Calibri" w:hAnsi="Calibri"/>
          <w:color w:val="000000"/>
        </w:rPr>
      </w:pPr>
      <w:r w:rsidRPr="008015FD">
        <w:rPr>
          <w:rFonts w:ascii="Calibri" w:hAnsi="Calibri"/>
          <w:color w:val="000000"/>
        </w:rPr>
        <w:t xml:space="preserve">The initial verification is to confirm the benchmark data and assumptions provided in the application, which will establish the project baseline against which future performance and cost improvements will be evaluated. During the initial verification, the verification team will work closely with the project team to discuss the project effort in detail; initiate the review of application data, metrics, and procedures as provided in the original application; and set the date for the on-site meeting. This is an iterative process between the two teams and establishes the agenda for the on-site (or virtual) meeting. The project baseline will be set in this period, either through revision of the application data or by submission of additional/new data. The verification results are used by DOE at its sole discretion, among other factors, in making the Go/No-Go decision to proceed with Budget Period 2 (BP2). See Section II.A.ii. for information on period of performance and Go/No-Go decisions. </w:t>
      </w:r>
    </w:p>
    <w:p w14:paraId="75F532C0" w14:textId="17998147" w:rsidR="00FC0DE0" w:rsidRPr="008015FD" w:rsidRDefault="00FC0DE0" w:rsidP="00FC0DE0">
      <w:pPr>
        <w:numPr>
          <w:ilvl w:val="0"/>
          <w:numId w:val="152"/>
        </w:numPr>
        <w:pBdr>
          <w:top w:val="nil"/>
          <w:left w:val="nil"/>
          <w:bottom w:val="nil"/>
          <w:right w:val="nil"/>
          <w:between w:val="nil"/>
        </w:pBdr>
        <w:ind w:left="1980"/>
        <w:rPr>
          <w:rFonts w:ascii="Calibri" w:hAnsi="Calibri"/>
          <w:color w:val="000000"/>
        </w:rPr>
      </w:pPr>
      <w:r w:rsidRPr="008015FD">
        <w:rPr>
          <w:rFonts w:ascii="Calibri" w:hAnsi="Calibri"/>
          <w:color w:val="000000"/>
        </w:rPr>
        <w:t>An intermediate verification</w:t>
      </w:r>
      <w:r>
        <w:rPr>
          <w:rFonts w:ascii="Calibri" w:hAnsi="Calibri"/>
          <w:color w:val="000000"/>
        </w:rPr>
        <w:t xml:space="preserve"> </w:t>
      </w:r>
      <w:r w:rsidRPr="008015FD">
        <w:rPr>
          <w:rFonts w:ascii="Calibri" w:hAnsi="Calibri"/>
          <w:color w:val="000000"/>
        </w:rPr>
        <w:t xml:space="preserve">will be conducted toward the end of BP2. The intermediate verification assesses progress towards the project’s BP2 Go/No-Go decision point and any targets established in the application, the initial verification, the achievement of the Statement of Project Objectives (SOPO) milestones in support of the Go/No-Go decision point, and any other factors contributing to progress toward the project objectives. The verification results are used by DOE at its sole discretion, among other factors, in making the Go/No-Go decision to proceed with BP3. In projects with more than 3 budget periods, additional interim verifications may be conducted. </w:t>
      </w:r>
    </w:p>
    <w:p w14:paraId="1E6F9401" w14:textId="158889F1" w:rsidR="00FC0DE0" w:rsidRPr="00FC0DE0" w:rsidRDefault="00FC0DE0" w:rsidP="008B0D95">
      <w:pPr>
        <w:numPr>
          <w:ilvl w:val="0"/>
          <w:numId w:val="152"/>
        </w:numPr>
        <w:pBdr>
          <w:top w:val="nil"/>
          <w:left w:val="nil"/>
          <w:bottom w:val="nil"/>
          <w:right w:val="nil"/>
          <w:between w:val="nil"/>
        </w:pBdr>
        <w:ind w:left="1980"/>
        <w:rPr>
          <w:rFonts w:ascii="Calibri" w:hAnsi="Calibri"/>
          <w:color w:val="000000"/>
        </w:rPr>
      </w:pPr>
      <w:r w:rsidRPr="008015FD">
        <w:rPr>
          <w:rFonts w:ascii="Calibri" w:hAnsi="Calibri"/>
          <w:color w:val="000000"/>
        </w:rPr>
        <w:t xml:space="preserve">The final verification will be held prior to the end of the project. The objective of this final verification is to assess whether the final targets were achieved, document the challenges overcome, and record the technical or economic challenges that remain. </w:t>
      </w:r>
    </w:p>
    <w:p w14:paraId="398DB897" w14:textId="77777777" w:rsidR="00FC0DE0" w:rsidRPr="008015FD" w:rsidRDefault="00FC0DE0" w:rsidP="00FC0DE0">
      <w:pPr>
        <w:ind w:left="1296"/>
        <w:rPr>
          <w:rFonts w:ascii="Calibri" w:hAnsi="Calibri"/>
          <w:color w:val="000000"/>
        </w:rPr>
      </w:pPr>
    </w:p>
    <w:p w14:paraId="0CEF449D" w14:textId="77777777" w:rsidR="00FC0DE0" w:rsidRPr="00AB292C" w:rsidRDefault="00FC0DE0" w:rsidP="00FC0DE0">
      <w:pPr>
        <w:ind w:left="1296"/>
        <w:rPr>
          <w:rFonts w:ascii="Calibri" w:hAnsi="Calibri"/>
          <w:b/>
          <w:color w:val="000000"/>
        </w:rPr>
      </w:pPr>
      <w:r w:rsidRPr="00AB292C">
        <w:rPr>
          <w:b/>
        </w:rPr>
        <w:t>Supplemental Content Requirements</w:t>
      </w:r>
      <w:r w:rsidRPr="00AB292C">
        <w:rPr>
          <w:rFonts w:ascii="Calibri" w:hAnsi="Calibri"/>
          <w:b/>
          <w:color w:val="000000"/>
        </w:rPr>
        <w:t xml:space="preserve">: </w:t>
      </w:r>
    </w:p>
    <w:p w14:paraId="5227E0A6" w14:textId="77777777" w:rsidR="00FC0DE0" w:rsidRPr="00AB292C" w:rsidRDefault="00FC0DE0" w:rsidP="00FC0DE0">
      <w:pPr>
        <w:ind w:left="1296"/>
        <w:rPr>
          <w:rFonts w:ascii="Calibri" w:hAnsi="Calibri"/>
          <w:color w:val="000000"/>
        </w:rPr>
      </w:pPr>
    </w:p>
    <w:p w14:paraId="60CE7259" w14:textId="683C00C7" w:rsidR="00573FC2" w:rsidRDefault="00FC0DE0" w:rsidP="00FC0DE0">
      <w:pPr>
        <w:ind w:left="1296"/>
        <w:rPr>
          <w:rFonts w:ascii="Calibri" w:hAnsi="Calibri"/>
          <w:color w:val="000000"/>
        </w:rPr>
      </w:pPr>
      <w:r w:rsidRPr="00AB292C">
        <w:rPr>
          <w:rFonts w:ascii="Calibri" w:hAnsi="Calibri"/>
          <w:color w:val="000000"/>
        </w:rPr>
        <w:t xml:space="preserve">The Supplemental Content Requirements included with the FOA (Appendix H), were designed to guide </w:t>
      </w:r>
      <w:r w:rsidR="00EB6DB9">
        <w:rPr>
          <w:rFonts w:ascii="Calibri" w:hAnsi="Calibri"/>
          <w:color w:val="000000"/>
        </w:rPr>
        <w:t>a</w:t>
      </w:r>
      <w:r w:rsidRPr="00AB292C">
        <w:rPr>
          <w:rFonts w:ascii="Calibri" w:hAnsi="Calibri"/>
          <w:color w:val="000000"/>
        </w:rPr>
        <w:t>pplicants in providing information to assess the technical validity of the technology being developed within the selected project.</w:t>
      </w:r>
      <w:r w:rsidRPr="008015FD">
        <w:rPr>
          <w:rFonts w:ascii="Calibri" w:hAnsi="Calibri"/>
          <w:color w:val="000000"/>
        </w:rPr>
        <w:t xml:space="preserve"> </w:t>
      </w:r>
      <w:r w:rsidRPr="008015FD">
        <w:rPr>
          <w:rFonts w:ascii="Calibri" w:hAnsi="Calibri"/>
          <w:b/>
          <w:color w:val="000000"/>
        </w:rPr>
        <w:t>Applications submitted without the appropriate supplemental content as defined in the Topic Area and Subtopic Area will be deemed non-responsive and excluded from further review under this FOA</w:t>
      </w:r>
      <w:r w:rsidRPr="008015FD">
        <w:rPr>
          <w:rFonts w:ascii="Calibri" w:hAnsi="Calibri"/>
          <w:color w:val="000000"/>
        </w:rPr>
        <w:t xml:space="preserve">. </w:t>
      </w:r>
    </w:p>
    <w:p w14:paraId="40801913" w14:textId="77777777" w:rsidR="00573FC2" w:rsidRDefault="00573FC2" w:rsidP="00FC0DE0">
      <w:pPr>
        <w:ind w:left="1296"/>
        <w:rPr>
          <w:rFonts w:ascii="Calibri" w:hAnsi="Calibri"/>
          <w:color w:val="000000"/>
        </w:rPr>
      </w:pPr>
    </w:p>
    <w:p w14:paraId="5EE2212F" w14:textId="23221A3F" w:rsidR="00FC0DE0" w:rsidRPr="008015FD" w:rsidRDefault="00FC0DE0" w:rsidP="00FC0DE0">
      <w:pPr>
        <w:ind w:left="1296"/>
      </w:pPr>
      <w:r w:rsidRPr="008015FD">
        <w:rPr>
          <w:rFonts w:ascii="Calibri" w:hAnsi="Calibri"/>
          <w:color w:val="000000"/>
        </w:rPr>
        <w:t xml:space="preserve">In addition, the data provided will be used as the basis for review and discussion during the initial verification and will be considered the project’s baseline. As such, it is expected the project will be able to reproduce this data when/if the verification team travels to the site to perform the verification. It is also expected </w:t>
      </w:r>
      <w:r w:rsidRPr="008015FD">
        <w:rPr>
          <w:rFonts w:ascii="Calibri" w:hAnsi="Calibri"/>
          <w:color w:val="000000"/>
        </w:rPr>
        <w:lastRenderedPageBreak/>
        <w:t xml:space="preserve">the data will have been experimentally produced by the </w:t>
      </w:r>
      <w:r w:rsidR="00EB6DB9">
        <w:t>a</w:t>
      </w:r>
      <w:r>
        <w:t>pplicant</w:t>
      </w:r>
      <w:r w:rsidRPr="008015FD">
        <w:t xml:space="preserve"> in the </w:t>
      </w:r>
      <w:r w:rsidR="00EB6DB9">
        <w:t>a</w:t>
      </w:r>
      <w:r>
        <w:t>pplicant</w:t>
      </w:r>
      <w:r w:rsidRPr="008015FD">
        <w:t xml:space="preserve">’s facilities. </w:t>
      </w:r>
      <w:r>
        <w:t xml:space="preserve">For pre-pilot projects only, </w:t>
      </w:r>
      <w:r w:rsidRPr="008015FD">
        <w:t xml:space="preserve">if literature data </w:t>
      </w:r>
      <w:r w:rsidR="00B018FB">
        <w:t>must</w:t>
      </w:r>
      <w:r w:rsidRPr="008015FD">
        <w:t xml:space="preserve"> be used for parts of the process, those metrics based on literature data should be marked appropriately.</w:t>
      </w:r>
    </w:p>
    <w:p w14:paraId="242002F5" w14:textId="77777777" w:rsidR="00FC0DE0" w:rsidRDefault="00FC0DE0" w:rsidP="00FC0DE0">
      <w:pPr>
        <w:ind w:left="1296"/>
        <w:rPr>
          <w:rFonts w:ascii="Calibri" w:hAnsi="Calibri"/>
          <w:b/>
          <w:color w:val="000000"/>
        </w:rPr>
      </w:pPr>
    </w:p>
    <w:p w14:paraId="7B1E46A5" w14:textId="77777777" w:rsidR="00FC0DE0" w:rsidRPr="008015FD" w:rsidRDefault="00FC0DE0" w:rsidP="00FC0DE0">
      <w:pPr>
        <w:ind w:left="1296"/>
        <w:rPr>
          <w:rFonts w:ascii="Calibri" w:hAnsi="Calibri"/>
          <w:b/>
          <w:color w:val="000000"/>
        </w:rPr>
      </w:pPr>
      <w:r w:rsidRPr="008015FD">
        <w:rPr>
          <w:rFonts w:ascii="Calibri" w:hAnsi="Calibri"/>
          <w:b/>
          <w:color w:val="000000"/>
        </w:rPr>
        <w:t xml:space="preserve">Verification Timeline: </w:t>
      </w:r>
    </w:p>
    <w:p w14:paraId="53891962" w14:textId="77777777" w:rsidR="00FC0DE0" w:rsidRPr="008015FD" w:rsidRDefault="00FC0DE0" w:rsidP="00FC0DE0">
      <w:pPr>
        <w:ind w:left="1296"/>
        <w:rPr>
          <w:rFonts w:ascii="Calibri" w:hAnsi="Calibri"/>
          <w:color w:val="000000"/>
        </w:rPr>
      </w:pPr>
    </w:p>
    <w:p w14:paraId="4D9F9EBD" w14:textId="6E55AEF0" w:rsidR="00FC0DE0" w:rsidRPr="008015FD" w:rsidRDefault="00FC0DE0" w:rsidP="00FC0DE0">
      <w:pPr>
        <w:ind w:left="1296"/>
        <w:rPr>
          <w:rFonts w:ascii="Calibri" w:hAnsi="Calibri"/>
          <w:color w:val="000000"/>
        </w:rPr>
      </w:pPr>
      <w:r w:rsidRPr="008015FD">
        <w:rPr>
          <w:rFonts w:ascii="Calibri" w:hAnsi="Calibri"/>
          <w:color w:val="000000"/>
        </w:rPr>
        <w:t xml:space="preserve">The initial verification period, including on-site observation of experiments (if applicable) and report creation, can take up to three months. </w:t>
      </w:r>
      <w:r>
        <w:rPr>
          <w:rFonts w:ascii="Calibri" w:hAnsi="Calibri"/>
          <w:color w:val="000000"/>
        </w:rPr>
        <w:t>Applicant</w:t>
      </w:r>
      <w:r w:rsidRPr="008015FD">
        <w:rPr>
          <w:rFonts w:ascii="Calibri" w:hAnsi="Calibri"/>
          <w:color w:val="000000"/>
        </w:rPr>
        <w:t xml:space="preserve">s must include this time in their schedule. Selected projects that receive a ‘Go’ decision at the conclusion of the initial verification effort will be subject to both an intermediate and a final verification. The time required for the intermediate and final verifications will be considerably less than the initial verification. However, the </w:t>
      </w:r>
      <w:r w:rsidR="007C16A8">
        <w:rPr>
          <w:rFonts w:ascii="Calibri" w:hAnsi="Calibri"/>
          <w:color w:val="000000"/>
        </w:rPr>
        <w:t>a</w:t>
      </w:r>
      <w:r>
        <w:rPr>
          <w:rFonts w:ascii="Calibri" w:hAnsi="Calibri"/>
          <w:color w:val="000000"/>
        </w:rPr>
        <w:t>pplicant</w:t>
      </w:r>
      <w:r w:rsidRPr="008015FD">
        <w:rPr>
          <w:rFonts w:ascii="Calibri" w:hAnsi="Calibri"/>
          <w:color w:val="000000"/>
        </w:rPr>
        <w:t xml:space="preserve"> must also consider that time should be allocated to collect data for these verifications. </w:t>
      </w:r>
    </w:p>
    <w:p w14:paraId="7F99A634" w14:textId="77777777" w:rsidR="00FC0DE0" w:rsidRDefault="00FC0DE0" w:rsidP="00FC0DE0">
      <w:pPr>
        <w:ind w:left="1296"/>
        <w:rPr>
          <w:rFonts w:ascii="Calibri" w:hAnsi="Calibri"/>
          <w:b/>
          <w:color w:val="000000"/>
        </w:rPr>
      </w:pPr>
    </w:p>
    <w:p w14:paraId="448A0829" w14:textId="77777777" w:rsidR="00FC0DE0" w:rsidRPr="008015FD" w:rsidRDefault="00FC0DE0" w:rsidP="00FC0DE0">
      <w:pPr>
        <w:ind w:left="1296"/>
        <w:rPr>
          <w:rFonts w:ascii="Calibri" w:hAnsi="Calibri"/>
          <w:b/>
          <w:color w:val="000000"/>
        </w:rPr>
      </w:pPr>
      <w:r w:rsidRPr="008015FD">
        <w:rPr>
          <w:rFonts w:ascii="Calibri" w:hAnsi="Calibri"/>
          <w:b/>
          <w:color w:val="000000"/>
        </w:rPr>
        <w:t xml:space="preserve">Verification Task: </w:t>
      </w:r>
    </w:p>
    <w:p w14:paraId="7E67DCB1" w14:textId="77777777" w:rsidR="00FC0DE0" w:rsidRPr="008015FD" w:rsidRDefault="00FC0DE0" w:rsidP="00FC0DE0">
      <w:pPr>
        <w:ind w:left="1296"/>
        <w:rPr>
          <w:rFonts w:ascii="Calibri" w:hAnsi="Calibri"/>
          <w:color w:val="000000"/>
        </w:rPr>
      </w:pPr>
    </w:p>
    <w:p w14:paraId="718A5D4C" w14:textId="71A4F12E" w:rsidR="00FC0DE0" w:rsidRPr="008015FD" w:rsidRDefault="00FC0DE0" w:rsidP="00FC0DE0">
      <w:pPr>
        <w:ind w:left="1296"/>
        <w:rPr>
          <w:rFonts w:ascii="Calibri" w:hAnsi="Calibri"/>
          <w:color w:val="000000"/>
        </w:rPr>
      </w:pPr>
      <w:r w:rsidRPr="008015FD">
        <w:rPr>
          <w:rFonts w:ascii="Calibri" w:hAnsi="Calibri"/>
          <w:color w:val="000000"/>
        </w:rPr>
        <w:t xml:space="preserve">All </w:t>
      </w:r>
      <w:r w:rsidR="007C16A8">
        <w:rPr>
          <w:rFonts w:ascii="Calibri" w:hAnsi="Calibri"/>
          <w:color w:val="000000"/>
        </w:rPr>
        <w:t>a</w:t>
      </w:r>
      <w:r>
        <w:rPr>
          <w:rFonts w:ascii="Calibri" w:hAnsi="Calibri"/>
          <w:color w:val="000000"/>
        </w:rPr>
        <w:t>pplicant</w:t>
      </w:r>
      <w:r w:rsidRPr="008015FD">
        <w:rPr>
          <w:rFonts w:ascii="Calibri" w:hAnsi="Calibri"/>
          <w:color w:val="000000"/>
        </w:rPr>
        <w:t xml:space="preserve">s must include the initial verification task within their scope as Task 1. It must be separated from the rest of the scope of work by a Go/No-Go decision point, and </w:t>
      </w:r>
      <w:r w:rsidR="007C16A8">
        <w:rPr>
          <w:rFonts w:ascii="Calibri" w:hAnsi="Calibri"/>
          <w:color w:val="000000"/>
        </w:rPr>
        <w:t>a</w:t>
      </w:r>
      <w:r>
        <w:rPr>
          <w:rFonts w:ascii="Calibri" w:hAnsi="Calibri"/>
          <w:color w:val="000000"/>
        </w:rPr>
        <w:t>pplicant</w:t>
      </w:r>
      <w:r w:rsidRPr="008015FD">
        <w:rPr>
          <w:rFonts w:ascii="Calibri" w:hAnsi="Calibri"/>
          <w:color w:val="000000"/>
        </w:rPr>
        <w:t xml:space="preserve">s should estimate a three-month duration for the verification effort. This task, Task 1, will also be within a separate budget period, Budget Period 1 (BP1), from the remainder of the project. By way of example, the inclusion of the verification in the scope could include something like the following: </w:t>
      </w:r>
    </w:p>
    <w:p w14:paraId="642A1522" w14:textId="77777777" w:rsidR="00FC0DE0" w:rsidRPr="008015FD" w:rsidRDefault="00FC0DE0" w:rsidP="00FC0DE0">
      <w:pPr>
        <w:ind w:left="1296"/>
        <w:rPr>
          <w:rFonts w:ascii="Calibri" w:hAnsi="Calibri"/>
          <w:color w:val="000000"/>
        </w:rPr>
      </w:pPr>
    </w:p>
    <w:p w14:paraId="3D79A22D" w14:textId="17D9CDAB" w:rsidR="00FC0DE0" w:rsidRPr="008015FD" w:rsidRDefault="00FC0DE0" w:rsidP="00FC0DE0">
      <w:pPr>
        <w:ind w:left="1584"/>
        <w:rPr>
          <w:rFonts w:ascii="Calibri" w:hAnsi="Calibri"/>
          <w:color w:val="000000"/>
        </w:rPr>
      </w:pPr>
      <w:r w:rsidRPr="008015FD">
        <w:rPr>
          <w:rFonts w:ascii="Calibri" w:hAnsi="Calibri"/>
          <w:color w:val="000000"/>
        </w:rPr>
        <w:t xml:space="preserve">Task 1. Initial Verification. At the beginning of the project, the baseline data and project targets provided in the Technical </w:t>
      </w:r>
      <w:r>
        <w:rPr>
          <w:rFonts w:ascii="Calibri" w:hAnsi="Calibri"/>
          <w:color w:val="000000"/>
        </w:rPr>
        <w:t>Volume</w:t>
      </w:r>
      <w:r w:rsidRPr="008015FD">
        <w:rPr>
          <w:rFonts w:ascii="Calibri" w:hAnsi="Calibri"/>
          <w:color w:val="000000"/>
        </w:rPr>
        <w:t xml:space="preserve"> will be experimentally verified. Process information and data will be provided to DOE (when applicable) to support the process claims within the original application. Technical metrics for project progress will be tailored to the project as needed. These metrics may include additional Go/No-Go decision points that will be incorporated into the overall project and Statement of Project Objectives (SOPO). Experiments will be conducted at the on-site verification visit to replicate the benchmark data provided in the application as described in the Technical Datasheet. </w:t>
      </w:r>
    </w:p>
    <w:p w14:paraId="7E4F769B" w14:textId="77777777" w:rsidR="00FC0DE0" w:rsidRPr="008015FD" w:rsidRDefault="00FC0DE0" w:rsidP="00FC0DE0">
      <w:pPr>
        <w:ind w:left="1584"/>
        <w:rPr>
          <w:rFonts w:ascii="Calibri" w:hAnsi="Calibri"/>
          <w:color w:val="000000"/>
        </w:rPr>
      </w:pPr>
      <w:r w:rsidRPr="008015FD">
        <w:rPr>
          <w:rFonts w:ascii="Calibri" w:hAnsi="Calibri"/>
          <w:color w:val="000000"/>
        </w:rPr>
        <w:t xml:space="preserve">There will be a Go/No-Go associated with Task 1.1 as follows: Process information and data supporting the technology readiness level of the overall process, the unit operations within the process, and the original application. Technical metrics are based on preliminary data and represent a meaningful baseline and set of targets. </w:t>
      </w:r>
    </w:p>
    <w:p w14:paraId="4986057B" w14:textId="77777777" w:rsidR="00FC0DE0" w:rsidRPr="008015FD" w:rsidRDefault="00FC0DE0" w:rsidP="00FC0DE0">
      <w:pPr>
        <w:ind w:left="1296"/>
        <w:rPr>
          <w:rFonts w:ascii="Calibri" w:hAnsi="Calibri"/>
          <w:color w:val="000000"/>
        </w:rPr>
      </w:pPr>
    </w:p>
    <w:p w14:paraId="358D0C30" w14:textId="77777777" w:rsidR="00FC0DE0" w:rsidRPr="008015FD" w:rsidRDefault="00FC0DE0" w:rsidP="00FC0DE0">
      <w:pPr>
        <w:ind w:left="1584"/>
        <w:rPr>
          <w:rFonts w:ascii="Calibri" w:hAnsi="Calibri"/>
          <w:color w:val="000000"/>
        </w:rPr>
      </w:pPr>
      <w:r w:rsidRPr="008015FD">
        <w:rPr>
          <w:rFonts w:ascii="Calibri" w:hAnsi="Calibri"/>
          <w:color w:val="000000"/>
        </w:rPr>
        <w:lastRenderedPageBreak/>
        <w:t xml:space="preserve">Upon successful completion of the initial verification effort and Go/No-Go decision point, the project will commence with work on the Priority Areas as discussed. </w:t>
      </w:r>
    </w:p>
    <w:p w14:paraId="7F19525E" w14:textId="77777777" w:rsidR="00FC0DE0" w:rsidRPr="008015FD" w:rsidRDefault="00FC0DE0" w:rsidP="00FC0DE0">
      <w:pPr>
        <w:ind w:left="1584"/>
        <w:rPr>
          <w:rFonts w:ascii="Calibri" w:hAnsi="Calibri"/>
          <w:color w:val="000000"/>
        </w:rPr>
      </w:pPr>
    </w:p>
    <w:p w14:paraId="0979E48D" w14:textId="77777777" w:rsidR="00FC0DE0" w:rsidRPr="008015FD" w:rsidRDefault="00FC0DE0" w:rsidP="00FC0DE0">
      <w:pPr>
        <w:ind w:left="1296"/>
        <w:rPr>
          <w:rFonts w:ascii="Calibri" w:hAnsi="Calibri"/>
          <w:color w:val="000000"/>
        </w:rPr>
      </w:pPr>
      <w:r w:rsidRPr="008015FD">
        <w:rPr>
          <w:rFonts w:ascii="Calibri" w:hAnsi="Calibri"/>
          <w:color w:val="000000"/>
        </w:rPr>
        <w:t>Similar provisions must be included for the Intermediate Verification as a task that will occur mid-way through the project (~18 months) and the final verification that will occur at the end of the project (within 3 months of completion).</w:t>
      </w:r>
    </w:p>
    <w:p w14:paraId="2441A734" w14:textId="77777777" w:rsidR="00FC0DE0" w:rsidRPr="008015FD" w:rsidRDefault="00FC0DE0" w:rsidP="00FC0DE0">
      <w:pPr>
        <w:ind w:left="1296"/>
        <w:rPr>
          <w:rFonts w:ascii="Calibri" w:hAnsi="Calibri"/>
          <w:color w:val="000000"/>
        </w:rPr>
      </w:pPr>
    </w:p>
    <w:p w14:paraId="05B82F4A" w14:textId="77777777" w:rsidR="00FC0DE0" w:rsidRPr="008015FD" w:rsidRDefault="00FC0DE0" w:rsidP="00FC0DE0">
      <w:pPr>
        <w:ind w:left="1296"/>
        <w:rPr>
          <w:rFonts w:ascii="Calibri" w:hAnsi="Calibri"/>
          <w:b/>
          <w:color w:val="000000"/>
        </w:rPr>
      </w:pPr>
      <w:r w:rsidRPr="008015FD">
        <w:rPr>
          <w:rFonts w:ascii="Calibri" w:hAnsi="Calibri"/>
          <w:b/>
          <w:color w:val="000000"/>
        </w:rPr>
        <w:t xml:space="preserve">Verification Conflict of Interest/Proprietary Information: </w:t>
      </w:r>
    </w:p>
    <w:p w14:paraId="05FAE29B" w14:textId="77777777" w:rsidR="00FC0DE0" w:rsidRPr="008015FD" w:rsidRDefault="00FC0DE0" w:rsidP="00FC0DE0">
      <w:pPr>
        <w:ind w:left="1296"/>
        <w:rPr>
          <w:rFonts w:ascii="Calibri" w:hAnsi="Calibri"/>
          <w:color w:val="000000"/>
        </w:rPr>
      </w:pPr>
    </w:p>
    <w:p w14:paraId="04D41B0B" w14:textId="76BEDF6E" w:rsidR="00FC0DE0" w:rsidRPr="008015FD" w:rsidRDefault="00FC0DE0" w:rsidP="00FC0DE0">
      <w:pPr>
        <w:ind w:left="1296"/>
        <w:rPr>
          <w:rFonts w:ascii="Calibri" w:hAnsi="Calibri"/>
          <w:color w:val="000000"/>
        </w:rPr>
      </w:pPr>
      <w:r w:rsidRPr="008015FD">
        <w:rPr>
          <w:rFonts w:ascii="Calibri" w:hAnsi="Calibri"/>
          <w:color w:val="000000"/>
        </w:rPr>
        <w:t>All of the technical and economic information requested</w:t>
      </w:r>
      <w:r w:rsidR="00BE0F6A">
        <w:rPr>
          <w:rFonts w:ascii="Calibri" w:hAnsi="Calibri"/>
          <w:color w:val="000000"/>
        </w:rPr>
        <w:t xml:space="preserve"> and received by DOE</w:t>
      </w:r>
      <w:r w:rsidRPr="008015FD">
        <w:rPr>
          <w:rFonts w:ascii="Calibri" w:hAnsi="Calibri"/>
          <w:color w:val="000000"/>
        </w:rPr>
        <w:t xml:space="preserve"> will be disclosed to non-conflicted DOE National Renewable Energy Laboratory </w:t>
      </w:r>
      <w:r w:rsidRPr="008015FD">
        <w:t xml:space="preserve">Systems Integration </w:t>
      </w:r>
      <w:r w:rsidRPr="008015FD">
        <w:rPr>
          <w:rFonts w:ascii="Calibri" w:hAnsi="Calibri"/>
          <w:color w:val="000000"/>
        </w:rPr>
        <w:t xml:space="preserve">(NREL-SI) personnel and/or external third-party non-conflicted validators performing the verifications (BETO’s verification team) as well as non-conflicted third-party reviewers potentially participating in the Go/No-Go review process and/or interim review meetings. It is expected that developments and advancements in technical performance made during the course of the project will be shared with the public via technical publications in journals or conference proceedings. It is also anticipated that the initial verification may, if necessary, involve pre-existing intellectual property of which DOE will not require publication. Data access, deliverables and dissemination requirements will be negotiated and set forth in the Statement of Project Objectives and will be consistent with Section </w:t>
      </w:r>
      <w:r w:rsidRPr="00B549B7">
        <w:rPr>
          <w:rFonts w:ascii="Calibri" w:hAnsi="Calibri"/>
          <w:color w:val="000000"/>
        </w:rPr>
        <w:t>VIII.L</w:t>
      </w:r>
      <w:r w:rsidRPr="008015FD">
        <w:rPr>
          <w:rFonts w:ascii="Calibri" w:hAnsi="Calibri"/>
          <w:color w:val="000000"/>
        </w:rPr>
        <w:t>. of this FOA. DOE and those working on DOE’s behalf, such as support service contractors, NREL personnel, Independent Engineers, validators, and reviewers, must be able to have sufficient access to these data, including but not limited to raw technical and financial data, to assess the baseline performance of the technology – subject to appropriate non-disclosure agreements or other protections.</w:t>
      </w:r>
    </w:p>
    <w:p w14:paraId="0DA5F10C" w14:textId="77777777" w:rsidR="00FC0DE0" w:rsidRPr="008015FD" w:rsidRDefault="00FC0DE0" w:rsidP="008B0D95">
      <w:pPr>
        <w:rPr>
          <w:rFonts w:ascii="Calibri" w:hAnsi="Calibri"/>
          <w:color w:val="000000"/>
        </w:rPr>
      </w:pPr>
    </w:p>
    <w:p w14:paraId="321D0292" w14:textId="77777777" w:rsidR="00FC0DE0" w:rsidRPr="008015FD" w:rsidRDefault="00FC0DE0" w:rsidP="00FC0DE0">
      <w:pPr>
        <w:ind w:left="1296"/>
        <w:rPr>
          <w:rFonts w:ascii="Calibri" w:hAnsi="Calibri"/>
          <w:b/>
          <w:color w:val="000000"/>
        </w:rPr>
      </w:pPr>
      <w:r w:rsidRPr="008015FD">
        <w:rPr>
          <w:rFonts w:ascii="Calibri" w:hAnsi="Calibri"/>
          <w:b/>
          <w:color w:val="000000"/>
        </w:rPr>
        <w:t>Verification Process:</w:t>
      </w:r>
    </w:p>
    <w:p w14:paraId="1DF87122" w14:textId="77777777" w:rsidR="00FC0DE0" w:rsidRPr="008015FD" w:rsidRDefault="00FC0DE0" w:rsidP="00FC0DE0">
      <w:pPr>
        <w:ind w:left="1296"/>
        <w:rPr>
          <w:rFonts w:ascii="Calibri" w:hAnsi="Calibri"/>
          <w:b/>
          <w:color w:val="000000"/>
        </w:rPr>
      </w:pPr>
    </w:p>
    <w:p w14:paraId="5F18F3E0" w14:textId="77777777" w:rsidR="00FC0DE0" w:rsidRPr="008015FD" w:rsidRDefault="00FC0DE0" w:rsidP="00FC0DE0">
      <w:pPr>
        <w:ind w:left="1296"/>
        <w:rPr>
          <w:rFonts w:ascii="Calibri" w:hAnsi="Calibri"/>
          <w:color w:val="000000"/>
        </w:rPr>
      </w:pPr>
      <w:r w:rsidRPr="008015FD">
        <w:rPr>
          <w:rFonts w:ascii="Calibri" w:hAnsi="Calibri"/>
          <w:color w:val="000000"/>
        </w:rPr>
        <w:t>The verification effort generally includes three steps: pre-verification, on-site verification (when applicable), and post-verification. The verification effort will be adapted to be appropriate for the technology readiness level and funding available to the project. However, the details provided below establish the framework for the process.</w:t>
      </w:r>
    </w:p>
    <w:p w14:paraId="5B50C000" w14:textId="77777777" w:rsidR="00FC0DE0" w:rsidRPr="008015FD" w:rsidRDefault="00FC0DE0" w:rsidP="00FC0DE0">
      <w:pPr>
        <w:ind w:left="1296"/>
        <w:rPr>
          <w:rFonts w:ascii="Calibri" w:hAnsi="Calibri"/>
          <w:color w:val="000000"/>
        </w:rPr>
      </w:pPr>
    </w:p>
    <w:p w14:paraId="43E2A1DB" w14:textId="77777777" w:rsidR="00FC0DE0" w:rsidRPr="008015FD" w:rsidRDefault="00FC0DE0" w:rsidP="00FC0DE0">
      <w:pPr>
        <w:ind w:left="1296"/>
        <w:rPr>
          <w:rFonts w:ascii="Calibri" w:hAnsi="Calibri"/>
          <w:color w:val="000000"/>
        </w:rPr>
      </w:pPr>
      <w:r w:rsidRPr="008015FD">
        <w:rPr>
          <w:rFonts w:ascii="Calibri" w:hAnsi="Calibri"/>
          <w:color w:val="000000"/>
        </w:rPr>
        <w:t xml:space="preserve">All steps are performed in concert with BETO’s verification team and the project management team. During the pre-verification step, the verification team will work closely with the project team to discuss the effort in detail, initiate the review of the data from the Technical Datasheet and metrics as provided in the original application, and set the date for the on-site meeting. This is an iterative process between the two teams and establishes the agenda for the on-site </w:t>
      </w:r>
      <w:r w:rsidRPr="008015FD">
        <w:rPr>
          <w:rFonts w:ascii="Calibri" w:hAnsi="Calibri"/>
          <w:color w:val="000000"/>
        </w:rPr>
        <w:lastRenderedPageBreak/>
        <w:t>meeting. During the on-site verification meeting, the two teams will work together to discuss the goals and performance metrics, ideas for tracking project progress, and alignment with BETO’s goals. At the conclusion of the on-site meeting, both teams will have the information needed to proceed forward. The post-verification step includes the verification team reporting to DOE and the DOE personnel working through the Go/No-Go decision point.</w:t>
      </w:r>
    </w:p>
    <w:p w14:paraId="686830F0" w14:textId="77777777" w:rsidR="00FC0DE0" w:rsidRPr="008015FD" w:rsidRDefault="00FC0DE0" w:rsidP="00FC0DE0">
      <w:pPr>
        <w:ind w:left="1296"/>
        <w:rPr>
          <w:rFonts w:ascii="Calibri" w:hAnsi="Calibri"/>
          <w:color w:val="000000"/>
        </w:rPr>
      </w:pPr>
    </w:p>
    <w:p w14:paraId="002A53FD" w14:textId="77777777" w:rsidR="00FC0DE0" w:rsidRPr="008015FD" w:rsidRDefault="00FC0DE0" w:rsidP="00FC0DE0">
      <w:pPr>
        <w:ind w:left="1296"/>
        <w:rPr>
          <w:rFonts w:ascii="Calibri" w:hAnsi="Calibri"/>
          <w:color w:val="000000"/>
        </w:rPr>
      </w:pPr>
      <w:r w:rsidRPr="008015FD">
        <w:rPr>
          <w:rFonts w:ascii="Calibri" w:hAnsi="Calibri"/>
          <w:color w:val="000000"/>
        </w:rPr>
        <w:t xml:space="preserve">At the conclusion of the verification effort and once a Go/No-Go decision has been made, the DOE Technology Manager and Contracting Officer will send a formal document to the </w:t>
      </w:r>
      <w:r>
        <w:rPr>
          <w:rFonts w:ascii="Calibri" w:hAnsi="Calibri"/>
          <w:color w:val="000000"/>
        </w:rPr>
        <w:t>R</w:t>
      </w:r>
      <w:r w:rsidRPr="008015FD">
        <w:rPr>
          <w:rFonts w:ascii="Calibri" w:hAnsi="Calibri"/>
          <w:color w:val="000000"/>
        </w:rPr>
        <w:t>ecipient regarding the Go/No-Go decision and activities will proceed from there (based on the decision). If a ‘Go’ decision is reached, the project team and DOE Technology Manager will proceed with the necessary steps to release the remaining scope and associated funding for the project. A ‘No-Go’ decision may result in termination of the project or re-direction of scope.</w:t>
      </w:r>
    </w:p>
    <w:p w14:paraId="72E4BA7E" w14:textId="77777777" w:rsidR="00FC0DE0" w:rsidRPr="008015FD" w:rsidRDefault="00FC0DE0" w:rsidP="00FC0DE0">
      <w:pPr>
        <w:ind w:left="1296"/>
        <w:rPr>
          <w:rFonts w:ascii="Calibri" w:hAnsi="Calibri"/>
          <w:color w:val="000000"/>
        </w:rPr>
      </w:pPr>
    </w:p>
    <w:p w14:paraId="4BD36CB5" w14:textId="77777777" w:rsidR="00FC0DE0" w:rsidRDefault="00FC0DE0" w:rsidP="00FC0DE0">
      <w:pPr>
        <w:ind w:left="1296"/>
        <w:rPr>
          <w:rFonts w:ascii="Calibri" w:hAnsi="Calibri"/>
          <w:b/>
          <w:color w:val="000000"/>
        </w:rPr>
      </w:pPr>
      <w:r w:rsidRPr="008015FD">
        <w:rPr>
          <w:rFonts w:ascii="Calibri" w:hAnsi="Calibri"/>
          <w:b/>
          <w:color w:val="000000"/>
        </w:rPr>
        <w:t>Key Verification Requirements:</w:t>
      </w:r>
    </w:p>
    <w:p w14:paraId="08FE4A6D" w14:textId="77777777" w:rsidR="00FC0DE0" w:rsidRPr="008015FD" w:rsidRDefault="00FC0DE0" w:rsidP="00FC0DE0">
      <w:pPr>
        <w:ind w:left="1296"/>
        <w:rPr>
          <w:rFonts w:ascii="Calibri" w:hAnsi="Calibri"/>
          <w:b/>
          <w:color w:val="000000"/>
        </w:rPr>
      </w:pPr>
    </w:p>
    <w:p w14:paraId="1E79F5F1" w14:textId="77777777" w:rsidR="00FC0DE0" w:rsidRPr="008015FD" w:rsidRDefault="00FC0DE0" w:rsidP="00FC0DE0">
      <w:pPr>
        <w:numPr>
          <w:ilvl w:val="0"/>
          <w:numId w:val="152"/>
        </w:numPr>
        <w:pBdr>
          <w:top w:val="nil"/>
          <w:left w:val="nil"/>
          <w:bottom w:val="nil"/>
          <w:right w:val="nil"/>
          <w:between w:val="nil"/>
        </w:pBdr>
        <w:ind w:left="1656"/>
        <w:rPr>
          <w:rFonts w:ascii="Calibri" w:hAnsi="Calibri"/>
          <w:color w:val="000000"/>
        </w:rPr>
      </w:pPr>
      <w:r w:rsidRPr="008015FD">
        <w:rPr>
          <w:rFonts w:ascii="Calibri" w:hAnsi="Calibri"/>
          <w:color w:val="000000"/>
        </w:rPr>
        <w:t>During the initial verification effort (i.e., BP1), no additional experimental or project work, beyond that associated with the verification, may commence within the proposed scope. Only work associated with the verification – typically project management and data gathering activities – is allowed during the verification. The budget associated with the verification effort should correspond only to these types of activities and is typically minimal compared to the remaining project scope and budget.</w:t>
      </w:r>
    </w:p>
    <w:p w14:paraId="47DCD6D2" w14:textId="77777777" w:rsidR="00FC0DE0" w:rsidRDefault="00FC0DE0" w:rsidP="00FC0DE0">
      <w:pPr>
        <w:numPr>
          <w:ilvl w:val="0"/>
          <w:numId w:val="152"/>
        </w:numPr>
        <w:pBdr>
          <w:top w:val="nil"/>
          <w:left w:val="nil"/>
          <w:bottom w:val="nil"/>
          <w:right w:val="nil"/>
          <w:between w:val="nil"/>
        </w:pBdr>
        <w:ind w:left="1656"/>
        <w:rPr>
          <w:rFonts w:ascii="Calibri" w:hAnsi="Calibri"/>
          <w:color w:val="000000"/>
        </w:rPr>
      </w:pPr>
      <w:r w:rsidRPr="008015FD">
        <w:rPr>
          <w:rFonts w:ascii="Calibri" w:hAnsi="Calibri"/>
          <w:color w:val="000000"/>
        </w:rPr>
        <w:t xml:space="preserve">It is anticipated that the intermediate and final verifications will include the </w:t>
      </w:r>
      <w:r>
        <w:rPr>
          <w:rFonts w:ascii="Calibri" w:hAnsi="Calibri"/>
          <w:color w:val="000000"/>
        </w:rPr>
        <w:t>R</w:t>
      </w:r>
      <w:r w:rsidRPr="008015FD">
        <w:rPr>
          <w:rFonts w:ascii="Calibri" w:hAnsi="Calibri"/>
          <w:color w:val="000000"/>
        </w:rPr>
        <w:t>ecipient presenting the project progress toward the targets established during the initial verification. Both the intermediate and final verifications must be noted and accounted for within the scope, schedule, and budget, so that if a project is selected and receives a ‘Go’ decision at the conclusion of the initial verification effort, the schedule and budget will already account for the intermediate and final verifications.</w:t>
      </w:r>
    </w:p>
    <w:p w14:paraId="2EC98D08" w14:textId="77777777" w:rsidR="00FC0DE0" w:rsidRDefault="00FC0DE0" w:rsidP="008B0D95">
      <w:pPr>
        <w:pStyle w:val="FOAHeading2"/>
        <w:numPr>
          <w:ilvl w:val="0"/>
          <w:numId w:val="0"/>
        </w:numPr>
        <w:ind w:left="1080"/>
      </w:pPr>
    </w:p>
    <w:p w14:paraId="1F02C3C9" w14:textId="5F53D970" w:rsidR="00D07031" w:rsidRPr="00872882" w:rsidRDefault="004E672B" w:rsidP="001612A1">
      <w:pPr>
        <w:pStyle w:val="FOAHeading2"/>
      </w:pPr>
      <w:bookmarkStart w:id="45" w:name="_Toc176864409"/>
      <w:r w:rsidRPr="003B7075">
        <w:t>Applications Specifically Not of Interest</w:t>
      </w:r>
      <w:bookmarkEnd w:id="41"/>
      <w:bookmarkEnd w:id="42"/>
      <w:bookmarkEnd w:id="43"/>
      <w:bookmarkEnd w:id="45"/>
    </w:p>
    <w:p w14:paraId="481DAEF7" w14:textId="73AFCB30" w:rsidR="00D07031" w:rsidRPr="008858B4" w:rsidRDefault="004E672B" w:rsidP="00A7237E">
      <w:pPr>
        <w:ind w:left="1080"/>
      </w:pPr>
      <w:r w:rsidRPr="00B929BB">
        <w:t>The following types of applications will be deemed nonresponsive and will not be reviewed or considered (See Section I.D. of the FOA):</w:t>
      </w:r>
      <w:r w:rsidRPr="008858B4">
        <w:t xml:space="preserve"> </w:t>
      </w:r>
    </w:p>
    <w:p w14:paraId="35CE155E" w14:textId="77777777" w:rsidR="00D07031" w:rsidRDefault="00D07031" w:rsidP="00A7237E">
      <w:pPr>
        <w:ind w:left="1080"/>
        <w:rPr>
          <w:rStyle w:val="ListParagraphChar"/>
        </w:rPr>
      </w:pPr>
    </w:p>
    <w:p w14:paraId="3E16969C" w14:textId="537907E9" w:rsidR="00D07031" w:rsidRDefault="004E672B" w:rsidP="006A6B62">
      <w:pPr>
        <w:pStyle w:val="ListParagraph"/>
        <w:numPr>
          <w:ilvl w:val="0"/>
          <w:numId w:val="4"/>
        </w:numPr>
        <w:ind w:left="1440"/>
      </w:pPr>
      <w:r w:rsidRPr="009E0B77">
        <w:t>Applications that fall outside the technical parameters specified in Section</w:t>
      </w:r>
      <w:r w:rsidR="00E54A25" w:rsidRPr="009E0B77">
        <w:t>s</w:t>
      </w:r>
      <w:r w:rsidRPr="009E0B77">
        <w:t xml:space="preserve"> I.A. and I.B. of the FOA.</w:t>
      </w:r>
    </w:p>
    <w:p w14:paraId="039CA1E3" w14:textId="77777777" w:rsidR="00D07031" w:rsidRPr="008858B4" w:rsidRDefault="004E672B" w:rsidP="006A6B62">
      <w:pPr>
        <w:pStyle w:val="ListParagraph"/>
        <w:numPr>
          <w:ilvl w:val="0"/>
          <w:numId w:val="4"/>
        </w:numPr>
        <w:ind w:left="1440"/>
      </w:pPr>
      <w:r w:rsidRPr="008858B4">
        <w:t>Applications for proposed technologies that are not based on sound scientific principles (e.g., violates the laws of thermodynamics).</w:t>
      </w:r>
    </w:p>
    <w:p w14:paraId="05D43325" w14:textId="7BCA46ED" w:rsidR="00321615" w:rsidRDefault="00C848B9" w:rsidP="00321615">
      <w:pPr>
        <w:pStyle w:val="ListParagraph"/>
        <w:numPr>
          <w:ilvl w:val="0"/>
          <w:numId w:val="4"/>
        </w:numPr>
        <w:ind w:left="1440"/>
      </w:pPr>
      <w:r w:rsidRPr="00403792">
        <w:t>Applications that propose using model feedstocks in lieu of commercially available feedstocks</w:t>
      </w:r>
      <w:r w:rsidR="00DF3D3F">
        <w:t xml:space="preserve"> in accordance</w:t>
      </w:r>
      <w:r w:rsidR="00C27AB6">
        <w:t xml:space="preserve"> with a</w:t>
      </w:r>
      <w:r w:rsidR="00C37CFD">
        <w:t>cceptable</w:t>
      </w:r>
      <w:r w:rsidR="00C27AB6">
        <w:t xml:space="preserve"> feedstocks</w:t>
      </w:r>
      <w:r w:rsidR="00DF3D3F">
        <w:t xml:space="preserve"> in Appendix</w:t>
      </w:r>
      <w:r w:rsidR="00C37CFD">
        <w:t xml:space="preserve"> E</w:t>
      </w:r>
      <w:r w:rsidR="00DF3D3F">
        <w:t xml:space="preserve"> </w:t>
      </w:r>
      <w:r w:rsidR="00C27AB6">
        <w:t xml:space="preserve"> </w:t>
      </w:r>
      <w:r w:rsidRPr="00403792">
        <w:t>.</w:t>
      </w:r>
    </w:p>
    <w:p w14:paraId="180371D2" w14:textId="5F063E73" w:rsidR="00596B6E" w:rsidRDefault="005B5D61" w:rsidP="00321615">
      <w:pPr>
        <w:pStyle w:val="ListParagraph"/>
        <w:numPr>
          <w:ilvl w:val="0"/>
          <w:numId w:val="4"/>
        </w:numPr>
        <w:ind w:left="1440"/>
      </w:pPr>
      <w:r>
        <w:lastRenderedPageBreak/>
        <w:t>Topic</w:t>
      </w:r>
      <w:r w:rsidR="009E419F">
        <w:t xml:space="preserve"> Area</w:t>
      </w:r>
      <w:r>
        <w:t xml:space="preserve"> 1 or Topic</w:t>
      </w:r>
      <w:r w:rsidR="009E419F">
        <w:t xml:space="preserve"> Area</w:t>
      </w:r>
      <w:r>
        <w:t xml:space="preserve"> 2 a</w:t>
      </w:r>
      <w:r w:rsidR="00596B6E">
        <w:t xml:space="preserve">pplications that propose </w:t>
      </w:r>
      <w:r w:rsidR="003209C7">
        <w:t>transportation fuels pilot- or demonstration-scale projects</w:t>
      </w:r>
      <w:r w:rsidR="008972E6">
        <w:t xml:space="preserve"> with </w:t>
      </w:r>
      <w:r w:rsidR="00425AE1">
        <w:t xml:space="preserve">a </w:t>
      </w:r>
      <w:r w:rsidR="008972E6">
        <w:t>coproduct w</w:t>
      </w:r>
      <w:r w:rsidR="00DD7F42">
        <w:t xml:space="preserve">here </w:t>
      </w:r>
      <w:r w:rsidR="008972E6">
        <w:t>less</w:t>
      </w:r>
      <w:r w:rsidR="003209C7">
        <w:t xml:space="preserve"> </w:t>
      </w:r>
      <w:r w:rsidR="008972E6">
        <w:t>than</w:t>
      </w:r>
      <w:r w:rsidR="00092810" w:rsidRPr="00FD2610">
        <w:t xml:space="preserve"> 50% of the total carbon contained within the biofuel(s).  </w:t>
      </w:r>
    </w:p>
    <w:p w14:paraId="4D7C9213" w14:textId="2868029D" w:rsidR="00F973F7" w:rsidRDefault="00F973F7" w:rsidP="00F973F7">
      <w:pPr>
        <w:pStyle w:val="ListParagraph"/>
        <w:numPr>
          <w:ilvl w:val="0"/>
          <w:numId w:val="4"/>
        </w:numPr>
        <w:ind w:left="1440"/>
      </w:pPr>
      <w:r>
        <w:t xml:space="preserve">Topic </w:t>
      </w:r>
      <w:r w:rsidR="009E419F">
        <w:t xml:space="preserve">Area </w:t>
      </w:r>
      <w:r>
        <w:t xml:space="preserve">1 or Topic </w:t>
      </w:r>
      <w:r w:rsidR="009E419F">
        <w:t xml:space="preserve">Area </w:t>
      </w:r>
      <w:r>
        <w:t xml:space="preserve">2 applications that propose pilot- or demonstration-scale projects </w:t>
      </w:r>
      <w:r w:rsidR="00DA1FB6">
        <w:t xml:space="preserve">for transportation modes other than </w:t>
      </w:r>
      <w:r w:rsidR="00E47B1A">
        <w:t xml:space="preserve">sustainable </w:t>
      </w:r>
      <w:r w:rsidR="00DA1FB6">
        <w:t xml:space="preserve">marine, </w:t>
      </w:r>
      <w:r w:rsidR="00E47B1A">
        <w:t xml:space="preserve">sustainable </w:t>
      </w:r>
      <w:r w:rsidR="00DA1FB6">
        <w:t>aviation,</w:t>
      </w:r>
      <w:r w:rsidR="0086660F">
        <w:t xml:space="preserve"> heavy-duty</w:t>
      </w:r>
      <w:r w:rsidR="008D7887">
        <w:t xml:space="preserve">, </w:t>
      </w:r>
      <w:r w:rsidR="0086660F">
        <w:t>sustainable rail</w:t>
      </w:r>
      <w:r w:rsidR="002414E1">
        <w:t xml:space="preserve"> fuel,</w:t>
      </w:r>
      <w:r w:rsidR="008D7887">
        <w:t xml:space="preserve"> or off-road </w:t>
      </w:r>
      <w:r w:rsidR="002414E1">
        <w:t>vehicles</w:t>
      </w:r>
      <w:r w:rsidR="0056499C">
        <w:t xml:space="preserve"> e.g. light-duty vehicles</w:t>
      </w:r>
      <w:r w:rsidRPr="00FD2610">
        <w:t xml:space="preserve">.  </w:t>
      </w:r>
    </w:p>
    <w:p w14:paraId="465863D7" w14:textId="4E88C7AF" w:rsidR="00E3537E" w:rsidRDefault="00E3537E" w:rsidP="00F973F7">
      <w:pPr>
        <w:pStyle w:val="ListParagraph"/>
        <w:numPr>
          <w:ilvl w:val="0"/>
          <w:numId w:val="4"/>
        </w:numPr>
        <w:ind w:left="1440"/>
      </w:pPr>
      <w:r>
        <w:t xml:space="preserve">Topic </w:t>
      </w:r>
      <w:r w:rsidR="009E419F">
        <w:t xml:space="preserve">Area </w:t>
      </w:r>
      <w:r>
        <w:t>1 or Topic</w:t>
      </w:r>
      <w:r w:rsidR="009E419F">
        <w:t xml:space="preserve"> Area</w:t>
      </w:r>
      <w:r>
        <w:t xml:space="preserve"> 2 applications that propose </w:t>
      </w:r>
      <w:r w:rsidR="009E419F">
        <w:t>h</w:t>
      </w:r>
      <w:r>
        <w:t xml:space="preserve">ydrogen or electricity </w:t>
      </w:r>
      <w:r w:rsidR="003E086C">
        <w:t xml:space="preserve">as transportation fuels. </w:t>
      </w:r>
    </w:p>
    <w:p w14:paraId="76C57FAD" w14:textId="797F41C5" w:rsidR="0078308E" w:rsidRPr="00403792" w:rsidRDefault="0078308E" w:rsidP="00C848B9">
      <w:pPr>
        <w:pStyle w:val="ListParagraph"/>
        <w:numPr>
          <w:ilvl w:val="0"/>
          <w:numId w:val="4"/>
        </w:numPr>
        <w:ind w:left="1440"/>
      </w:pPr>
      <w:r>
        <w:t>Applications that do not provide required Supplemental Data</w:t>
      </w:r>
      <w:r w:rsidR="005974FB">
        <w:t xml:space="preserve"> in Appendix H.</w:t>
      </w:r>
      <w:r>
        <w:t xml:space="preserve"> </w:t>
      </w:r>
    </w:p>
    <w:p w14:paraId="01C637C1" w14:textId="77777777" w:rsidR="00D07031" w:rsidRDefault="00D07031" w:rsidP="00D07031">
      <w:pPr>
        <w:pStyle w:val="ListParagraph"/>
        <w:ind w:left="1080" w:hanging="360"/>
      </w:pPr>
    </w:p>
    <w:p w14:paraId="47B814E3" w14:textId="77777777" w:rsidR="007D78FA" w:rsidRDefault="007D78FA" w:rsidP="001612A1">
      <w:pPr>
        <w:pStyle w:val="FOAHeading2"/>
      </w:pPr>
      <w:bookmarkStart w:id="46" w:name="_Toc146921727"/>
      <w:bookmarkStart w:id="47" w:name="_Toc146922587"/>
      <w:bookmarkStart w:id="48" w:name="_Toc146922939"/>
      <w:bookmarkStart w:id="49" w:name="_Toc147914469"/>
      <w:bookmarkStart w:id="50" w:name="_Toc148361808"/>
      <w:bookmarkStart w:id="51" w:name="_Toc148361986"/>
      <w:bookmarkStart w:id="52" w:name="_Toc148580723"/>
      <w:bookmarkStart w:id="53" w:name="_Toc148583143"/>
      <w:bookmarkStart w:id="54" w:name="_Toc176864410"/>
      <w:r w:rsidRPr="00E34CBF">
        <w:t>Diversity, Equity, and Inclusion</w:t>
      </w:r>
      <w:bookmarkEnd w:id="46"/>
      <w:bookmarkEnd w:id="47"/>
      <w:bookmarkEnd w:id="48"/>
      <w:bookmarkEnd w:id="49"/>
      <w:bookmarkEnd w:id="50"/>
      <w:bookmarkEnd w:id="51"/>
      <w:bookmarkEnd w:id="52"/>
      <w:bookmarkEnd w:id="53"/>
      <w:bookmarkEnd w:id="54"/>
    </w:p>
    <w:p w14:paraId="7C06340F" w14:textId="74945AFA" w:rsidR="007D78FA" w:rsidRPr="00C87B68" w:rsidRDefault="007D78FA" w:rsidP="007D78FA">
      <w:pPr>
        <w:pStyle w:val="BodyText"/>
        <w:spacing w:after="0"/>
        <w:ind w:left="1080"/>
      </w:pPr>
      <w:bookmarkStart w:id="55" w:name="_Toc517798893"/>
      <w:bookmarkStart w:id="56" w:name="_Toc519602225"/>
      <w:bookmarkStart w:id="57" w:name="_Toc519602306"/>
      <w:r w:rsidRPr="00C87B68">
        <w:t>It is the policy of the Biden Administration that:</w:t>
      </w:r>
    </w:p>
    <w:p w14:paraId="15081D5C" w14:textId="77777777" w:rsidR="007D78FA" w:rsidRPr="00C87B68" w:rsidRDefault="007D78FA" w:rsidP="007D78FA">
      <w:pPr>
        <w:pStyle w:val="BodyText"/>
        <w:spacing w:after="0"/>
        <w:ind w:left="1080"/>
      </w:pPr>
    </w:p>
    <w:p w14:paraId="735B1A46" w14:textId="09D3C44F" w:rsidR="007D78FA" w:rsidRPr="00C87B68" w:rsidRDefault="007D78FA" w:rsidP="007D78FA">
      <w:pPr>
        <w:pStyle w:val="BodyText"/>
        <w:spacing w:after="0"/>
        <w:ind w:left="1080"/>
      </w:pPr>
      <w:r w:rsidRPr="00C87B68">
        <w:t>[T]he Federal Government should pursue a comprehensive approach to advancing equity</w:t>
      </w:r>
      <w:r w:rsidRPr="00C87B68">
        <w:rPr>
          <w:rStyle w:val="FootnoteReference"/>
        </w:rPr>
        <w:footnoteReference w:id="37"/>
      </w:r>
      <w:r w:rsidRPr="00C87B68">
        <w:t xml:space="preserve"> for all, including people of color and others who have been historically underserved, marginalized, and adversely affected by persistent poverty and inequality. Affirmatively advancing equity, civil rights, racial justice, and equal opportunity is the responsibility of the whole of our </w:t>
      </w:r>
      <w:r w:rsidR="00C00499" w:rsidRPr="00C87B68">
        <w:t>government</w:t>
      </w:r>
      <w:r w:rsidRPr="00C87B68">
        <w:t xml:space="preserve">. Because advancing equity requires a systematic approach to embedding fairness in decision-making processes, executive </w:t>
      </w:r>
      <w:r w:rsidR="006759AC" w:rsidRPr="00C87B68">
        <w:t>departments,</w:t>
      </w:r>
      <w:r w:rsidRPr="00C87B68">
        <w:t xml:space="preserve"> and agencies (agencies) must recognize and work to redress inequities in their policies and programs that serve as barriers to equal opportunity.</w:t>
      </w:r>
    </w:p>
    <w:p w14:paraId="090BF70E" w14:textId="77777777" w:rsidR="007D78FA" w:rsidRDefault="007D78FA" w:rsidP="007D78FA">
      <w:pPr>
        <w:pStyle w:val="BodyText"/>
        <w:spacing w:after="0"/>
        <w:ind w:left="1080"/>
      </w:pPr>
    </w:p>
    <w:p w14:paraId="2B117EDF" w14:textId="77777777" w:rsidR="007D78FA" w:rsidRPr="00C87B68" w:rsidRDefault="007D78FA" w:rsidP="007D78FA">
      <w:pPr>
        <w:pStyle w:val="BodyText"/>
        <w:spacing w:after="0"/>
        <w:ind w:left="1080"/>
      </w:pPr>
      <w:r w:rsidRPr="00C87B68">
        <w:t>By advancing equity across the Federal Government, we can create opportunities for the improvement of communities that have been historically underserved, which benefits everyone.</w:t>
      </w:r>
      <w:r w:rsidRPr="00C87B68">
        <w:rPr>
          <w:vertAlign w:val="superscript"/>
        </w:rPr>
        <w:footnoteReference w:id="38"/>
      </w:r>
      <w:r w:rsidRPr="00C87B68">
        <w:t xml:space="preserve"> </w:t>
      </w:r>
    </w:p>
    <w:p w14:paraId="593CFFFC" w14:textId="77777777" w:rsidR="007D78FA" w:rsidRPr="00C87B68" w:rsidRDefault="007D78FA" w:rsidP="007D78FA">
      <w:pPr>
        <w:pStyle w:val="BodyText"/>
        <w:spacing w:after="0"/>
        <w:ind w:left="1080"/>
      </w:pPr>
    </w:p>
    <w:p w14:paraId="1435519F" w14:textId="6995D896" w:rsidR="007D78FA" w:rsidRPr="00C87B68" w:rsidRDefault="007D78FA" w:rsidP="007D78FA">
      <w:pPr>
        <w:pStyle w:val="BodyText"/>
        <w:spacing w:after="0"/>
        <w:ind w:left="1080"/>
      </w:pPr>
      <w:r w:rsidRPr="00C87B68">
        <w:t>As part of this whole of government approach, this FOA seeks to encourage the participation of underserved communities</w:t>
      </w:r>
      <w:r w:rsidRPr="00C87B68">
        <w:rPr>
          <w:vertAlign w:val="superscript"/>
        </w:rPr>
        <w:footnoteReference w:id="39"/>
      </w:r>
      <w:r w:rsidRPr="00C87B68">
        <w:t xml:space="preserve"> and underrepresented groups. </w:t>
      </w:r>
      <w:r w:rsidRPr="00C87B68">
        <w:lastRenderedPageBreak/>
        <w:t>Applicants are highly encouraged to include individuals from groups historically underrepresented</w:t>
      </w:r>
      <w:r w:rsidRPr="00C87B68">
        <w:rPr>
          <w:vertAlign w:val="superscript"/>
        </w:rPr>
        <w:footnoteReference w:id="40"/>
      </w:r>
      <w:r w:rsidRPr="00C87B68">
        <w:rPr>
          <w:vertAlign w:val="superscript"/>
        </w:rPr>
        <w:t>,</w:t>
      </w:r>
      <w:r w:rsidRPr="00C87B68">
        <w:rPr>
          <w:rStyle w:val="FootnoteReference"/>
        </w:rPr>
        <w:footnoteReference w:id="41"/>
      </w:r>
      <w:r w:rsidRPr="00C87B68">
        <w:rPr>
          <w:vertAlign w:val="superscript"/>
        </w:rPr>
        <w:t xml:space="preserve"> </w:t>
      </w:r>
      <w:r w:rsidRPr="00C87B68">
        <w:t>in STEM on their project teams. As part of the application,</w:t>
      </w:r>
      <w:r>
        <w:t xml:space="preserve"> </w:t>
      </w:r>
      <w:r w:rsidRPr="00C87B68">
        <w:t>applicants are required to describe how diversity, equity, and inclusion objectives will be incorporated in the project. Specifically, applicants are required to submit a Diversity, Equity, and Inclusion Plan that describes the actions the applicant will take to foster a welcoming and inclusive environment,</w:t>
      </w:r>
      <w:r>
        <w:t xml:space="preserve"> </w:t>
      </w:r>
      <w:r w:rsidRPr="00C87B68">
        <w:t xml:space="preserve">support people from underrepresented groups in STEM, advance equity, and encourage the inclusion of individuals from these groups in the project; and the extent the project activities will be located in or benefit underserved communities. </w:t>
      </w:r>
      <w:r w:rsidRPr="008B0D95">
        <w:t>(See Section IV.D.</w:t>
      </w:r>
      <w:r w:rsidR="00C848B9" w:rsidRPr="008B0D95">
        <w:t>vii</w:t>
      </w:r>
      <w:r w:rsidR="00150325">
        <w:t>i</w:t>
      </w:r>
      <w:r w:rsidRPr="008B0D95">
        <w:t>)</w:t>
      </w:r>
      <w:r w:rsidRPr="00C87B68">
        <w:t>.</w:t>
      </w:r>
      <w:r w:rsidRPr="00C87B68">
        <w:rPr>
          <w:color w:val="0070C0"/>
        </w:rPr>
        <w:t xml:space="preserve"> </w:t>
      </w:r>
      <w:r w:rsidRPr="00C87B68">
        <w:t xml:space="preserve">The plan should include </w:t>
      </w:r>
      <w:r>
        <w:t xml:space="preserve">at least one </w:t>
      </w:r>
      <w:r w:rsidRPr="00C87B68">
        <w:t>SMART (Specific, Measurable, Assignable, Realistic and Time-Related) milestone</w:t>
      </w:r>
      <w:r>
        <w:t xml:space="preserve"> per budget period </w:t>
      </w:r>
      <w:r w:rsidRPr="00C87B68">
        <w:t xml:space="preserve">supported by metrics to measure the success of the proposed actions. This plan will be evaluated as part of the technical review </w:t>
      </w:r>
      <w:r w:rsidR="00F51894" w:rsidRPr="00C87B68">
        <w:t>process</w:t>
      </w:r>
      <w:r w:rsidR="00F51894">
        <w:t xml:space="preserve"> and</w:t>
      </w:r>
      <w:r>
        <w:t xml:space="preserve"> incorporated into the award if selected</w:t>
      </w:r>
      <w:r w:rsidRPr="00C87B68">
        <w:t>.</w:t>
      </w:r>
    </w:p>
    <w:p w14:paraId="5C8909E4" w14:textId="77777777" w:rsidR="007D78FA" w:rsidRPr="00C87B68" w:rsidRDefault="007D78FA" w:rsidP="007D78FA">
      <w:pPr>
        <w:pStyle w:val="BodyText"/>
        <w:spacing w:after="0"/>
        <w:ind w:left="1080"/>
      </w:pPr>
    </w:p>
    <w:p w14:paraId="104D5476" w14:textId="325BB5E1" w:rsidR="007D78FA" w:rsidRPr="00E95938" w:rsidRDefault="007D78FA" w:rsidP="007D78FA">
      <w:pPr>
        <w:pStyle w:val="BodyText"/>
        <w:spacing w:after="0"/>
        <w:ind w:left="1080"/>
      </w:pPr>
      <w:r w:rsidRPr="00C87B68">
        <w:t>Further, Minority Serving Institutions</w:t>
      </w:r>
      <w:r w:rsidRPr="00C87B68">
        <w:rPr>
          <w:vertAlign w:val="superscript"/>
        </w:rPr>
        <w:footnoteReference w:id="42"/>
      </w:r>
      <w:r w:rsidRPr="00C87B68">
        <w:t xml:space="preserve">, Minority Business Enterprises, Minority Owned Businesses, Woman Owned Businesses, </w:t>
      </w:r>
      <w:r w:rsidRPr="00C87B68">
        <w:rPr>
          <w:szCs w:val="22"/>
        </w:rPr>
        <w:t xml:space="preserve">Veteran Owned Businesses, </w:t>
      </w:r>
      <w:r w:rsidRPr="00C87B68">
        <w:t>or entities located in an underserved community that meet the eligibility requirements (See Section III</w:t>
      </w:r>
      <w:r>
        <w:t>.</w:t>
      </w:r>
      <w:r w:rsidRPr="00C87B68">
        <w:t xml:space="preserve">) are encouraged to apply as the prime applicant or participate on an application as a proposed partner to the prime applicant. The Selection Official may </w:t>
      </w:r>
      <w:r w:rsidRPr="00C87B68">
        <w:lastRenderedPageBreak/>
        <w:t xml:space="preserve">consider the inclusion of these types of entities as part of the selection decision </w:t>
      </w:r>
      <w:r w:rsidRPr="008B0D95">
        <w:t>(See Section V.C.</w:t>
      </w:r>
      <w:r w:rsidR="00C848B9" w:rsidRPr="008B0D95">
        <w:t>i</w:t>
      </w:r>
      <w:r w:rsidRPr="008B0D95">
        <w:t>)</w:t>
      </w:r>
      <w:r w:rsidRPr="00C848B9">
        <w:t>.</w:t>
      </w:r>
      <w:r w:rsidRPr="00E95938">
        <w:t xml:space="preserve"> </w:t>
      </w:r>
    </w:p>
    <w:p w14:paraId="01ADE42D" w14:textId="77777777" w:rsidR="007D78FA" w:rsidRDefault="007D78FA" w:rsidP="007D78FA">
      <w:pPr>
        <w:pStyle w:val="BodyText"/>
        <w:spacing w:after="0"/>
        <w:ind w:left="1080"/>
      </w:pPr>
    </w:p>
    <w:p w14:paraId="2C5590ED" w14:textId="39DD1EF9" w:rsidR="00D07031" w:rsidRPr="006C50BA" w:rsidRDefault="004E672B" w:rsidP="006C50BA">
      <w:pPr>
        <w:pStyle w:val="FOAHeading2"/>
      </w:pPr>
      <w:bookmarkStart w:id="58" w:name="_Toc176864411"/>
      <w:r w:rsidRPr="006C50BA">
        <w:t>Authorizing Statutes</w:t>
      </w:r>
      <w:bookmarkEnd w:id="55"/>
      <w:bookmarkEnd w:id="56"/>
      <w:bookmarkEnd w:id="57"/>
      <w:bookmarkEnd w:id="58"/>
    </w:p>
    <w:p w14:paraId="7892D053" w14:textId="3BD209F8" w:rsidR="00D5240A" w:rsidRPr="008858B4" w:rsidRDefault="004E672B" w:rsidP="00A7237E">
      <w:pPr>
        <w:ind w:left="1080"/>
      </w:pPr>
      <w:bookmarkStart w:id="59" w:name="_Toc425399575"/>
      <w:r w:rsidRPr="008858B4">
        <w:t>The programmatic authorizing statute is</w:t>
      </w:r>
      <w:r>
        <w:t xml:space="preserve"> </w:t>
      </w:r>
      <w:r w:rsidR="00C848B9" w:rsidRPr="001049C0">
        <w:rPr>
          <w:rFonts w:cstheme="minorHAnsi"/>
        </w:rPr>
        <w:t>Energy Policy Act (EPAct) 2005, Pub. L. 109-58, § 931 as codified at 42 U.S.C. § 16231; EPAct 2005 § 932, as codified at 42 U.S.C § 16232</w:t>
      </w:r>
      <w:r w:rsidR="00C848B9">
        <w:rPr>
          <w:rFonts w:cstheme="minorHAnsi"/>
        </w:rPr>
        <w:t>.</w:t>
      </w:r>
      <w:r w:rsidR="00C848B9" w:rsidRPr="00D81532" w:rsidDel="00C848B9">
        <w:rPr>
          <w:color w:val="0000FF"/>
        </w:rPr>
        <w:t xml:space="preserve"> </w:t>
      </w:r>
    </w:p>
    <w:p w14:paraId="6D1246B0" w14:textId="386456C4" w:rsidR="00D07031" w:rsidRDefault="004E672B" w:rsidP="00A7237E">
      <w:pPr>
        <w:ind w:left="1080"/>
      </w:pPr>
      <w:r w:rsidRPr="008858B4">
        <w:t>Awards made under this announcement will fall under the purview of 2 CFR Part 200 as amended by 2 CFR Part 910.</w:t>
      </w:r>
      <w:bookmarkEnd w:id="59"/>
    </w:p>
    <w:p w14:paraId="2DC950DC" w14:textId="77777777" w:rsidR="00D07031" w:rsidRPr="008858B4" w:rsidRDefault="00D07031" w:rsidP="00D07031">
      <w:pPr>
        <w:ind w:left="1080"/>
      </w:pPr>
    </w:p>
    <w:p w14:paraId="69FA3DB9" w14:textId="77777777" w:rsidR="00AC4722" w:rsidRDefault="004E672B" w:rsidP="00B159B5">
      <w:pPr>
        <w:pStyle w:val="FOAHeading1"/>
      </w:pPr>
      <w:bookmarkStart w:id="60" w:name="_Toc176864412"/>
      <w:bookmarkEnd w:id="0"/>
      <w:bookmarkEnd w:id="1"/>
      <w:bookmarkEnd w:id="2"/>
      <w:r>
        <w:t>Award Information</w:t>
      </w:r>
      <w:bookmarkEnd w:id="60"/>
    </w:p>
    <w:p w14:paraId="401ED5E6" w14:textId="77777777" w:rsidR="00AC4722" w:rsidRDefault="00AC4722" w:rsidP="00AC4722"/>
    <w:p w14:paraId="7A009D69" w14:textId="37EE3FE7" w:rsidR="00AC4722" w:rsidRDefault="004E672B" w:rsidP="001612A1">
      <w:pPr>
        <w:pStyle w:val="FOAHeading2"/>
      </w:pPr>
      <w:bookmarkStart w:id="61" w:name="_Toc519602308"/>
      <w:bookmarkStart w:id="62" w:name="_Toc519602227"/>
      <w:bookmarkStart w:id="63" w:name="_Toc517798895"/>
      <w:bookmarkStart w:id="64" w:name="_Toc427134127"/>
      <w:bookmarkStart w:id="65" w:name="_Toc176864413"/>
      <w:r>
        <w:t>Award Overview</w:t>
      </w:r>
      <w:bookmarkEnd w:id="61"/>
      <w:bookmarkEnd w:id="62"/>
      <w:bookmarkEnd w:id="63"/>
      <w:bookmarkEnd w:id="64"/>
      <w:bookmarkEnd w:id="65"/>
    </w:p>
    <w:p w14:paraId="04A3C294" w14:textId="77777777" w:rsidR="00AC4722" w:rsidRDefault="00AC4722" w:rsidP="00AC4722">
      <w:pPr>
        <w:pStyle w:val="FOATemplateBody"/>
      </w:pPr>
    </w:p>
    <w:p w14:paraId="196C5DF1" w14:textId="459BCF1B" w:rsidR="00AC4722" w:rsidRDefault="004E672B" w:rsidP="00AC77FA">
      <w:pPr>
        <w:pStyle w:val="FOAHeading3"/>
        <w:numPr>
          <w:ilvl w:val="0"/>
          <w:numId w:val="54"/>
        </w:numPr>
        <w:ind w:left="1440"/>
        <w:outlineLvl w:val="2"/>
      </w:pPr>
      <w:bookmarkStart w:id="66" w:name="_Toc519602309"/>
      <w:bookmarkStart w:id="67" w:name="_Toc176864414"/>
      <w:r>
        <w:t>Estimated Funding</w:t>
      </w:r>
      <w:bookmarkEnd w:id="66"/>
      <w:bookmarkEnd w:id="67"/>
      <w:r>
        <w:t xml:space="preserve"> </w:t>
      </w:r>
    </w:p>
    <w:p w14:paraId="6D5CA689" w14:textId="7E00EF09" w:rsidR="00AC4722" w:rsidRDefault="004E672B" w:rsidP="00AC4722">
      <w:pPr>
        <w:ind w:left="1440"/>
        <w:rPr>
          <w:color w:val="000000" w:themeColor="text1"/>
        </w:rPr>
      </w:pPr>
      <w:r>
        <w:rPr>
          <w:color w:val="000000" w:themeColor="text1"/>
        </w:rPr>
        <w:t xml:space="preserve">EERE expects to make a total of approximately </w:t>
      </w:r>
      <w:r w:rsidR="00EA11BD">
        <w:rPr>
          <w:color w:val="000000" w:themeColor="text1"/>
        </w:rPr>
        <w:t>$</w:t>
      </w:r>
      <w:r w:rsidR="00C848B9" w:rsidRPr="008B0D95">
        <w:rPr>
          <w:rStyle w:val="Style1"/>
        </w:rPr>
        <w:t>12,000,000</w:t>
      </w:r>
      <w:r w:rsidRPr="00872B40">
        <w:rPr>
          <w:color w:val="0000FF"/>
        </w:rPr>
        <w:t xml:space="preserve"> </w:t>
      </w:r>
      <w:r>
        <w:rPr>
          <w:color w:val="000000" w:themeColor="text1"/>
        </w:rPr>
        <w:t xml:space="preserve">of federal funding available for new awards under this FOA, subject to the availability of appropriated funds. EERE anticipates making approximately </w:t>
      </w:r>
      <w:r w:rsidR="00C848B9">
        <w:rPr>
          <w:color w:val="000000" w:themeColor="text1"/>
        </w:rPr>
        <w:t xml:space="preserve">0-4 </w:t>
      </w:r>
      <w:r>
        <w:rPr>
          <w:color w:val="000000" w:themeColor="text1"/>
        </w:rPr>
        <w:t xml:space="preserve">awards under this FOA. EERE may issue one, multiple, or no awards. Individual awards may vary between </w:t>
      </w:r>
      <w:r w:rsidR="00596BDB">
        <w:rPr>
          <w:color w:val="000000" w:themeColor="text1"/>
        </w:rPr>
        <w:t>$</w:t>
      </w:r>
      <w:r w:rsidR="00C848B9" w:rsidRPr="008B0D95">
        <w:rPr>
          <w:rStyle w:val="Style1"/>
        </w:rPr>
        <w:t>2,000,000</w:t>
      </w:r>
      <w:r w:rsidR="000377A5" w:rsidRPr="008B0D95">
        <w:t xml:space="preserve"> </w:t>
      </w:r>
      <w:r w:rsidR="000377A5">
        <w:rPr>
          <w:color w:val="000000" w:themeColor="text1"/>
        </w:rPr>
        <w:t>and $</w:t>
      </w:r>
      <w:r w:rsidR="00C848B9" w:rsidRPr="008B0D95">
        <w:rPr>
          <w:rStyle w:val="Style1"/>
        </w:rPr>
        <w:t>3,000,000</w:t>
      </w:r>
      <w:r w:rsidR="005257A6" w:rsidRPr="008B0D95">
        <w:t>.</w:t>
      </w:r>
    </w:p>
    <w:p w14:paraId="2B5D30AB" w14:textId="7F092E07" w:rsidR="006167A5" w:rsidRDefault="006167A5" w:rsidP="00AC4722">
      <w:pPr>
        <w:ind w:left="1440"/>
        <w:rPr>
          <w:color w:val="000000" w:themeColor="text1"/>
        </w:rPr>
      </w:pPr>
    </w:p>
    <w:p w14:paraId="46352E20" w14:textId="1DA84807" w:rsidR="006167A5" w:rsidRDefault="004E672B" w:rsidP="00AC4722">
      <w:pPr>
        <w:ind w:left="1440"/>
      </w:pPr>
      <w:r>
        <w:t>EERE may issue awards in one, multiple, or none of the following topic areas:</w:t>
      </w:r>
    </w:p>
    <w:p w14:paraId="652D36C8" w14:textId="77777777" w:rsidR="00912250" w:rsidRDefault="00912250" w:rsidP="00AC4722">
      <w:pPr>
        <w:ind w:left="1440"/>
      </w:pPr>
    </w:p>
    <w:tbl>
      <w:tblPr>
        <w:tblStyle w:val="TableGrid"/>
        <w:tblW w:w="9720" w:type="dxa"/>
        <w:tblInd w:w="535" w:type="dxa"/>
        <w:tblLook w:val="04A0" w:firstRow="1" w:lastRow="0" w:firstColumn="1" w:lastColumn="0" w:noHBand="0" w:noVBand="1"/>
        <w:tblCaption w:val="Period of Performance"/>
        <w:tblDescription w:val="Period of Performance Topic Areas"/>
      </w:tblPr>
      <w:tblGrid>
        <w:gridCol w:w="959"/>
        <w:gridCol w:w="2095"/>
        <w:gridCol w:w="1228"/>
        <w:gridCol w:w="1298"/>
        <w:gridCol w:w="1439"/>
        <w:gridCol w:w="1358"/>
        <w:gridCol w:w="1343"/>
      </w:tblGrid>
      <w:tr w:rsidR="007B15E7" w14:paraId="574528E3" w14:textId="77777777" w:rsidTr="00634646">
        <w:trPr>
          <w:trHeight w:val="503"/>
        </w:trPr>
        <w:tc>
          <w:tcPr>
            <w:tcW w:w="9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8E509AA" w14:textId="77777777" w:rsidR="00912250" w:rsidRPr="002D1DC8" w:rsidRDefault="00912250" w:rsidP="00634646">
            <w:pPr>
              <w:pStyle w:val="CommentText"/>
              <w:jc w:val="center"/>
              <w:rPr>
                <w:b/>
                <w:sz w:val="21"/>
                <w:szCs w:val="21"/>
              </w:rPr>
            </w:pPr>
            <w:r w:rsidRPr="002D1DC8">
              <w:rPr>
                <w:b/>
                <w:sz w:val="21"/>
                <w:szCs w:val="21"/>
              </w:rPr>
              <w:t>Topic Area Number</w:t>
            </w:r>
          </w:p>
        </w:tc>
        <w:tc>
          <w:tcPr>
            <w:tcW w:w="20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5B0B5F8" w14:textId="77777777" w:rsidR="00912250" w:rsidRPr="002D1DC8" w:rsidRDefault="00912250" w:rsidP="00634646">
            <w:pPr>
              <w:spacing w:before="120" w:after="120"/>
              <w:jc w:val="center"/>
              <w:rPr>
                <w:b/>
                <w:sz w:val="21"/>
                <w:szCs w:val="21"/>
              </w:rPr>
            </w:pPr>
            <w:r w:rsidRPr="002D1DC8">
              <w:rPr>
                <w:b/>
                <w:sz w:val="21"/>
                <w:szCs w:val="21"/>
              </w:rPr>
              <w:t>Topic Area Title</w:t>
            </w:r>
          </w:p>
        </w:tc>
        <w:tc>
          <w:tcPr>
            <w:tcW w:w="122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741C48F" w14:textId="77777777" w:rsidR="00912250" w:rsidRPr="002D1DC8" w:rsidRDefault="00912250" w:rsidP="00634646">
            <w:pPr>
              <w:spacing w:before="120" w:after="120"/>
              <w:jc w:val="center"/>
              <w:rPr>
                <w:b/>
                <w:sz w:val="21"/>
                <w:szCs w:val="21"/>
              </w:rPr>
            </w:pPr>
            <w:r>
              <w:rPr>
                <w:b/>
                <w:sz w:val="21"/>
                <w:szCs w:val="21"/>
              </w:rPr>
              <w:t>Anticipated Number of Awards</w:t>
            </w:r>
          </w:p>
        </w:tc>
        <w:tc>
          <w:tcPr>
            <w:tcW w:w="129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1E7725" w14:textId="77777777" w:rsidR="00912250" w:rsidRDefault="00912250" w:rsidP="00634646">
            <w:pPr>
              <w:spacing w:before="120" w:after="120"/>
              <w:jc w:val="center"/>
              <w:rPr>
                <w:b/>
                <w:sz w:val="21"/>
                <w:szCs w:val="21"/>
              </w:rPr>
            </w:pPr>
            <w:r>
              <w:rPr>
                <w:b/>
                <w:sz w:val="21"/>
                <w:szCs w:val="21"/>
              </w:rPr>
              <w:t>Anticipated Minimum Award Size for Any One Individual Award (Fed Share)</w:t>
            </w:r>
          </w:p>
        </w:tc>
        <w:tc>
          <w:tcPr>
            <w:tcW w:w="143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8CD8E12" w14:textId="77777777" w:rsidR="00912250" w:rsidRDefault="00912250" w:rsidP="00634646">
            <w:pPr>
              <w:spacing w:before="120" w:after="120"/>
              <w:jc w:val="center"/>
              <w:rPr>
                <w:b/>
                <w:sz w:val="21"/>
                <w:szCs w:val="21"/>
              </w:rPr>
            </w:pPr>
            <w:r>
              <w:rPr>
                <w:b/>
                <w:sz w:val="21"/>
                <w:szCs w:val="21"/>
              </w:rPr>
              <w:t>Anticipated Maximum Award Size for Any One Individual Award (Fed Share)</w:t>
            </w:r>
          </w:p>
        </w:tc>
        <w:tc>
          <w:tcPr>
            <w:tcW w:w="13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D03B41" w14:textId="77777777" w:rsidR="00912250" w:rsidRDefault="00912250" w:rsidP="00634646">
            <w:pPr>
              <w:spacing w:before="120" w:after="120"/>
              <w:jc w:val="center"/>
              <w:rPr>
                <w:b/>
                <w:sz w:val="21"/>
                <w:szCs w:val="21"/>
              </w:rPr>
            </w:pPr>
            <w:r>
              <w:rPr>
                <w:b/>
                <w:sz w:val="21"/>
                <w:szCs w:val="21"/>
              </w:rPr>
              <w:t>Approximate Total Federal Funding Available for All Awards</w:t>
            </w:r>
          </w:p>
        </w:tc>
        <w:tc>
          <w:tcPr>
            <w:tcW w:w="134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7E09FA" w14:textId="77777777" w:rsidR="00912250" w:rsidRDefault="00912250" w:rsidP="00634646">
            <w:pPr>
              <w:spacing w:before="120" w:after="120"/>
              <w:jc w:val="center"/>
              <w:rPr>
                <w:b/>
                <w:sz w:val="21"/>
                <w:szCs w:val="21"/>
              </w:rPr>
            </w:pPr>
            <w:r>
              <w:rPr>
                <w:b/>
                <w:sz w:val="21"/>
                <w:szCs w:val="21"/>
              </w:rPr>
              <w:t>Anticipated Period of Performance (months)</w:t>
            </w:r>
          </w:p>
        </w:tc>
      </w:tr>
      <w:tr w:rsidR="007B15E7" w14:paraId="424C78F4" w14:textId="77777777" w:rsidTr="00634646">
        <w:tc>
          <w:tcPr>
            <w:tcW w:w="959" w:type="dxa"/>
            <w:tcBorders>
              <w:top w:val="single" w:sz="4" w:space="0" w:color="auto"/>
              <w:left w:val="single" w:sz="4" w:space="0" w:color="auto"/>
              <w:bottom w:val="single" w:sz="4" w:space="0" w:color="auto"/>
              <w:right w:val="single" w:sz="4" w:space="0" w:color="auto"/>
            </w:tcBorders>
          </w:tcPr>
          <w:p w14:paraId="7E04B2CF" w14:textId="77777777" w:rsidR="00912250" w:rsidRPr="002D1DC8" w:rsidRDefault="00912250" w:rsidP="00634646">
            <w:pPr>
              <w:pStyle w:val="CommentText"/>
              <w:rPr>
                <w:sz w:val="21"/>
                <w:szCs w:val="21"/>
              </w:rPr>
            </w:pPr>
            <w:r>
              <w:rPr>
                <w:sz w:val="21"/>
                <w:szCs w:val="21"/>
              </w:rPr>
              <w:t>1</w:t>
            </w:r>
          </w:p>
        </w:tc>
        <w:tc>
          <w:tcPr>
            <w:tcW w:w="2095" w:type="dxa"/>
            <w:tcBorders>
              <w:top w:val="single" w:sz="4" w:space="0" w:color="auto"/>
              <w:left w:val="single" w:sz="4" w:space="0" w:color="auto"/>
              <w:bottom w:val="single" w:sz="4" w:space="0" w:color="auto"/>
              <w:right w:val="single" w:sz="4" w:space="0" w:color="auto"/>
            </w:tcBorders>
          </w:tcPr>
          <w:p w14:paraId="154CB566" w14:textId="77777777" w:rsidR="00912250" w:rsidRPr="002D1DC8" w:rsidRDefault="00912250" w:rsidP="00634646">
            <w:pPr>
              <w:rPr>
                <w:sz w:val="21"/>
                <w:szCs w:val="21"/>
              </w:rPr>
            </w:pPr>
            <w:r>
              <w:rPr>
                <w:rStyle w:val="PlaceholderText"/>
                <w:color w:val="auto"/>
              </w:rPr>
              <w:t>Pilot Scale-up of Integrated Biorefineries – Phase 1 Preliminary Design and Phased Construction</w:t>
            </w:r>
          </w:p>
        </w:tc>
        <w:tc>
          <w:tcPr>
            <w:tcW w:w="1228" w:type="dxa"/>
            <w:tcBorders>
              <w:top w:val="single" w:sz="4" w:space="0" w:color="auto"/>
              <w:left w:val="single" w:sz="4" w:space="0" w:color="auto"/>
              <w:bottom w:val="single" w:sz="4" w:space="0" w:color="auto"/>
              <w:right w:val="single" w:sz="4" w:space="0" w:color="auto"/>
            </w:tcBorders>
          </w:tcPr>
          <w:p w14:paraId="3AD7C9D2" w14:textId="77777777" w:rsidR="00912250" w:rsidRPr="002D1DC8" w:rsidRDefault="00912250" w:rsidP="00634646">
            <w:pPr>
              <w:rPr>
                <w:rFonts w:eastAsia="Times New Roman" w:cs="Times New Roman"/>
                <w:sz w:val="21"/>
                <w:szCs w:val="21"/>
              </w:rPr>
            </w:pPr>
            <w:r>
              <w:rPr>
                <w:rFonts w:eastAsia="Times New Roman" w:cs="Times New Roman"/>
                <w:sz w:val="21"/>
                <w:szCs w:val="21"/>
              </w:rPr>
              <w:t>0-4</w:t>
            </w:r>
          </w:p>
        </w:tc>
        <w:tc>
          <w:tcPr>
            <w:tcW w:w="1298" w:type="dxa"/>
            <w:tcBorders>
              <w:top w:val="single" w:sz="4" w:space="0" w:color="auto"/>
              <w:left w:val="single" w:sz="4" w:space="0" w:color="auto"/>
              <w:bottom w:val="single" w:sz="4" w:space="0" w:color="auto"/>
              <w:right w:val="single" w:sz="4" w:space="0" w:color="auto"/>
            </w:tcBorders>
          </w:tcPr>
          <w:p w14:paraId="036646DF" w14:textId="77777777" w:rsidR="00912250" w:rsidRDefault="00912250" w:rsidP="00634646">
            <w:pPr>
              <w:rPr>
                <w:sz w:val="21"/>
                <w:szCs w:val="21"/>
              </w:rPr>
            </w:pPr>
            <w:r>
              <w:rPr>
                <w:sz w:val="21"/>
                <w:szCs w:val="21"/>
              </w:rPr>
              <w:t>$2,000,000</w:t>
            </w:r>
          </w:p>
        </w:tc>
        <w:tc>
          <w:tcPr>
            <w:tcW w:w="1439" w:type="dxa"/>
            <w:tcBorders>
              <w:top w:val="single" w:sz="4" w:space="0" w:color="auto"/>
              <w:left w:val="single" w:sz="4" w:space="0" w:color="auto"/>
              <w:bottom w:val="single" w:sz="4" w:space="0" w:color="auto"/>
              <w:right w:val="single" w:sz="4" w:space="0" w:color="auto"/>
            </w:tcBorders>
          </w:tcPr>
          <w:p w14:paraId="05B99ABA" w14:textId="77777777" w:rsidR="00912250" w:rsidRDefault="00912250" w:rsidP="00634646">
            <w:pPr>
              <w:rPr>
                <w:sz w:val="21"/>
                <w:szCs w:val="21"/>
              </w:rPr>
            </w:pPr>
            <w:r>
              <w:rPr>
                <w:sz w:val="21"/>
                <w:szCs w:val="21"/>
              </w:rPr>
              <w:t>$3,000,000</w:t>
            </w:r>
          </w:p>
        </w:tc>
        <w:tc>
          <w:tcPr>
            <w:tcW w:w="1358" w:type="dxa"/>
            <w:tcBorders>
              <w:top w:val="single" w:sz="4" w:space="0" w:color="auto"/>
              <w:left w:val="single" w:sz="4" w:space="0" w:color="auto"/>
              <w:bottom w:val="single" w:sz="4" w:space="0" w:color="auto"/>
              <w:right w:val="single" w:sz="4" w:space="0" w:color="auto"/>
            </w:tcBorders>
          </w:tcPr>
          <w:p w14:paraId="3C719083" w14:textId="77777777" w:rsidR="00912250" w:rsidRDefault="00912250" w:rsidP="00634646">
            <w:pPr>
              <w:rPr>
                <w:sz w:val="21"/>
                <w:szCs w:val="21"/>
              </w:rPr>
            </w:pPr>
            <w:r>
              <w:rPr>
                <w:sz w:val="21"/>
                <w:szCs w:val="21"/>
              </w:rPr>
              <w:t>$6,000,000</w:t>
            </w:r>
          </w:p>
        </w:tc>
        <w:tc>
          <w:tcPr>
            <w:tcW w:w="1343" w:type="dxa"/>
            <w:tcBorders>
              <w:top w:val="single" w:sz="4" w:space="0" w:color="auto"/>
              <w:left w:val="single" w:sz="4" w:space="0" w:color="auto"/>
              <w:bottom w:val="single" w:sz="4" w:space="0" w:color="auto"/>
              <w:right w:val="single" w:sz="4" w:space="0" w:color="auto"/>
            </w:tcBorders>
          </w:tcPr>
          <w:p w14:paraId="6BC1BB3E" w14:textId="77777777" w:rsidR="00912250" w:rsidRDefault="00912250" w:rsidP="00634646">
            <w:pPr>
              <w:rPr>
                <w:sz w:val="21"/>
                <w:szCs w:val="21"/>
              </w:rPr>
            </w:pPr>
            <w:r>
              <w:rPr>
                <w:sz w:val="21"/>
                <w:szCs w:val="21"/>
              </w:rPr>
              <w:t>24</w:t>
            </w:r>
          </w:p>
        </w:tc>
      </w:tr>
      <w:tr w:rsidR="007B15E7" w14:paraId="014E30F7" w14:textId="77777777" w:rsidTr="00634646">
        <w:tc>
          <w:tcPr>
            <w:tcW w:w="959" w:type="dxa"/>
            <w:tcBorders>
              <w:top w:val="single" w:sz="4" w:space="0" w:color="auto"/>
              <w:left w:val="single" w:sz="4" w:space="0" w:color="auto"/>
              <w:bottom w:val="single" w:sz="4" w:space="0" w:color="auto"/>
              <w:right w:val="single" w:sz="4" w:space="0" w:color="auto"/>
            </w:tcBorders>
          </w:tcPr>
          <w:p w14:paraId="65D62401" w14:textId="77777777" w:rsidR="00912250" w:rsidRDefault="00912250" w:rsidP="00634646">
            <w:pPr>
              <w:pStyle w:val="CommentText"/>
              <w:rPr>
                <w:sz w:val="21"/>
                <w:szCs w:val="21"/>
              </w:rPr>
            </w:pPr>
            <w:r>
              <w:rPr>
                <w:sz w:val="21"/>
                <w:szCs w:val="21"/>
              </w:rPr>
              <w:t>2</w:t>
            </w:r>
          </w:p>
        </w:tc>
        <w:tc>
          <w:tcPr>
            <w:tcW w:w="2095" w:type="dxa"/>
            <w:tcBorders>
              <w:top w:val="single" w:sz="4" w:space="0" w:color="auto"/>
              <w:left w:val="single" w:sz="4" w:space="0" w:color="auto"/>
              <w:bottom w:val="single" w:sz="4" w:space="0" w:color="auto"/>
              <w:right w:val="single" w:sz="4" w:space="0" w:color="auto"/>
            </w:tcBorders>
          </w:tcPr>
          <w:p w14:paraId="633038B1" w14:textId="77777777" w:rsidR="00912250" w:rsidRPr="002D1DC8" w:rsidRDefault="00912250" w:rsidP="00634646">
            <w:pPr>
              <w:rPr>
                <w:sz w:val="21"/>
                <w:szCs w:val="21"/>
              </w:rPr>
            </w:pPr>
            <w:r>
              <w:rPr>
                <w:rStyle w:val="PlaceholderText"/>
                <w:color w:val="auto"/>
              </w:rPr>
              <w:t xml:space="preserve">Demonstration Scale-up of Integrated Biorefineries – </w:t>
            </w:r>
            <w:r>
              <w:rPr>
                <w:rStyle w:val="PlaceholderText"/>
                <w:color w:val="auto"/>
              </w:rPr>
              <w:lastRenderedPageBreak/>
              <w:t>Phase 1 Preliminary Design and Phased Construction</w:t>
            </w:r>
          </w:p>
        </w:tc>
        <w:tc>
          <w:tcPr>
            <w:tcW w:w="1228" w:type="dxa"/>
            <w:tcBorders>
              <w:top w:val="single" w:sz="4" w:space="0" w:color="auto"/>
              <w:left w:val="single" w:sz="4" w:space="0" w:color="auto"/>
              <w:bottom w:val="single" w:sz="4" w:space="0" w:color="auto"/>
              <w:right w:val="single" w:sz="4" w:space="0" w:color="auto"/>
            </w:tcBorders>
          </w:tcPr>
          <w:p w14:paraId="4BFBD895" w14:textId="77777777" w:rsidR="00912250" w:rsidRDefault="00912250" w:rsidP="00634646">
            <w:pPr>
              <w:rPr>
                <w:sz w:val="21"/>
                <w:szCs w:val="21"/>
              </w:rPr>
            </w:pPr>
            <w:r>
              <w:rPr>
                <w:sz w:val="21"/>
                <w:szCs w:val="21"/>
              </w:rPr>
              <w:lastRenderedPageBreak/>
              <w:t>0-4</w:t>
            </w:r>
          </w:p>
        </w:tc>
        <w:tc>
          <w:tcPr>
            <w:tcW w:w="1298" w:type="dxa"/>
            <w:tcBorders>
              <w:top w:val="single" w:sz="4" w:space="0" w:color="auto"/>
              <w:left w:val="single" w:sz="4" w:space="0" w:color="auto"/>
              <w:bottom w:val="single" w:sz="4" w:space="0" w:color="auto"/>
              <w:right w:val="single" w:sz="4" w:space="0" w:color="auto"/>
            </w:tcBorders>
          </w:tcPr>
          <w:p w14:paraId="17B0B6C1" w14:textId="77777777" w:rsidR="00912250" w:rsidRDefault="00912250" w:rsidP="00634646">
            <w:pPr>
              <w:rPr>
                <w:sz w:val="21"/>
                <w:szCs w:val="21"/>
              </w:rPr>
            </w:pPr>
            <w:r>
              <w:rPr>
                <w:sz w:val="21"/>
                <w:szCs w:val="21"/>
              </w:rPr>
              <w:t>$2,000,000</w:t>
            </w:r>
          </w:p>
        </w:tc>
        <w:tc>
          <w:tcPr>
            <w:tcW w:w="1439" w:type="dxa"/>
            <w:tcBorders>
              <w:top w:val="single" w:sz="4" w:space="0" w:color="auto"/>
              <w:left w:val="single" w:sz="4" w:space="0" w:color="auto"/>
              <w:bottom w:val="single" w:sz="4" w:space="0" w:color="auto"/>
              <w:right w:val="single" w:sz="4" w:space="0" w:color="auto"/>
            </w:tcBorders>
          </w:tcPr>
          <w:p w14:paraId="715FCFCB" w14:textId="77777777" w:rsidR="00912250" w:rsidRDefault="00912250" w:rsidP="00634646">
            <w:pPr>
              <w:rPr>
                <w:sz w:val="21"/>
                <w:szCs w:val="21"/>
              </w:rPr>
            </w:pPr>
            <w:r>
              <w:rPr>
                <w:sz w:val="21"/>
                <w:szCs w:val="21"/>
              </w:rPr>
              <w:t>$3,000,000</w:t>
            </w:r>
          </w:p>
        </w:tc>
        <w:tc>
          <w:tcPr>
            <w:tcW w:w="1358" w:type="dxa"/>
            <w:tcBorders>
              <w:top w:val="single" w:sz="4" w:space="0" w:color="auto"/>
              <w:left w:val="single" w:sz="4" w:space="0" w:color="auto"/>
              <w:bottom w:val="single" w:sz="4" w:space="0" w:color="auto"/>
              <w:right w:val="single" w:sz="4" w:space="0" w:color="auto"/>
            </w:tcBorders>
          </w:tcPr>
          <w:p w14:paraId="03B39C1B" w14:textId="77777777" w:rsidR="00912250" w:rsidRDefault="00912250" w:rsidP="00634646">
            <w:pPr>
              <w:rPr>
                <w:sz w:val="21"/>
                <w:szCs w:val="21"/>
              </w:rPr>
            </w:pPr>
            <w:r>
              <w:rPr>
                <w:sz w:val="21"/>
                <w:szCs w:val="21"/>
              </w:rPr>
              <w:t>$6,000,000</w:t>
            </w:r>
          </w:p>
        </w:tc>
        <w:tc>
          <w:tcPr>
            <w:tcW w:w="1343" w:type="dxa"/>
            <w:tcBorders>
              <w:top w:val="single" w:sz="4" w:space="0" w:color="auto"/>
              <w:left w:val="single" w:sz="4" w:space="0" w:color="auto"/>
              <w:bottom w:val="single" w:sz="4" w:space="0" w:color="auto"/>
              <w:right w:val="single" w:sz="4" w:space="0" w:color="auto"/>
            </w:tcBorders>
          </w:tcPr>
          <w:p w14:paraId="1C7866F1" w14:textId="77777777" w:rsidR="00912250" w:rsidRDefault="00912250" w:rsidP="00634646">
            <w:pPr>
              <w:rPr>
                <w:sz w:val="21"/>
                <w:szCs w:val="21"/>
              </w:rPr>
            </w:pPr>
            <w:r>
              <w:rPr>
                <w:sz w:val="21"/>
                <w:szCs w:val="21"/>
              </w:rPr>
              <w:t>24</w:t>
            </w:r>
          </w:p>
        </w:tc>
      </w:tr>
      <w:tr w:rsidR="00143BFD" w14:paraId="381C1FFA" w14:textId="77777777" w:rsidTr="00634646">
        <w:tc>
          <w:tcPr>
            <w:tcW w:w="959" w:type="dxa"/>
            <w:tcBorders>
              <w:top w:val="single" w:sz="4" w:space="0" w:color="auto"/>
              <w:left w:val="single" w:sz="4" w:space="0" w:color="auto"/>
              <w:bottom w:val="single" w:sz="4" w:space="0" w:color="auto"/>
              <w:right w:val="single" w:sz="4" w:space="0" w:color="auto"/>
            </w:tcBorders>
          </w:tcPr>
          <w:p w14:paraId="2EEB288F" w14:textId="141721C9" w:rsidR="00143BFD" w:rsidRDefault="00143BFD" w:rsidP="00143BFD">
            <w:pPr>
              <w:pStyle w:val="CommentText"/>
              <w:rPr>
                <w:sz w:val="21"/>
                <w:szCs w:val="21"/>
              </w:rPr>
            </w:pPr>
            <w:r>
              <w:rPr>
                <w:sz w:val="21"/>
                <w:szCs w:val="21"/>
              </w:rPr>
              <w:t>3</w:t>
            </w:r>
          </w:p>
        </w:tc>
        <w:tc>
          <w:tcPr>
            <w:tcW w:w="2095" w:type="dxa"/>
            <w:tcBorders>
              <w:top w:val="single" w:sz="4" w:space="0" w:color="auto"/>
              <w:left w:val="single" w:sz="4" w:space="0" w:color="auto"/>
              <w:bottom w:val="single" w:sz="4" w:space="0" w:color="auto"/>
              <w:right w:val="single" w:sz="4" w:space="0" w:color="auto"/>
            </w:tcBorders>
          </w:tcPr>
          <w:p w14:paraId="0E7FC693" w14:textId="4DE15370" w:rsidR="00143BFD" w:rsidRPr="006C50BA" w:rsidRDefault="00143BFD" w:rsidP="00143BFD">
            <w:pPr>
              <w:rPr>
                <w:rStyle w:val="PlaceholderText"/>
                <w:color w:val="auto"/>
              </w:rPr>
            </w:pPr>
            <w:r w:rsidRPr="006C50BA">
              <w:rPr>
                <w:rStyle w:val="PlaceholderText"/>
                <w:color w:val="auto"/>
              </w:rPr>
              <w:t>Scale-up of Organic Chemical Pathways - Phase 1 Preliminary Design and Phased Construction</w:t>
            </w:r>
          </w:p>
        </w:tc>
        <w:tc>
          <w:tcPr>
            <w:tcW w:w="1228" w:type="dxa"/>
            <w:tcBorders>
              <w:top w:val="single" w:sz="4" w:space="0" w:color="auto"/>
              <w:left w:val="single" w:sz="4" w:space="0" w:color="auto"/>
              <w:bottom w:val="single" w:sz="4" w:space="0" w:color="auto"/>
              <w:right w:val="single" w:sz="4" w:space="0" w:color="auto"/>
            </w:tcBorders>
          </w:tcPr>
          <w:p w14:paraId="56F1B9F6" w14:textId="41185449" w:rsidR="00143BFD" w:rsidRDefault="00143BFD" w:rsidP="00143BFD">
            <w:pPr>
              <w:rPr>
                <w:sz w:val="21"/>
                <w:szCs w:val="21"/>
              </w:rPr>
            </w:pPr>
            <w:r>
              <w:rPr>
                <w:sz w:val="21"/>
                <w:szCs w:val="21"/>
              </w:rPr>
              <w:t>0-4</w:t>
            </w:r>
          </w:p>
        </w:tc>
        <w:tc>
          <w:tcPr>
            <w:tcW w:w="1298" w:type="dxa"/>
            <w:tcBorders>
              <w:top w:val="single" w:sz="4" w:space="0" w:color="auto"/>
              <w:left w:val="single" w:sz="4" w:space="0" w:color="auto"/>
              <w:bottom w:val="single" w:sz="4" w:space="0" w:color="auto"/>
              <w:right w:val="single" w:sz="4" w:space="0" w:color="auto"/>
            </w:tcBorders>
          </w:tcPr>
          <w:p w14:paraId="1277F3ED" w14:textId="4748DE91" w:rsidR="00143BFD" w:rsidRDefault="00143BFD" w:rsidP="00143BFD">
            <w:pPr>
              <w:rPr>
                <w:sz w:val="21"/>
                <w:szCs w:val="21"/>
              </w:rPr>
            </w:pPr>
            <w:r>
              <w:rPr>
                <w:sz w:val="21"/>
                <w:szCs w:val="21"/>
              </w:rPr>
              <w:t>$2,000,000</w:t>
            </w:r>
          </w:p>
        </w:tc>
        <w:tc>
          <w:tcPr>
            <w:tcW w:w="1439" w:type="dxa"/>
            <w:tcBorders>
              <w:top w:val="single" w:sz="4" w:space="0" w:color="auto"/>
              <w:left w:val="single" w:sz="4" w:space="0" w:color="auto"/>
              <w:bottom w:val="single" w:sz="4" w:space="0" w:color="auto"/>
              <w:right w:val="single" w:sz="4" w:space="0" w:color="auto"/>
            </w:tcBorders>
          </w:tcPr>
          <w:p w14:paraId="1ED5919C" w14:textId="518F32DF" w:rsidR="00143BFD" w:rsidRDefault="00143BFD" w:rsidP="00143BFD">
            <w:pPr>
              <w:rPr>
                <w:sz w:val="21"/>
                <w:szCs w:val="21"/>
              </w:rPr>
            </w:pPr>
            <w:r>
              <w:rPr>
                <w:sz w:val="21"/>
                <w:szCs w:val="21"/>
              </w:rPr>
              <w:t>$3,000,000</w:t>
            </w:r>
          </w:p>
        </w:tc>
        <w:tc>
          <w:tcPr>
            <w:tcW w:w="1358" w:type="dxa"/>
            <w:tcBorders>
              <w:top w:val="single" w:sz="4" w:space="0" w:color="auto"/>
              <w:left w:val="single" w:sz="4" w:space="0" w:color="auto"/>
              <w:bottom w:val="single" w:sz="4" w:space="0" w:color="auto"/>
              <w:right w:val="single" w:sz="4" w:space="0" w:color="auto"/>
            </w:tcBorders>
          </w:tcPr>
          <w:p w14:paraId="023FBE3B" w14:textId="7D9F78D0" w:rsidR="00143BFD" w:rsidRDefault="00143BFD" w:rsidP="00143BFD">
            <w:pPr>
              <w:rPr>
                <w:sz w:val="21"/>
                <w:szCs w:val="21"/>
              </w:rPr>
            </w:pPr>
            <w:r>
              <w:rPr>
                <w:sz w:val="21"/>
                <w:szCs w:val="21"/>
              </w:rPr>
              <w:t>$6,000,000</w:t>
            </w:r>
          </w:p>
        </w:tc>
        <w:tc>
          <w:tcPr>
            <w:tcW w:w="1343" w:type="dxa"/>
            <w:tcBorders>
              <w:top w:val="single" w:sz="4" w:space="0" w:color="auto"/>
              <w:left w:val="single" w:sz="4" w:space="0" w:color="auto"/>
              <w:bottom w:val="single" w:sz="4" w:space="0" w:color="auto"/>
              <w:right w:val="single" w:sz="4" w:space="0" w:color="auto"/>
            </w:tcBorders>
          </w:tcPr>
          <w:p w14:paraId="62718585" w14:textId="69EAC1AA" w:rsidR="00143BFD" w:rsidRDefault="00143BFD" w:rsidP="00143BFD">
            <w:pPr>
              <w:rPr>
                <w:sz w:val="21"/>
                <w:szCs w:val="21"/>
              </w:rPr>
            </w:pPr>
            <w:r>
              <w:rPr>
                <w:sz w:val="21"/>
                <w:szCs w:val="21"/>
              </w:rPr>
              <w:t>24</w:t>
            </w:r>
          </w:p>
        </w:tc>
      </w:tr>
    </w:tbl>
    <w:p w14:paraId="2D79B734" w14:textId="77777777" w:rsidR="00912250" w:rsidRDefault="00912250" w:rsidP="00AC4722">
      <w:pPr>
        <w:ind w:left="1440"/>
        <w:rPr>
          <w:color w:val="000000" w:themeColor="text1"/>
        </w:rPr>
      </w:pPr>
    </w:p>
    <w:p w14:paraId="7E6CFA7B" w14:textId="77777777" w:rsidR="00153549" w:rsidRDefault="00153549" w:rsidP="007A26FB">
      <w:pPr>
        <w:ind w:left="1440"/>
      </w:pPr>
    </w:p>
    <w:p w14:paraId="48310A0B" w14:textId="3DF00373" w:rsidR="00AC4722" w:rsidRDefault="004E672B" w:rsidP="007A26FB">
      <w:pPr>
        <w:ind w:left="1440"/>
      </w:pPr>
      <w:r>
        <w:t xml:space="preserve">EERE may establish more than one budget period for each award and fund only the initial budget period(s). Funding for all budget periods, including the initial budget period, is not guaranteed. </w:t>
      </w:r>
    </w:p>
    <w:p w14:paraId="1C5B3339" w14:textId="77777777" w:rsidR="00AC4722" w:rsidRDefault="00AC4722" w:rsidP="00AC4722"/>
    <w:p w14:paraId="71C8D969" w14:textId="3BAA62D1" w:rsidR="00AC4722" w:rsidRDefault="004E672B" w:rsidP="00AC77FA">
      <w:pPr>
        <w:pStyle w:val="FOAHeading3"/>
        <w:numPr>
          <w:ilvl w:val="0"/>
          <w:numId w:val="54"/>
        </w:numPr>
        <w:ind w:left="1440"/>
        <w:outlineLvl w:val="2"/>
      </w:pPr>
      <w:bookmarkStart w:id="68" w:name="_Toc519602310"/>
      <w:bookmarkStart w:id="69" w:name="_Toc176864415"/>
      <w:r>
        <w:t>Period of Performance</w:t>
      </w:r>
      <w:bookmarkEnd w:id="68"/>
      <w:bookmarkEnd w:id="69"/>
    </w:p>
    <w:p w14:paraId="41498AD4" w14:textId="6638B1BB" w:rsidR="00AC4722" w:rsidRDefault="004E672B" w:rsidP="00AC4722">
      <w:pPr>
        <w:ind w:left="1440"/>
      </w:pPr>
      <w:r>
        <w:t xml:space="preserve">EERE anticipates making </w:t>
      </w:r>
      <w:r w:rsidR="006B34F7">
        <w:t xml:space="preserve">Phase 1 </w:t>
      </w:r>
      <w:r>
        <w:t>awards that will run</w:t>
      </w:r>
      <w:r w:rsidR="0060384B">
        <w:t xml:space="preserve"> from </w:t>
      </w:r>
      <w:r w:rsidR="00A76A63">
        <w:t xml:space="preserve">twelve </w:t>
      </w:r>
      <w:r w:rsidR="006075AF">
        <w:t>(12)</w:t>
      </w:r>
      <w:r w:rsidR="00A76A63">
        <w:t xml:space="preserve"> </w:t>
      </w:r>
      <w:r>
        <w:t xml:space="preserve">up </w:t>
      </w:r>
      <w:r w:rsidRPr="009A097E">
        <w:t>to</w:t>
      </w:r>
      <w:r w:rsidR="00550376">
        <w:t xml:space="preserve"> twenty-four</w:t>
      </w:r>
      <w:r w:rsidRPr="009A097E">
        <w:t xml:space="preserve"> </w:t>
      </w:r>
      <w:r w:rsidR="006075AF">
        <w:t>(24)</w:t>
      </w:r>
      <w:r w:rsidRPr="009A097E">
        <w:t xml:space="preserve"> </w:t>
      </w:r>
      <w:r w:rsidR="00550376" w:rsidRPr="008B0D95">
        <w:rPr>
          <w:rStyle w:val="Style1"/>
        </w:rPr>
        <w:t>months</w:t>
      </w:r>
      <w:r>
        <w:t xml:space="preserve">, comprised of one or more budget periods. Project continuation </w:t>
      </w:r>
      <w:r w:rsidR="00DA29CA">
        <w:t xml:space="preserve">into Phase 2 </w:t>
      </w:r>
      <w:r>
        <w:t xml:space="preserve">will be contingent </w:t>
      </w:r>
      <w:r w:rsidR="001E08A5">
        <w:t>upon</w:t>
      </w:r>
      <w:r w:rsidR="001225BD" w:rsidRPr="001225BD">
        <w:t xml:space="preserve"> </w:t>
      </w:r>
      <w:r w:rsidR="001225BD">
        <w:t>several elements, including</w:t>
      </w:r>
      <w:r w:rsidR="001E08A5">
        <w:t xml:space="preserve"> </w:t>
      </w:r>
      <w:r w:rsidR="00DA29CA">
        <w:t>future appropriations</w:t>
      </w:r>
      <w:r w:rsidR="00DF1C7D">
        <w:t xml:space="preserve"> and availability of funds</w:t>
      </w:r>
      <w:r w:rsidR="00DA29CA">
        <w:t xml:space="preserve">, </w:t>
      </w:r>
      <w:r>
        <w:t xml:space="preserve">satisfactory performance and Go/No-Go decision. For a complete list, see </w:t>
      </w:r>
      <w:r w:rsidRPr="008B0D95">
        <w:t>Section VI.B.xv.</w:t>
      </w:r>
      <w:r w:rsidR="00265DAA">
        <w:t xml:space="preserve"> </w:t>
      </w:r>
    </w:p>
    <w:p w14:paraId="7944285B" w14:textId="77777777" w:rsidR="00AC4722" w:rsidRDefault="00AC4722" w:rsidP="00AC4722">
      <w:pPr>
        <w:ind w:left="1440"/>
      </w:pPr>
    </w:p>
    <w:p w14:paraId="46CD171B" w14:textId="0E101339" w:rsidR="00AC4722" w:rsidRDefault="004E672B" w:rsidP="00AC77FA">
      <w:pPr>
        <w:pStyle w:val="FOAHeading3"/>
        <w:numPr>
          <w:ilvl w:val="0"/>
          <w:numId w:val="54"/>
        </w:numPr>
        <w:ind w:left="1440"/>
        <w:outlineLvl w:val="2"/>
      </w:pPr>
      <w:bookmarkStart w:id="70" w:name="_Toc519602311"/>
      <w:bookmarkStart w:id="71" w:name="_Toc176864416"/>
      <w:r>
        <w:t>New Applications Only</w:t>
      </w:r>
      <w:bookmarkEnd w:id="70"/>
      <w:bookmarkEnd w:id="71"/>
    </w:p>
    <w:p w14:paraId="44FC3DF3" w14:textId="77777777" w:rsidR="00AC4722" w:rsidRDefault="004E672B" w:rsidP="00AC4722">
      <w:pPr>
        <w:ind w:left="1440"/>
      </w:pPr>
      <w:r>
        <w:t>EERE will accept only new applications under this FOA. EERE will not consider applications for renewals of existing EERE-funded awards through this FOA.</w:t>
      </w:r>
    </w:p>
    <w:p w14:paraId="1BE176A3" w14:textId="77777777" w:rsidR="00AC4722" w:rsidRDefault="00AC4722" w:rsidP="00AC4722">
      <w:pPr>
        <w:ind w:left="1440"/>
      </w:pPr>
    </w:p>
    <w:p w14:paraId="3390F926" w14:textId="127CA4F3" w:rsidR="00AC4722" w:rsidRDefault="004E672B" w:rsidP="001612A1">
      <w:pPr>
        <w:pStyle w:val="FOAHeading2"/>
      </w:pPr>
      <w:bookmarkStart w:id="72" w:name="_Toc519602312"/>
      <w:bookmarkStart w:id="73" w:name="_Toc519602228"/>
      <w:bookmarkStart w:id="74" w:name="_Toc517798896"/>
      <w:bookmarkStart w:id="75" w:name="_Toc176864417"/>
      <w:r>
        <w:t>EERE Funding Agreements</w:t>
      </w:r>
      <w:bookmarkEnd w:id="72"/>
      <w:bookmarkEnd w:id="73"/>
      <w:bookmarkEnd w:id="74"/>
      <w:bookmarkEnd w:id="75"/>
    </w:p>
    <w:p w14:paraId="5BB2E78B" w14:textId="0A03D541" w:rsidR="00AC4722" w:rsidRDefault="004E672B" w:rsidP="00A7237E">
      <w:pPr>
        <w:ind w:left="1080"/>
      </w:pPr>
      <w:r>
        <w:t xml:space="preserve">Through cooperative agreements and other similar agreements, EERE provides financial and other support to projects that have the potential to realize the FOA objectives. EERE does not use such agreements to acquire property or services for the direct benefit or use of the </w:t>
      </w:r>
      <w:r w:rsidR="00B159B5">
        <w:t xml:space="preserve">U. S. </w:t>
      </w:r>
      <w:r w:rsidR="00D70512">
        <w:t>g</w:t>
      </w:r>
      <w:r>
        <w:t>overnment.</w:t>
      </w:r>
    </w:p>
    <w:p w14:paraId="796996EF" w14:textId="12F8DB7C" w:rsidR="00AC4722" w:rsidRDefault="00AC4722" w:rsidP="00AC4722"/>
    <w:p w14:paraId="62D04E0D" w14:textId="169BC0A6" w:rsidR="00AC4722" w:rsidRDefault="004E672B" w:rsidP="00AC77FA">
      <w:pPr>
        <w:pStyle w:val="FOAHeading3"/>
        <w:numPr>
          <w:ilvl w:val="0"/>
          <w:numId w:val="55"/>
        </w:numPr>
        <w:ind w:left="1440"/>
        <w:outlineLvl w:val="2"/>
      </w:pPr>
      <w:bookmarkStart w:id="76" w:name="_Toc427134132"/>
      <w:bookmarkStart w:id="77" w:name="_Toc517798897"/>
      <w:bookmarkStart w:id="78" w:name="_Toc519602313"/>
      <w:bookmarkStart w:id="79" w:name="_Toc176864418"/>
      <w:r>
        <w:t>Cooperative Agreements</w:t>
      </w:r>
      <w:bookmarkEnd w:id="76"/>
      <w:bookmarkEnd w:id="77"/>
      <w:bookmarkEnd w:id="78"/>
      <w:bookmarkEnd w:id="79"/>
    </w:p>
    <w:p w14:paraId="6F56F04D" w14:textId="77777777" w:rsidR="004E2150" w:rsidRDefault="004E672B" w:rsidP="004E2150">
      <w:pPr>
        <w:ind w:left="1440"/>
      </w:pPr>
      <w:r>
        <w:t>EERE generally uses cooperative agreements to provide financial and other support to prime recipients.</w:t>
      </w:r>
    </w:p>
    <w:p w14:paraId="754DA365" w14:textId="77777777" w:rsidR="004E2150" w:rsidRDefault="004E2150" w:rsidP="004E2150">
      <w:pPr>
        <w:ind w:left="1440"/>
      </w:pPr>
    </w:p>
    <w:p w14:paraId="3E824969" w14:textId="77777777" w:rsidR="004E2150" w:rsidRDefault="004E672B" w:rsidP="004E2150">
      <w:pPr>
        <w:ind w:left="1440"/>
      </w:pPr>
      <w:r>
        <w:t>Through cooperative agreements, EERE provides financial or other support to accomplish a public purpose of support or stimulation authorized by federal statute. Under cooperative agreements, the government and prime recipients share responsibility for the direction of projects.</w:t>
      </w:r>
    </w:p>
    <w:p w14:paraId="27471464" w14:textId="77777777" w:rsidR="004E2150" w:rsidRDefault="004E2150" w:rsidP="004E2150">
      <w:pPr>
        <w:ind w:left="1440"/>
      </w:pPr>
    </w:p>
    <w:p w14:paraId="0C9D5F39" w14:textId="28B3DC30" w:rsidR="00AC4722" w:rsidRDefault="004E672B" w:rsidP="004E2150">
      <w:pPr>
        <w:ind w:left="1440"/>
      </w:pPr>
      <w:r>
        <w:lastRenderedPageBreak/>
        <w:t xml:space="preserve">EERE has substantial involvement in all projects funded via cooperative agreement. See </w:t>
      </w:r>
      <w:r w:rsidRPr="008B0D95">
        <w:t>Section VI.B.</w:t>
      </w:r>
      <w:r w:rsidR="00E54A25" w:rsidRPr="008B0D95">
        <w:t>x.</w:t>
      </w:r>
      <w:r>
        <w:t xml:space="preserve"> of the FOA for more information on what substantial involvement may involve.</w:t>
      </w:r>
    </w:p>
    <w:p w14:paraId="0C5AD425" w14:textId="77777777" w:rsidR="00AC4722" w:rsidRDefault="00AC4722" w:rsidP="00EE3DC7">
      <w:pPr>
        <w:ind w:left="360"/>
      </w:pPr>
    </w:p>
    <w:p w14:paraId="13893908" w14:textId="0BA47804" w:rsidR="00AC4722" w:rsidRDefault="004E672B" w:rsidP="00AC77FA">
      <w:pPr>
        <w:pStyle w:val="FOAHeading3"/>
        <w:numPr>
          <w:ilvl w:val="0"/>
          <w:numId w:val="55"/>
        </w:numPr>
        <w:ind w:left="1440"/>
        <w:outlineLvl w:val="2"/>
      </w:pPr>
      <w:bookmarkStart w:id="80" w:name="_Toc519602314"/>
      <w:bookmarkStart w:id="81" w:name="_Toc517798898"/>
      <w:bookmarkStart w:id="82" w:name="_Toc176864419"/>
      <w:r>
        <w:t>Funding Agreements with Federally Funded Research and Development Center (FFRDCs</w:t>
      </w:r>
      <w:bookmarkEnd w:id="80"/>
      <w:bookmarkEnd w:id="81"/>
      <w:r>
        <w:t>)</w:t>
      </w:r>
      <w:r w:rsidR="00E54A25" w:rsidRPr="006A7D0B">
        <w:rPr>
          <w:rStyle w:val="FootnoteReference"/>
        </w:rPr>
        <w:footnoteReference w:id="43"/>
      </w:r>
      <w:bookmarkEnd w:id="82"/>
      <w:r>
        <w:t xml:space="preserve"> </w:t>
      </w:r>
    </w:p>
    <w:p w14:paraId="3D4170D9" w14:textId="2FF9D45F" w:rsidR="00AC4722" w:rsidRPr="007E76CA" w:rsidRDefault="004E672B" w:rsidP="008A5BB2">
      <w:pPr>
        <w:ind w:left="1440"/>
      </w:pPr>
      <w:r>
        <w:t>In most cases, FFRDCs are funded indepen</w:t>
      </w:r>
      <w:r w:rsidR="00591983">
        <w:t>dently of the remainder of the project t</w:t>
      </w:r>
      <w:r>
        <w:t>eam. The FFRDC then executes a</w:t>
      </w:r>
      <w:r w:rsidR="00591983">
        <w:t>n agreement with any non-FFRDC p</w:t>
      </w:r>
      <w:r>
        <w:t xml:space="preserve">roject </w:t>
      </w:r>
      <w:r w:rsidR="00591983">
        <w:t>t</w:t>
      </w:r>
      <w:r>
        <w:t>eam members to arrange work structure, project execution, and any other matters. Regardless of these arrangements, the entity that applied as the prime recipient for the project will remain the prime recipient for the project.</w:t>
      </w:r>
      <w:r w:rsidR="00B159B5" w:rsidRPr="00B159B5">
        <w:t xml:space="preserve"> </w:t>
      </w:r>
      <w:r w:rsidR="00B159B5">
        <w:t xml:space="preserve">See </w:t>
      </w:r>
      <w:r w:rsidR="00B159B5" w:rsidRPr="008B0D95">
        <w:t>Section III.E.</w:t>
      </w:r>
    </w:p>
    <w:p w14:paraId="74C2DD4D" w14:textId="7EDF5F32" w:rsidR="006A24B8" w:rsidRPr="008858B4" w:rsidRDefault="006A24B8" w:rsidP="008858B4"/>
    <w:p w14:paraId="72B0CBD4" w14:textId="1B72A518" w:rsidR="006A24B8" w:rsidRPr="00126FBB" w:rsidRDefault="00B159B5" w:rsidP="00B159B5">
      <w:pPr>
        <w:pStyle w:val="FOAHeading1"/>
      </w:pPr>
      <w:bookmarkStart w:id="83" w:name="_Toc140060916"/>
      <w:bookmarkStart w:id="84" w:name="_Toc176864420"/>
      <w:r w:rsidRPr="00126FBB">
        <w:t>Eligibility Information</w:t>
      </w:r>
      <w:bookmarkEnd w:id="83"/>
      <w:bookmarkEnd w:id="84"/>
    </w:p>
    <w:p w14:paraId="038883C6" w14:textId="1EC67518" w:rsidR="006A24B8" w:rsidRPr="009061D6" w:rsidRDefault="004E672B" w:rsidP="00A7237E">
      <w:pPr>
        <w:pStyle w:val="FOATemplateBody"/>
        <w:ind w:left="1080"/>
        <w:rPr>
          <w:rFonts w:asciiTheme="minorHAnsi" w:hAnsiTheme="minorHAnsi"/>
        </w:rPr>
      </w:pPr>
      <w:r w:rsidRPr="009061D6">
        <w:rPr>
          <w:rFonts w:asciiTheme="minorHAnsi" w:hAnsiTheme="minorHAnsi"/>
        </w:rPr>
        <w:t>To be considered for substantive evaluation, an applicant</w:t>
      </w:r>
      <w:r w:rsidR="00B159B5">
        <w:rPr>
          <w:rFonts w:asciiTheme="minorHAnsi" w:hAnsiTheme="minorHAnsi"/>
        </w:rPr>
        <w:t>’</w:t>
      </w:r>
      <w:r w:rsidRPr="009061D6">
        <w:rPr>
          <w:rFonts w:asciiTheme="minorHAnsi" w:hAnsiTheme="minorHAnsi"/>
        </w:rPr>
        <w:t xml:space="preserve">s submission must meet the criteria set forth below. If the application does not meet these </w:t>
      </w:r>
      <w:r w:rsidR="003466A8" w:rsidRPr="009061D6">
        <w:rPr>
          <w:rFonts w:asciiTheme="minorHAnsi" w:hAnsiTheme="minorHAnsi"/>
        </w:rPr>
        <w:t xml:space="preserve">eligibility </w:t>
      </w:r>
      <w:r w:rsidRPr="009061D6">
        <w:rPr>
          <w:rFonts w:asciiTheme="minorHAnsi" w:hAnsiTheme="minorHAnsi"/>
        </w:rPr>
        <w:t xml:space="preserve">requirements, it will be considered </w:t>
      </w:r>
      <w:r w:rsidR="003466A8" w:rsidRPr="009061D6">
        <w:rPr>
          <w:rFonts w:asciiTheme="minorHAnsi" w:hAnsiTheme="minorHAnsi"/>
        </w:rPr>
        <w:t>ineligible and</w:t>
      </w:r>
      <w:r w:rsidRPr="009061D6">
        <w:rPr>
          <w:rFonts w:asciiTheme="minorHAnsi" w:hAnsiTheme="minorHAnsi"/>
        </w:rPr>
        <w:t xml:space="preserve"> removed from further evaluation.</w:t>
      </w:r>
      <w:r w:rsidR="001A3502">
        <w:rPr>
          <w:rFonts w:asciiTheme="minorHAnsi" w:hAnsiTheme="minorHAnsi"/>
        </w:rPr>
        <w:t xml:space="preserve"> </w:t>
      </w:r>
    </w:p>
    <w:p w14:paraId="2733EADE" w14:textId="77777777" w:rsidR="006A24B8" w:rsidRDefault="006A24B8" w:rsidP="008858B4">
      <w:pPr>
        <w:pStyle w:val="FOATemplateBody"/>
        <w:rPr>
          <w:rFonts w:asciiTheme="minorHAnsi" w:hAnsiTheme="minorHAnsi"/>
        </w:rPr>
      </w:pPr>
    </w:p>
    <w:p w14:paraId="0DC6195F" w14:textId="6D043A81" w:rsidR="006A24B8" w:rsidRPr="007A3912" w:rsidRDefault="004E672B" w:rsidP="001612A1">
      <w:pPr>
        <w:pStyle w:val="FOAHeading2"/>
      </w:pPr>
      <w:bookmarkStart w:id="85" w:name="_Toc517191916"/>
      <w:bookmarkStart w:id="86" w:name="_Toc517350964"/>
      <w:bookmarkStart w:id="87" w:name="_Toc517771544"/>
      <w:bookmarkStart w:id="88" w:name="_Toc517797763"/>
      <w:bookmarkStart w:id="89" w:name="_Toc517797843"/>
      <w:bookmarkStart w:id="90" w:name="_Toc517797921"/>
      <w:bookmarkStart w:id="91" w:name="_Toc517798036"/>
      <w:bookmarkStart w:id="92" w:name="_Toc517798261"/>
      <w:bookmarkStart w:id="93" w:name="_Toc517798337"/>
      <w:bookmarkStart w:id="94" w:name="_Toc517798902"/>
      <w:bookmarkStart w:id="95" w:name="_Toc517799152"/>
      <w:bookmarkStart w:id="96" w:name="_Toc519602158"/>
      <w:bookmarkStart w:id="97" w:name="_Toc519602230"/>
      <w:bookmarkStart w:id="98" w:name="_Toc519602318"/>
      <w:bookmarkStart w:id="99" w:name="_Toc519602484"/>
      <w:bookmarkStart w:id="100" w:name="_Toc520382593"/>
      <w:bookmarkStart w:id="101" w:name="_Toc520455591"/>
      <w:bookmarkStart w:id="102" w:name="_Toc520455761"/>
      <w:bookmarkStart w:id="103" w:name="Section_III_A"/>
      <w:bookmarkStart w:id="104" w:name="_Toc517798903"/>
      <w:bookmarkStart w:id="105" w:name="_Toc519602231"/>
      <w:bookmarkStart w:id="106" w:name="_Toc519602319"/>
      <w:bookmarkStart w:id="107" w:name="_Toc17686442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7A3912">
        <w:t>Eligible Applicants</w:t>
      </w:r>
      <w:bookmarkEnd w:id="104"/>
      <w:bookmarkEnd w:id="105"/>
      <w:bookmarkEnd w:id="106"/>
      <w:bookmarkEnd w:id="107"/>
      <w:r w:rsidR="00853350" w:rsidRPr="003632ED">
        <w:rPr>
          <w:sz w:val="28"/>
          <w:szCs w:val="28"/>
        </w:rPr>
        <w:br/>
      </w:r>
    </w:p>
    <w:p w14:paraId="0B76A692" w14:textId="77777777" w:rsidR="00CE6A8D" w:rsidRPr="003373EC" w:rsidRDefault="00CE6A8D" w:rsidP="00CE6A8D">
      <w:pPr>
        <w:pStyle w:val="FOAHeading3"/>
        <w:numPr>
          <w:ilvl w:val="0"/>
          <w:numId w:val="35"/>
        </w:numPr>
        <w:ind w:left="1440"/>
        <w:outlineLvl w:val="2"/>
      </w:pPr>
      <w:bookmarkStart w:id="108" w:name="_Toc114213555"/>
      <w:bookmarkStart w:id="109" w:name="_Toc140060918"/>
      <w:bookmarkStart w:id="110" w:name="_Toc519602320"/>
      <w:bookmarkStart w:id="111" w:name="_Toc176864422"/>
      <w:r>
        <w:t>Domestic Entities</w:t>
      </w:r>
      <w:bookmarkEnd w:id="108"/>
      <w:bookmarkEnd w:id="109"/>
      <w:bookmarkEnd w:id="111"/>
    </w:p>
    <w:p w14:paraId="61E0DE78" w14:textId="77777777" w:rsidR="00CE6A8D" w:rsidRDefault="00CE6A8D" w:rsidP="00CE6A8D">
      <w:pPr>
        <w:ind w:left="1440"/>
        <w:rPr>
          <w:rFonts w:eastAsia="Segoe UI" w:cs="Segoe UI"/>
        </w:rPr>
      </w:pPr>
      <w:r>
        <w:rPr>
          <w:color w:val="000000" w:themeColor="text1"/>
        </w:rPr>
        <w:t xml:space="preserve">The proposed prime recipient and subrecipient(s) must be domestic entities. </w:t>
      </w:r>
      <w:r w:rsidRPr="00A34895">
        <w:rPr>
          <w:rFonts w:eastAsia="Segoe UI" w:cs="Segoe UI"/>
        </w:rPr>
        <w:t>The following types of domestic entities are eligible to participate as a prime recipient or subrecipient of this FOA:</w:t>
      </w:r>
    </w:p>
    <w:p w14:paraId="0AC37A9D" w14:textId="77777777" w:rsidR="00CE6A8D" w:rsidRPr="00A34895" w:rsidRDefault="00CE6A8D" w:rsidP="00CE6A8D">
      <w:pPr>
        <w:ind w:left="1440"/>
        <w:rPr>
          <w:rFonts w:eastAsia="Segoe UI" w:cs="Segoe UI"/>
        </w:rPr>
      </w:pPr>
    </w:p>
    <w:p w14:paraId="0843846C" w14:textId="77777777" w:rsidR="00CE6A8D" w:rsidRPr="00A34895" w:rsidRDefault="00CE6A8D" w:rsidP="00CE6A8D">
      <w:pPr>
        <w:numPr>
          <w:ilvl w:val="0"/>
          <w:numId w:val="109"/>
        </w:numPr>
        <w:contextualSpacing/>
        <w:rPr>
          <w:rFonts w:eastAsia="Segoe UI" w:cs="Segoe UI"/>
        </w:rPr>
      </w:pPr>
      <w:r w:rsidRPr="00A34895">
        <w:rPr>
          <w:rFonts w:eastAsia="Segoe UI" w:cs="Segoe UI"/>
        </w:rPr>
        <w:t xml:space="preserve">Institutions of higher education; </w:t>
      </w:r>
    </w:p>
    <w:p w14:paraId="213BDD3B" w14:textId="77777777" w:rsidR="00CE6A8D" w:rsidRPr="00A34895" w:rsidRDefault="00CE6A8D" w:rsidP="00CE6A8D">
      <w:pPr>
        <w:numPr>
          <w:ilvl w:val="0"/>
          <w:numId w:val="109"/>
        </w:numPr>
        <w:contextualSpacing/>
        <w:rPr>
          <w:rFonts w:eastAsia="Segoe UI" w:cs="Segoe UI"/>
        </w:rPr>
      </w:pPr>
      <w:r w:rsidRPr="00A34895">
        <w:rPr>
          <w:rFonts w:eastAsia="Segoe UI" w:cs="Segoe UI"/>
        </w:rPr>
        <w:t>For-profit entities;</w:t>
      </w:r>
    </w:p>
    <w:p w14:paraId="10A2EA8A" w14:textId="77777777" w:rsidR="00CE6A8D" w:rsidRPr="00A34895" w:rsidRDefault="00CE6A8D" w:rsidP="00CE6A8D">
      <w:pPr>
        <w:numPr>
          <w:ilvl w:val="0"/>
          <w:numId w:val="109"/>
        </w:numPr>
        <w:contextualSpacing/>
        <w:rPr>
          <w:rFonts w:eastAsia="Segoe UI" w:cs="Segoe UI"/>
        </w:rPr>
      </w:pPr>
      <w:r w:rsidRPr="05E8A4DB">
        <w:rPr>
          <w:rFonts w:eastAsia="Segoe UI" w:cs="Segoe UI"/>
        </w:rPr>
        <w:t>Nonprofit entities; and</w:t>
      </w:r>
    </w:p>
    <w:p w14:paraId="059325E5" w14:textId="77777777" w:rsidR="00DF4767" w:rsidRDefault="00D575D9" w:rsidP="00D575D9">
      <w:pPr>
        <w:numPr>
          <w:ilvl w:val="0"/>
          <w:numId w:val="109"/>
        </w:numPr>
        <w:contextualSpacing/>
        <w:rPr>
          <w:rFonts w:eastAsia="Segoe UI" w:cs="Segoe UI"/>
        </w:rPr>
      </w:pPr>
      <w:r w:rsidRPr="00A34895">
        <w:rPr>
          <w:rFonts w:eastAsia="Segoe UI" w:cs="Segoe UI"/>
        </w:rPr>
        <w:t xml:space="preserve">State </w:t>
      </w:r>
      <w:r>
        <w:rPr>
          <w:rFonts w:eastAsia="Segoe UI" w:cs="Segoe UI"/>
        </w:rPr>
        <w:t xml:space="preserve">and </w:t>
      </w:r>
      <w:r w:rsidRPr="00A34895">
        <w:rPr>
          <w:rFonts w:eastAsia="Segoe UI" w:cs="Segoe UI"/>
        </w:rPr>
        <w:t>local</w:t>
      </w:r>
      <w:r>
        <w:rPr>
          <w:rFonts w:eastAsia="Segoe UI" w:cs="Segoe UI"/>
        </w:rPr>
        <w:t xml:space="preserve"> governmental entities</w:t>
      </w:r>
      <w:r w:rsidR="00DF4767">
        <w:rPr>
          <w:rFonts w:eastAsia="Segoe UI" w:cs="Segoe UI"/>
        </w:rPr>
        <w:t>;</w:t>
      </w:r>
    </w:p>
    <w:p w14:paraId="3BEDC60D" w14:textId="1389364B" w:rsidR="00D575D9" w:rsidRPr="00A34895" w:rsidRDefault="00DF4767" w:rsidP="00D575D9">
      <w:pPr>
        <w:numPr>
          <w:ilvl w:val="0"/>
          <w:numId w:val="109"/>
        </w:numPr>
        <w:contextualSpacing/>
        <w:rPr>
          <w:rFonts w:eastAsia="Segoe UI" w:cs="Segoe UI"/>
        </w:rPr>
      </w:pPr>
      <w:r>
        <w:rPr>
          <w:rFonts w:eastAsia="Segoe UI" w:cs="Segoe UI"/>
        </w:rPr>
        <w:t>Indian T</w:t>
      </w:r>
      <w:r w:rsidRPr="00A34895">
        <w:rPr>
          <w:rFonts w:eastAsia="Segoe UI" w:cs="Segoe UI"/>
        </w:rPr>
        <w:t>rib</w:t>
      </w:r>
      <w:r>
        <w:rPr>
          <w:rFonts w:eastAsia="Segoe UI" w:cs="Segoe UI"/>
        </w:rPr>
        <w:t xml:space="preserve">es, </w:t>
      </w:r>
      <w:r w:rsidRPr="00665007">
        <w:rPr>
          <w:rFonts w:eastAsia="Segoe UI" w:cs="Segoe UI"/>
        </w:rPr>
        <w:t>as defined in section 4 of the Indian Self-Determination and Education Assistance Act, 25 U.S.C. § 5304</w:t>
      </w:r>
      <w:r>
        <w:rPr>
          <w:rFonts w:eastAsia="Segoe UI" w:cs="Segoe UI"/>
        </w:rPr>
        <w:t>.</w:t>
      </w:r>
    </w:p>
    <w:p w14:paraId="2BD3A762" w14:textId="77777777" w:rsidR="00D575D9" w:rsidRPr="00A34895" w:rsidRDefault="00D575D9" w:rsidP="00D575D9">
      <w:pPr>
        <w:ind w:left="1440"/>
        <w:rPr>
          <w:rFonts w:eastAsia="Segoe UI" w:cs="Segoe UI"/>
        </w:rPr>
      </w:pPr>
    </w:p>
    <w:p w14:paraId="71C91917" w14:textId="77777777" w:rsidR="00D575D9" w:rsidRPr="00A34895" w:rsidRDefault="00D575D9" w:rsidP="00D575D9">
      <w:pPr>
        <w:ind w:left="1440"/>
        <w:rPr>
          <w:rFonts w:eastAsia="Segoe UI" w:cs="Segoe UI"/>
        </w:rPr>
      </w:pPr>
      <w:r w:rsidRPr="00A34895">
        <w:rPr>
          <w:rFonts w:eastAsia="Segoe UI" w:cs="Segoe UI"/>
        </w:rPr>
        <w:t xml:space="preserve">To qualify as a domestic entity, </w:t>
      </w:r>
      <w:r>
        <w:rPr>
          <w:rFonts w:eastAsia="Segoe UI" w:cs="Segoe UI"/>
        </w:rPr>
        <w:t xml:space="preserve">the entity must be </w:t>
      </w:r>
      <w:r>
        <w:rPr>
          <w:color w:val="000000" w:themeColor="text1"/>
        </w:rPr>
        <w:t xml:space="preserve">organized, chartered, or </w:t>
      </w:r>
      <w:r w:rsidRPr="00133B3C">
        <w:rPr>
          <w:color w:val="000000" w:themeColor="text1"/>
        </w:rPr>
        <w:t xml:space="preserve">incorporated (or otherwise formed) under the laws of a particular </w:t>
      </w:r>
      <w:r>
        <w:rPr>
          <w:color w:val="000000" w:themeColor="text1"/>
        </w:rPr>
        <w:t>s</w:t>
      </w:r>
      <w:r w:rsidRPr="00133B3C">
        <w:rPr>
          <w:color w:val="000000" w:themeColor="text1"/>
        </w:rPr>
        <w:t>tate or territory of the United States</w:t>
      </w:r>
      <w:r>
        <w:rPr>
          <w:rFonts w:eastAsia="Segoe UI" w:cs="Segoe UI"/>
        </w:rPr>
        <w:t xml:space="preserve">; have </w:t>
      </w:r>
      <w:r w:rsidRPr="00A34895">
        <w:rPr>
          <w:rFonts w:eastAsia="Segoe UI" w:cs="Segoe UI"/>
        </w:rPr>
        <w:t xml:space="preserve">majority domestic ownership </w:t>
      </w:r>
      <w:r>
        <w:rPr>
          <w:rFonts w:eastAsia="Segoe UI" w:cs="Segoe UI"/>
        </w:rPr>
        <w:t>and</w:t>
      </w:r>
      <w:r w:rsidRPr="00A34895">
        <w:rPr>
          <w:rFonts w:eastAsia="Segoe UI" w:cs="Segoe UI"/>
        </w:rPr>
        <w:t xml:space="preserve"> control</w:t>
      </w:r>
      <w:r>
        <w:rPr>
          <w:rFonts w:eastAsia="Segoe UI" w:cs="Segoe UI"/>
        </w:rPr>
        <w:t>;</w:t>
      </w:r>
      <w:r w:rsidRPr="00A34895">
        <w:rPr>
          <w:rFonts w:eastAsia="Segoe UI" w:cs="Segoe UI"/>
        </w:rPr>
        <w:t xml:space="preserve"> and have a physical place of business in the United States.</w:t>
      </w:r>
      <w:r w:rsidRPr="00A34895" w:rsidDel="007709F7">
        <w:rPr>
          <w:rFonts w:eastAsia="Segoe UI" w:cs="Segoe UI"/>
        </w:rPr>
        <w:t xml:space="preserve"> </w:t>
      </w:r>
    </w:p>
    <w:p w14:paraId="4AD473ED" w14:textId="77777777" w:rsidR="00D575D9" w:rsidRPr="00133B3C" w:rsidRDefault="00D575D9" w:rsidP="00D575D9">
      <w:pPr>
        <w:ind w:left="1440"/>
        <w:rPr>
          <w:color w:val="000000" w:themeColor="text1"/>
        </w:rPr>
      </w:pPr>
    </w:p>
    <w:p w14:paraId="116B0FAC" w14:textId="4F9D1C61" w:rsidR="00D575D9" w:rsidRDefault="00D575D9" w:rsidP="00A404F5">
      <w:pPr>
        <w:pStyle w:val="pf0"/>
        <w:ind w:left="1440"/>
        <w:rPr>
          <w:color w:val="000000" w:themeColor="text1"/>
        </w:rPr>
      </w:pPr>
      <w:r w:rsidRPr="008B0D95">
        <w:rPr>
          <w:rFonts w:asciiTheme="minorHAnsi" w:hAnsiTheme="minorHAnsi" w:cstheme="minorHAnsi"/>
          <w:color w:val="000000" w:themeColor="text1"/>
        </w:rPr>
        <w:lastRenderedPageBreak/>
        <w:t>DOE/NNSA FFRDCs are eligible to apply for funding as a</w:t>
      </w:r>
      <w:r w:rsidRPr="008B0D95">
        <w:rPr>
          <w:rFonts w:asciiTheme="minorHAnsi" w:hAnsiTheme="minorHAnsi" w:cstheme="minorHAnsi"/>
          <w:color w:val="0000FF"/>
        </w:rPr>
        <w:t xml:space="preserve"> </w:t>
      </w:r>
      <w:r w:rsidRPr="008B0D95">
        <w:rPr>
          <w:rFonts w:asciiTheme="minorHAnsi" w:hAnsiTheme="minorHAnsi" w:cstheme="minorHAnsi"/>
        </w:rPr>
        <w:t>subrecipient but are not eligible to apply as a prime recipient.</w:t>
      </w:r>
      <w:r w:rsidR="004573B1" w:rsidRPr="008B0D95">
        <w:rPr>
          <w:rFonts w:asciiTheme="minorHAnsi" w:hAnsiTheme="minorHAnsi" w:cstheme="minorHAnsi"/>
        </w:rPr>
        <w:t xml:space="preserve"> </w:t>
      </w:r>
      <w:r w:rsidR="004573B1" w:rsidRPr="008B0D95">
        <w:rPr>
          <w:rStyle w:val="cf01"/>
          <w:rFonts w:asciiTheme="minorHAnsi" w:hAnsiTheme="minorHAnsi" w:cstheme="minorHAnsi"/>
          <w:sz w:val="24"/>
          <w:szCs w:val="24"/>
        </w:rPr>
        <w:t>The FFRDC effort, in aggregate, shall not exceed 50% of the total estimated cost of the project, including the applicant’s and the FFRDC’s portions of the effort.</w:t>
      </w:r>
    </w:p>
    <w:p w14:paraId="5344EE28" w14:textId="77777777" w:rsidR="00D575D9" w:rsidRPr="00133B3C" w:rsidRDefault="00D575D9" w:rsidP="00D575D9">
      <w:pPr>
        <w:ind w:left="1440"/>
        <w:rPr>
          <w:color w:val="000000" w:themeColor="text1"/>
        </w:rPr>
      </w:pPr>
      <w:r w:rsidRPr="00133B3C">
        <w:rPr>
          <w:color w:val="000000" w:themeColor="text1"/>
        </w:rPr>
        <w:t xml:space="preserve">Non-DOE/NNSA FFRDCs are eligible to </w:t>
      </w:r>
      <w:r>
        <w:rPr>
          <w:color w:val="000000" w:themeColor="text1"/>
        </w:rPr>
        <w:t>participate</w:t>
      </w:r>
      <w:r w:rsidRPr="00133B3C">
        <w:rPr>
          <w:color w:val="000000" w:themeColor="text1"/>
        </w:rPr>
        <w:t xml:space="preserve"> as a subrecipient but are not eligible to apply as a prime recipient.</w:t>
      </w:r>
    </w:p>
    <w:p w14:paraId="167168F9" w14:textId="77777777" w:rsidR="00D575D9" w:rsidRPr="00133B3C" w:rsidRDefault="00D575D9" w:rsidP="00D575D9">
      <w:pPr>
        <w:ind w:left="1440"/>
        <w:rPr>
          <w:color w:val="000000" w:themeColor="text1"/>
        </w:rPr>
      </w:pPr>
    </w:p>
    <w:p w14:paraId="17D4D647" w14:textId="77777777" w:rsidR="00D575D9" w:rsidRDefault="00D575D9" w:rsidP="00D575D9">
      <w:pPr>
        <w:ind w:left="1440"/>
        <w:rPr>
          <w:color w:val="000000" w:themeColor="text1"/>
        </w:rPr>
      </w:pPr>
      <w:r w:rsidRPr="00133B3C">
        <w:rPr>
          <w:color w:val="000000" w:themeColor="text1"/>
        </w:rPr>
        <w:t xml:space="preserve">Federal agencies and instrumentalities (other than DOE) are eligible to </w:t>
      </w:r>
      <w:r>
        <w:rPr>
          <w:color w:val="000000" w:themeColor="text1"/>
        </w:rPr>
        <w:t xml:space="preserve">participate </w:t>
      </w:r>
      <w:r w:rsidRPr="00133B3C">
        <w:rPr>
          <w:color w:val="000000" w:themeColor="text1"/>
        </w:rPr>
        <w:t xml:space="preserve">as a </w:t>
      </w:r>
      <w:r w:rsidRPr="00F51A4A">
        <w:rPr>
          <w:color w:val="000000" w:themeColor="text1"/>
        </w:rPr>
        <w:t>subrecipient</w:t>
      </w:r>
      <w:r w:rsidRPr="00133B3C">
        <w:rPr>
          <w:color w:val="000000" w:themeColor="text1"/>
        </w:rPr>
        <w:t xml:space="preserve"> but are not eligible to apply as a prime </w:t>
      </w:r>
      <w:r w:rsidRPr="00F51A4A">
        <w:rPr>
          <w:color w:val="000000" w:themeColor="text1"/>
        </w:rPr>
        <w:t>recipient</w:t>
      </w:r>
      <w:r w:rsidRPr="00133B3C">
        <w:rPr>
          <w:color w:val="000000" w:themeColor="text1"/>
        </w:rPr>
        <w:t xml:space="preserve">. </w:t>
      </w:r>
    </w:p>
    <w:p w14:paraId="5B2D0FA6" w14:textId="77777777" w:rsidR="00D575D9" w:rsidRDefault="00D575D9" w:rsidP="00D575D9">
      <w:pPr>
        <w:ind w:left="1440"/>
        <w:rPr>
          <w:color w:val="000000" w:themeColor="text1"/>
        </w:rPr>
      </w:pPr>
    </w:p>
    <w:p w14:paraId="6ABE336F" w14:textId="77777777" w:rsidR="00D575D9" w:rsidRDefault="00D575D9" w:rsidP="00D575D9">
      <w:pPr>
        <w:ind w:left="1440"/>
      </w:pPr>
      <w:r w:rsidRPr="00045C28">
        <w:t xml:space="preserve">Entities banned from doing business with the </w:t>
      </w:r>
      <w:r>
        <w:t>U.S.</w:t>
      </w:r>
      <w:r w:rsidRPr="00045C28">
        <w:t xml:space="preserve"> government such as entities debarred, suspended, or otherwise excluded from or ineligible for participating in </w:t>
      </w:r>
      <w:r>
        <w:t>federal</w:t>
      </w:r>
      <w:r w:rsidRPr="00045C28">
        <w:t xml:space="preserve"> programs are not eligible.</w:t>
      </w:r>
    </w:p>
    <w:p w14:paraId="1DC82B41" w14:textId="77777777" w:rsidR="00D575D9" w:rsidRPr="00045C28" w:rsidRDefault="00D575D9" w:rsidP="00D575D9">
      <w:pPr>
        <w:ind w:left="1440"/>
      </w:pPr>
    </w:p>
    <w:p w14:paraId="23300EBE" w14:textId="77777777" w:rsidR="00D575D9" w:rsidRPr="00133B3C" w:rsidRDefault="00D575D9" w:rsidP="00D575D9">
      <w:pPr>
        <w:ind w:left="1440"/>
        <w:rPr>
          <w:color w:val="000000" w:themeColor="text1"/>
        </w:rPr>
      </w:pPr>
      <w:r w:rsidRPr="00133B3C">
        <w:rPr>
          <w:color w:val="000000" w:themeColor="text1"/>
        </w:rPr>
        <w:t xml:space="preserve">Nonprofit organizations described in </w:t>
      </w:r>
      <w:r>
        <w:rPr>
          <w:color w:val="000000" w:themeColor="text1"/>
        </w:rPr>
        <w:t>S</w:t>
      </w:r>
      <w:r w:rsidRPr="00133B3C">
        <w:rPr>
          <w:color w:val="000000" w:themeColor="text1"/>
        </w:rPr>
        <w:t>ection 501(c)(4) of the Internal Revenue Code</w:t>
      </w:r>
      <w:r>
        <w:rPr>
          <w:color w:val="000000" w:themeColor="text1"/>
        </w:rPr>
        <w:t xml:space="preserve"> </w:t>
      </w:r>
      <w:r w:rsidRPr="00133B3C">
        <w:rPr>
          <w:color w:val="000000" w:themeColor="text1"/>
        </w:rPr>
        <w:t>of 1986 that engaged in lobbying activities after December 31, 1995</w:t>
      </w:r>
      <w:r>
        <w:rPr>
          <w:color w:val="000000" w:themeColor="text1"/>
        </w:rPr>
        <w:t>,</w:t>
      </w:r>
      <w:r w:rsidRPr="00133B3C">
        <w:rPr>
          <w:color w:val="000000" w:themeColor="text1"/>
        </w:rPr>
        <w:t xml:space="preserve"> are </w:t>
      </w:r>
      <w:r w:rsidRPr="009154E9">
        <w:rPr>
          <w:b/>
          <w:bCs/>
          <w:color w:val="000000" w:themeColor="text1"/>
        </w:rPr>
        <w:t>not</w:t>
      </w:r>
      <w:r w:rsidRPr="00133B3C">
        <w:rPr>
          <w:color w:val="000000" w:themeColor="text1"/>
        </w:rPr>
        <w:t xml:space="preserve"> eligible to apply </w:t>
      </w:r>
      <w:r w:rsidRPr="00070650">
        <w:rPr>
          <w:color w:val="000000" w:themeColor="text1"/>
        </w:rPr>
        <w:t xml:space="preserve">for funding. </w:t>
      </w:r>
    </w:p>
    <w:p w14:paraId="05B2565C" w14:textId="77777777" w:rsidR="00D575D9" w:rsidRPr="00BE6DF6" w:rsidRDefault="00D575D9" w:rsidP="00D575D9">
      <w:pPr>
        <w:ind w:left="1440"/>
        <w:rPr>
          <w:rFonts w:eastAsia="Calibri," w:cs="Calibri,"/>
        </w:rPr>
      </w:pPr>
    </w:p>
    <w:p w14:paraId="25A7B7E7" w14:textId="77777777" w:rsidR="00D575D9" w:rsidRPr="0022038E" w:rsidRDefault="00D575D9" w:rsidP="00D575D9">
      <w:pPr>
        <w:pStyle w:val="FOAHeading3"/>
        <w:ind w:left="1440"/>
        <w:outlineLvl w:val="2"/>
      </w:pPr>
      <w:bookmarkStart w:id="112" w:name="_Toc114213556"/>
      <w:bookmarkStart w:id="113" w:name="_Toc140060919"/>
      <w:bookmarkStart w:id="114" w:name="_Toc176864423"/>
      <w:r>
        <w:t>Foreign Entities</w:t>
      </w:r>
      <w:bookmarkEnd w:id="112"/>
      <w:bookmarkEnd w:id="113"/>
      <w:bookmarkEnd w:id="114"/>
    </w:p>
    <w:p w14:paraId="2E46E067" w14:textId="5D3F33CA" w:rsidR="00D575D9" w:rsidRPr="0079408C" w:rsidRDefault="00DF4767" w:rsidP="00D575D9">
      <w:pPr>
        <w:ind w:left="1440"/>
      </w:pPr>
      <w:r w:rsidRPr="00D43AE6">
        <w:t>In general, foreign entities are not eligible to apply as either a prime recipient or subrecipient.</w:t>
      </w:r>
      <w:r>
        <w:t xml:space="preserve"> </w:t>
      </w:r>
      <w:r w:rsidR="00D575D9">
        <w:t xml:space="preserve">In limited circumstances, EERE may approve a waiver to allow a foreign entity to participate as a prime recipient or subrecipient. A foreign entity may submit a Full Application to this FOA, but the Full Application must be accompanied by </w:t>
      </w:r>
      <w:r w:rsidR="00D575D9" w:rsidRPr="00F51A4A">
        <w:rPr>
          <w:rFonts w:cstheme="minorBidi"/>
        </w:rPr>
        <w:t xml:space="preserve">an explicit written waiver request. </w:t>
      </w:r>
      <w:r w:rsidR="00D575D9" w:rsidRPr="0079408C">
        <w:t>Likewise, if the applicant seeks to include a foreign entity as a subrecipient, the applicant must submit a separate explicit written waiver request in the Full Application for each proposed foreign subrecipient.</w:t>
      </w:r>
    </w:p>
    <w:p w14:paraId="701B8DD5" w14:textId="77777777" w:rsidR="00D575D9" w:rsidRDefault="00D575D9" w:rsidP="00D575D9">
      <w:pPr>
        <w:ind w:left="1440"/>
        <w:rPr>
          <w:rFonts w:cstheme="minorHAnsi"/>
        </w:rPr>
      </w:pPr>
    </w:p>
    <w:p w14:paraId="3114C7B6" w14:textId="326DD94C" w:rsidR="00D575D9" w:rsidRPr="00BE6DF6" w:rsidRDefault="00D575D9" w:rsidP="00F4337C">
      <w:pPr>
        <w:ind w:left="1440"/>
        <w:rPr>
          <w:rFonts w:eastAsia="Calibri," w:cs="Calibri,"/>
        </w:rPr>
      </w:pPr>
      <w:r w:rsidRPr="008B0D95">
        <w:rPr>
          <w:u w:val="single"/>
        </w:rPr>
        <w:t>Appendix C</w:t>
      </w:r>
      <w:r w:rsidRPr="000016F8">
        <w:rPr>
          <w:u w:val="single"/>
        </w:rPr>
        <w:t xml:space="preserve"> lists</w:t>
      </w:r>
      <w:r w:rsidRPr="008858B4">
        <w:rPr>
          <w:u w:val="single"/>
        </w:rPr>
        <w:t xml:space="preserve"> the information that must be included in a </w:t>
      </w:r>
      <w:r>
        <w:rPr>
          <w:u w:val="single"/>
        </w:rPr>
        <w:t xml:space="preserve">foreign entity </w:t>
      </w:r>
      <w:r w:rsidRPr="008858B4">
        <w:rPr>
          <w:u w:val="single"/>
        </w:rPr>
        <w:t>waive</w:t>
      </w:r>
      <w:r>
        <w:rPr>
          <w:u w:val="single"/>
        </w:rPr>
        <w:t>r request</w:t>
      </w:r>
      <w:r w:rsidRPr="008858B4">
        <w:t>.</w:t>
      </w:r>
      <w:r>
        <w:t xml:space="preserve"> </w:t>
      </w:r>
      <w:r w:rsidRPr="008858B4">
        <w:t xml:space="preserve">The applicant does not have the right to appeal </w:t>
      </w:r>
      <w:r>
        <w:t>EERE</w:t>
      </w:r>
      <w:r w:rsidRPr="008858B4">
        <w:t>’s decision concerning a waiver request.</w:t>
      </w:r>
    </w:p>
    <w:bookmarkEnd w:id="110"/>
    <w:p w14:paraId="20969F7A" w14:textId="39CE9005" w:rsidR="006A24B8" w:rsidRPr="008858B4" w:rsidRDefault="006A24B8" w:rsidP="008858B4"/>
    <w:p w14:paraId="4D70BD86" w14:textId="21419B2A" w:rsidR="006A24B8" w:rsidRPr="00CE569E" w:rsidRDefault="004E672B" w:rsidP="001612A1">
      <w:pPr>
        <w:pStyle w:val="FOAHeading2"/>
      </w:pPr>
      <w:bookmarkStart w:id="115" w:name="_Toc176864424"/>
      <w:r w:rsidRPr="00CE569E">
        <w:t>Cost Sharing</w:t>
      </w:r>
      <w:bookmarkEnd w:id="115"/>
    </w:p>
    <w:p w14:paraId="2BBE76FA" w14:textId="77777777" w:rsidR="00E709E8" w:rsidRPr="00D563DD" w:rsidRDefault="00E709E8" w:rsidP="00E709E8">
      <w:pPr>
        <w:ind w:left="1080"/>
        <w:rPr>
          <w:bCs/>
        </w:rPr>
      </w:pPr>
      <w:r w:rsidRPr="00F51A4A">
        <w:t>Applicants are bound by the cost share proposed in their Full Applications if selected for award negotiations.</w:t>
      </w:r>
    </w:p>
    <w:p w14:paraId="3D4AEEFB" w14:textId="77777777" w:rsidR="00E709E8" w:rsidRDefault="00E709E8" w:rsidP="00B11C0E">
      <w:pPr>
        <w:rPr>
          <w:b/>
          <w:color w:val="0000FF"/>
        </w:rPr>
      </w:pPr>
    </w:p>
    <w:p w14:paraId="64D9C723" w14:textId="0AB43B7E" w:rsidR="00A80D87" w:rsidRDefault="00A80D87" w:rsidP="00A7237E">
      <w:pPr>
        <w:ind w:left="1080"/>
        <w:rPr>
          <w:b/>
          <w:color w:val="0000FF"/>
        </w:rPr>
      </w:pPr>
    </w:p>
    <w:p w14:paraId="12581779" w14:textId="69CFDA21" w:rsidR="004317A8" w:rsidRDefault="004E672B" w:rsidP="004317A8">
      <w:pPr>
        <w:ind w:left="1080"/>
      </w:pPr>
      <w:r w:rsidRPr="00883D8E">
        <w:lastRenderedPageBreak/>
        <w:t xml:space="preserve">The cost share must be at least 50% of the total </w:t>
      </w:r>
      <w:r w:rsidR="00E709E8">
        <w:t>project</w:t>
      </w:r>
      <w:r w:rsidR="00E709E8" w:rsidRPr="00883D8E">
        <w:t xml:space="preserve"> costs</w:t>
      </w:r>
      <w:r w:rsidR="00E709E8">
        <w:rPr>
          <w:rStyle w:val="FootnoteReference"/>
        </w:rPr>
        <w:footnoteReference w:id="44"/>
      </w:r>
      <w:r w:rsidR="00E709E8">
        <w:t xml:space="preserve"> </w:t>
      </w:r>
      <w:r w:rsidRPr="00883D8E">
        <w:t>for demonstration projects</w:t>
      </w:r>
      <w:bookmarkStart w:id="116" w:name="_Hlk102684563"/>
      <w:r w:rsidR="00E04E1A">
        <w:t>.</w:t>
      </w:r>
      <w:r w:rsidR="00E709E8">
        <w:rPr>
          <w:rStyle w:val="FootnoteReference"/>
        </w:rPr>
        <w:footnoteReference w:id="45"/>
      </w:r>
      <w:bookmarkEnd w:id="116"/>
      <w:r w:rsidR="00E709E8" w:rsidRPr="00883D8E">
        <w:t xml:space="preserve"> </w:t>
      </w:r>
      <w:r w:rsidR="00E709E8">
        <w:t xml:space="preserve">The cost share </w:t>
      </w:r>
      <w:r w:rsidR="00E709E8" w:rsidRPr="00883D8E">
        <w:t>must come from non-federal sources unless otherwise allowed by law.</w:t>
      </w:r>
      <w:r w:rsidR="004317A8">
        <w:t xml:space="preserve"> The following table shows the required cost share amounts:</w:t>
      </w:r>
    </w:p>
    <w:p w14:paraId="58892E55" w14:textId="77777777" w:rsidR="004317A8" w:rsidRDefault="004317A8" w:rsidP="004317A8">
      <w:pPr>
        <w:ind w:left="1080"/>
      </w:pPr>
    </w:p>
    <w:tbl>
      <w:tblPr>
        <w:tblStyle w:val="TableGrid"/>
        <w:tblW w:w="0" w:type="auto"/>
        <w:tblInd w:w="1080" w:type="dxa"/>
        <w:tblLook w:val="04A0" w:firstRow="1" w:lastRow="0" w:firstColumn="1" w:lastColumn="0" w:noHBand="0" w:noVBand="1"/>
      </w:tblPr>
      <w:tblGrid>
        <w:gridCol w:w="2722"/>
        <w:gridCol w:w="3663"/>
      </w:tblGrid>
      <w:tr w:rsidR="004317A8" w14:paraId="01D62018" w14:textId="77777777" w:rsidTr="00634646">
        <w:tc>
          <w:tcPr>
            <w:tcW w:w="2722" w:type="dxa"/>
          </w:tcPr>
          <w:p w14:paraId="21C3679F" w14:textId="77777777" w:rsidR="004317A8" w:rsidRPr="00E12F61" w:rsidRDefault="004317A8" w:rsidP="00634646">
            <w:pPr>
              <w:jc w:val="center"/>
              <w:rPr>
                <w:b/>
                <w:bCs/>
              </w:rPr>
            </w:pPr>
            <w:r w:rsidRPr="00E12F61">
              <w:rPr>
                <w:b/>
                <w:bCs/>
              </w:rPr>
              <w:t>Topic Area</w:t>
            </w:r>
          </w:p>
        </w:tc>
        <w:tc>
          <w:tcPr>
            <w:tcW w:w="3663" w:type="dxa"/>
          </w:tcPr>
          <w:p w14:paraId="606AF216" w14:textId="77777777" w:rsidR="004317A8" w:rsidRPr="00E12F61" w:rsidRDefault="004317A8" w:rsidP="00634646">
            <w:pPr>
              <w:jc w:val="center"/>
              <w:rPr>
                <w:b/>
                <w:bCs/>
              </w:rPr>
            </w:pPr>
            <w:r w:rsidRPr="00E12F61">
              <w:rPr>
                <w:b/>
                <w:bCs/>
              </w:rPr>
              <w:t>Minimum Required Cost Share</w:t>
            </w:r>
          </w:p>
        </w:tc>
      </w:tr>
      <w:tr w:rsidR="004317A8" w14:paraId="6FF905C3" w14:textId="77777777" w:rsidTr="00634646">
        <w:tc>
          <w:tcPr>
            <w:tcW w:w="2722" w:type="dxa"/>
          </w:tcPr>
          <w:p w14:paraId="0E99F3FE" w14:textId="77777777" w:rsidR="004317A8" w:rsidRDefault="004317A8" w:rsidP="00634646">
            <w:pPr>
              <w:jc w:val="center"/>
            </w:pPr>
            <w:r>
              <w:t>Topic Area 1</w:t>
            </w:r>
          </w:p>
        </w:tc>
        <w:tc>
          <w:tcPr>
            <w:tcW w:w="3663" w:type="dxa"/>
          </w:tcPr>
          <w:p w14:paraId="4331FE63" w14:textId="77777777" w:rsidR="004317A8" w:rsidRDefault="004317A8" w:rsidP="00634646">
            <w:pPr>
              <w:jc w:val="center"/>
            </w:pPr>
            <w:r>
              <w:t>50%</w:t>
            </w:r>
          </w:p>
        </w:tc>
      </w:tr>
      <w:tr w:rsidR="004317A8" w14:paraId="055E93B0" w14:textId="77777777" w:rsidTr="00634646">
        <w:tc>
          <w:tcPr>
            <w:tcW w:w="2722" w:type="dxa"/>
          </w:tcPr>
          <w:p w14:paraId="3F5EF5F6" w14:textId="77777777" w:rsidR="004317A8" w:rsidRDefault="004317A8" w:rsidP="00634646">
            <w:pPr>
              <w:jc w:val="center"/>
            </w:pPr>
            <w:r>
              <w:t>Topic Area 2</w:t>
            </w:r>
          </w:p>
        </w:tc>
        <w:tc>
          <w:tcPr>
            <w:tcW w:w="3663" w:type="dxa"/>
          </w:tcPr>
          <w:p w14:paraId="390EBC67" w14:textId="77777777" w:rsidR="004317A8" w:rsidRDefault="004317A8" w:rsidP="00634646">
            <w:pPr>
              <w:jc w:val="center"/>
            </w:pPr>
            <w:r>
              <w:t>50%</w:t>
            </w:r>
          </w:p>
        </w:tc>
      </w:tr>
      <w:tr w:rsidR="001A6B85" w14:paraId="64B9625E" w14:textId="77777777" w:rsidTr="00634646">
        <w:tc>
          <w:tcPr>
            <w:tcW w:w="2722" w:type="dxa"/>
          </w:tcPr>
          <w:p w14:paraId="14D2D212" w14:textId="0A8955BE" w:rsidR="001A6B85" w:rsidRDefault="001A6B85" w:rsidP="001A6B85">
            <w:pPr>
              <w:jc w:val="center"/>
            </w:pPr>
            <w:r>
              <w:t>Topic Area 3</w:t>
            </w:r>
          </w:p>
        </w:tc>
        <w:tc>
          <w:tcPr>
            <w:tcW w:w="3663" w:type="dxa"/>
          </w:tcPr>
          <w:p w14:paraId="76D1ABD1" w14:textId="2E98CB3B" w:rsidR="001A6B85" w:rsidRDefault="001A6B85" w:rsidP="001A6B85">
            <w:pPr>
              <w:jc w:val="center"/>
            </w:pPr>
            <w:r>
              <w:t>50%</w:t>
            </w:r>
          </w:p>
        </w:tc>
      </w:tr>
    </w:tbl>
    <w:p w14:paraId="131B4E82" w14:textId="6933BB1A" w:rsidR="00A80D87" w:rsidRDefault="00A80D87" w:rsidP="008B0D95">
      <w:pPr>
        <w:rPr>
          <w:color w:val="0000FF"/>
        </w:rPr>
      </w:pPr>
    </w:p>
    <w:p w14:paraId="52F220A6" w14:textId="62BDB130" w:rsidR="00DF3277" w:rsidRDefault="004E672B" w:rsidP="00A7237E">
      <w:pPr>
        <w:ind w:left="1080"/>
        <w:rPr>
          <w:color w:val="000000" w:themeColor="text1"/>
        </w:rPr>
      </w:pPr>
      <w:r>
        <w:rPr>
          <w:color w:val="000000" w:themeColor="text1"/>
        </w:rPr>
        <w:t xml:space="preserve">To </w:t>
      </w:r>
      <w:r w:rsidR="00840CA0">
        <w:rPr>
          <w:color w:val="000000" w:themeColor="text1"/>
        </w:rPr>
        <w:t>help</w:t>
      </w:r>
      <w:r>
        <w:rPr>
          <w:color w:val="000000" w:themeColor="text1"/>
        </w:rPr>
        <w:t xml:space="preserve"> applicants calculat</w:t>
      </w:r>
      <w:r w:rsidR="00840CA0">
        <w:rPr>
          <w:color w:val="000000" w:themeColor="text1"/>
        </w:rPr>
        <w:t>e</w:t>
      </w:r>
      <w:r>
        <w:rPr>
          <w:color w:val="000000" w:themeColor="text1"/>
        </w:rPr>
        <w:t xml:space="preserve"> proper cost share amounts, EERE has included a cost share information sheet and sample cost share calculation as </w:t>
      </w:r>
      <w:r w:rsidRPr="008B0D95">
        <w:rPr>
          <w:color w:val="000000" w:themeColor="text1"/>
        </w:rPr>
        <w:t>Appendices A and B</w:t>
      </w:r>
      <w:r>
        <w:rPr>
          <w:color w:val="000000" w:themeColor="text1"/>
        </w:rPr>
        <w:t xml:space="preserve"> to this FOA.</w:t>
      </w:r>
    </w:p>
    <w:p w14:paraId="3698D95D" w14:textId="65E67CDB" w:rsidR="006A24B8" w:rsidRPr="008858B4" w:rsidRDefault="006A24B8" w:rsidP="00A53BBC">
      <w:pPr>
        <w:ind w:left="1080"/>
      </w:pPr>
    </w:p>
    <w:p w14:paraId="20D7884C" w14:textId="5200ACF8" w:rsidR="006A24B8" w:rsidRPr="00872882" w:rsidRDefault="004E672B" w:rsidP="004D5367">
      <w:pPr>
        <w:pStyle w:val="FOAHeading3"/>
        <w:numPr>
          <w:ilvl w:val="0"/>
          <w:numId w:val="36"/>
        </w:numPr>
        <w:ind w:left="1440"/>
        <w:outlineLvl w:val="2"/>
      </w:pPr>
      <w:bookmarkStart w:id="117" w:name="_Toc519602326"/>
      <w:bookmarkStart w:id="118" w:name="_Toc176864425"/>
      <w:r w:rsidRPr="00C72CE2">
        <w:t>Legal Responsibility</w:t>
      </w:r>
      <w:bookmarkEnd w:id="117"/>
      <w:bookmarkEnd w:id="118"/>
    </w:p>
    <w:p w14:paraId="07949857" w14:textId="711E4104" w:rsidR="00822D37" w:rsidRDefault="004E672B" w:rsidP="00A53BBC">
      <w:pPr>
        <w:tabs>
          <w:tab w:val="left" w:pos="1440"/>
          <w:tab w:val="left" w:pos="2250"/>
        </w:tabs>
        <w:ind w:left="1440" w:hanging="180"/>
      </w:pPr>
      <w:r>
        <w:tab/>
        <w:t xml:space="preserve">Although the cost share requirement applies to the </w:t>
      </w:r>
      <w:r w:rsidR="00840CA0">
        <w:t xml:space="preserve">entire </w:t>
      </w:r>
      <w:r>
        <w:t xml:space="preserve">project, including work performed by members of the </w:t>
      </w:r>
      <w:r w:rsidR="00E66803">
        <w:t>p</w:t>
      </w:r>
      <w:r w:rsidR="00960E5C">
        <w:t xml:space="preserve">roject </w:t>
      </w:r>
      <w:r>
        <w:t xml:space="preserve">team other than the </w:t>
      </w:r>
      <w:r w:rsidR="006D34B2">
        <w:t>prime recipient</w:t>
      </w:r>
      <w:r>
        <w:t xml:space="preserve">, the </w:t>
      </w:r>
      <w:r w:rsidR="006D34B2">
        <w:t xml:space="preserve">prime recipient </w:t>
      </w:r>
      <w:r>
        <w:t xml:space="preserve">is legally responsible for paying the entire cost share. If the funding agreement is terminated prior to the end of the project period, the </w:t>
      </w:r>
      <w:r w:rsidR="006D34B2">
        <w:t xml:space="preserve">prime recipient </w:t>
      </w:r>
      <w:r>
        <w:t>is required to contribute at least the cost share percentage of total expenditures incurred through the date of termination.</w:t>
      </w:r>
    </w:p>
    <w:p w14:paraId="6AA4F514" w14:textId="77777777" w:rsidR="00822D37" w:rsidRDefault="00822D37" w:rsidP="00A53BBC">
      <w:pPr>
        <w:tabs>
          <w:tab w:val="left" w:pos="2160"/>
          <w:tab w:val="left" w:pos="2250"/>
        </w:tabs>
        <w:ind w:left="1440" w:hanging="180"/>
      </w:pPr>
    </w:p>
    <w:p w14:paraId="555AF84D" w14:textId="77777777" w:rsidR="00822D37" w:rsidRDefault="004E672B" w:rsidP="00A53BBC">
      <w:pPr>
        <w:tabs>
          <w:tab w:val="left" w:pos="2250"/>
        </w:tabs>
        <w:ind w:left="1440" w:hanging="180"/>
      </w:pPr>
      <w:r>
        <w:tab/>
        <w:t xml:space="preserve">The </w:t>
      </w:r>
      <w:r w:rsidR="006D34B2">
        <w:t xml:space="preserve">prime </w:t>
      </w:r>
      <w:r w:rsidR="007745F9">
        <w:t>r</w:t>
      </w:r>
      <w:r w:rsidR="006D34B2">
        <w:t xml:space="preserve">ecipient </w:t>
      </w:r>
      <w:r>
        <w:t xml:space="preserve">is solely responsible for managing cost share contributions by the </w:t>
      </w:r>
      <w:r w:rsidR="00E66803">
        <w:t xml:space="preserve">project </w:t>
      </w:r>
      <w:r w:rsidR="00F202B7">
        <w:t xml:space="preserve">team </w:t>
      </w:r>
      <w:r>
        <w:t xml:space="preserve">and enforcing cost share obligation assumed by </w:t>
      </w:r>
      <w:r w:rsidR="00E66803">
        <w:t xml:space="preserve">project </w:t>
      </w:r>
      <w:r w:rsidR="00F202B7">
        <w:t xml:space="preserve">team </w:t>
      </w:r>
      <w:r>
        <w:t>members in subawards or related agreements.</w:t>
      </w:r>
    </w:p>
    <w:p w14:paraId="1DF47B5D" w14:textId="77777777" w:rsidR="00822D37" w:rsidRPr="00822D37" w:rsidRDefault="00822D37" w:rsidP="0026495B">
      <w:pPr>
        <w:ind w:left="1620" w:hanging="180"/>
      </w:pPr>
    </w:p>
    <w:p w14:paraId="472D6D03" w14:textId="4957B77B" w:rsidR="00822D37" w:rsidRPr="00872882" w:rsidRDefault="004E672B" w:rsidP="004D5367">
      <w:pPr>
        <w:pStyle w:val="FOAHeading3"/>
        <w:numPr>
          <w:ilvl w:val="0"/>
          <w:numId w:val="36"/>
        </w:numPr>
        <w:ind w:left="1440"/>
        <w:outlineLvl w:val="2"/>
      </w:pPr>
      <w:bookmarkStart w:id="119" w:name="_Toc519602327"/>
      <w:bookmarkStart w:id="120" w:name="_Toc176864426"/>
      <w:r w:rsidRPr="00C72CE2">
        <w:t>Cost Share Allocation</w:t>
      </w:r>
      <w:bookmarkEnd w:id="119"/>
      <w:bookmarkEnd w:id="120"/>
    </w:p>
    <w:p w14:paraId="34BBD7D8" w14:textId="5C921F95" w:rsidR="006A24B8" w:rsidRPr="008858B4" w:rsidRDefault="004E672B" w:rsidP="00A53BBC">
      <w:pPr>
        <w:ind w:left="1440"/>
      </w:pPr>
      <w:r w:rsidRPr="008858B4">
        <w:t xml:space="preserve">Each </w:t>
      </w:r>
      <w:r w:rsidR="00E66803">
        <w:t>p</w:t>
      </w:r>
      <w:r w:rsidR="00E66803" w:rsidRPr="008858B4">
        <w:t xml:space="preserve">roject </w:t>
      </w:r>
      <w:r w:rsidR="00F202B7">
        <w:t>t</w:t>
      </w:r>
      <w:r w:rsidR="00F202B7" w:rsidRPr="008858B4">
        <w:t xml:space="preserve">eam </w:t>
      </w:r>
      <w:r w:rsidRPr="008858B4">
        <w:t xml:space="preserve">is free to determine how best to allocate the cost share requirement among the team members. The amount contributed by individual </w:t>
      </w:r>
      <w:r w:rsidR="00E66803">
        <w:t>p</w:t>
      </w:r>
      <w:r w:rsidR="00E66803" w:rsidRPr="008858B4">
        <w:t xml:space="preserve">roject </w:t>
      </w:r>
      <w:r w:rsidR="00F202B7">
        <w:t>t</w:t>
      </w:r>
      <w:r w:rsidR="00F202B7" w:rsidRPr="008858B4">
        <w:t xml:space="preserve">eam </w:t>
      </w:r>
      <w:r w:rsidRPr="008858B4">
        <w:t xml:space="preserve">members may vary, as long as the cost share requirement for the </w:t>
      </w:r>
      <w:r w:rsidR="00840CA0">
        <w:t xml:space="preserve">entire </w:t>
      </w:r>
      <w:r w:rsidRPr="008858B4">
        <w:t>project is met.</w:t>
      </w:r>
    </w:p>
    <w:p w14:paraId="58DF14AE" w14:textId="77777777" w:rsidR="00390B40" w:rsidRPr="008858B4" w:rsidRDefault="00390B40" w:rsidP="00390B40">
      <w:pPr>
        <w:ind w:left="1620" w:hanging="180"/>
      </w:pPr>
      <w:bookmarkStart w:id="121" w:name="_Toc519602328"/>
    </w:p>
    <w:p w14:paraId="2CF9074C" w14:textId="52AF4934" w:rsidR="006A24B8" w:rsidRPr="00872882" w:rsidRDefault="004E672B" w:rsidP="004D5367">
      <w:pPr>
        <w:pStyle w:val="FOAHeading3"/>
        <w:numPr>
          <w:ilvl w:val="0"/>
          <w:numId w:val="36"/>
        </w:numPr>
        <w:ind w:left="1440"/>
        <w:outlineLvl w:val="2"/>
      </w:pPr>
      <w:bookmarkStart w:id="122" w:name="_Toc176864427"/>
      <w:r w:rsidRPr="00C72CE2">
        <w:t>Cost Share Types and Allowability</w:t>
      </w:r>
      <w:bookmarkEnd w:id="121"/>
      <w:bookmarkEnd w:id="122"/>
    </w:p>
    <w:p w14:paraId="6899C320" w14:textId="2A3DB1E2" w:rsidR="006A24B8" w:rsidRPr="008858B4" w:rsidRDefault="004E672B" w:rsidP="00A53BBC">
      <w:pPr>
        <w:ind w:left="1440"/>
      </w:pPr>
      <w:r w:rsidRPr="008858B4">
        <w:t xml:space="preserve">Every cost share contribution must be allowable under the applicable </w:t>
      </w:r>
      <w:r w:rsidR="00BC5A50">
        <w:t>f</w:t>
      </w:r>
      <w:r w:rsidR="00BC5A50" w:rsidRPr="008858B4">
        <w:t xml:space="preserve">ederal </w:t>
      </w:r>
      <w:r w:rsidRPr="008858B4">
        <w:t xml:space="preserve">cost principles, as described in </w:t>
      </w:r>
      <w:r w:rsidRPr="008B0D95">
        <w:t>Section IV.</w:t>
      </w:r>
      <w:r w:rsidR="00D947A0">
        <w:t>J</w:t>
      </w:r>
      <w:r w:rsidRPr="008B0D95">
        <w:t>.</w:t>
      </w:r>
      <w:r w:rsidR="00A34575" w:rsidRPr="008B0D95">
        <w:t>i.</w:t>
      </w:r>
      <w:r w:rsidRPr="008858B4">
        <w:t xml:space="preserve"> of the FOA.</w:t>
      </w:r>
      <w:r w:rsidR="001A3502">
        <w:t xml:space="preserve"> </w:t>
      </w:r>
      <w:r w:rsidRPr="008858B4">
        <w:t>In addition, cost share must be verifiable upon submission of the Full Application.</w:t>
      </w:r>
      <w:r w:rsidR="009C3C50" w:rsidRPr="009C3C50">
        <w:t xml:space="preserve"> </w:t>
      </w:r>
      <w:r w:rsidR="009C3C50">
        <w:t xml:space="preserve">Cost share may be provided in the form of cash or cash equivalents, or in-kind contributions. Cost share must come from non-federal sources (unless otherwise allowed by law), such as project participants, state or local governments, or other third-party </w:t>
      </w:r>
      <w:r w:rsidR="009C3C50">
        <w:lastRenderedPageBreak/>
        <w:t>financing.  Federal financing, such as DOE Loan Guarantee, cannot be leveraged by applicants to provide the required cost share or otherwise support the same scope that is proposed under a project.</w:t>
      </w:r>
    </w:p>
    <w:p w14:paraId="6DDF9EA1" w14:textId="77777777" w:rsidR="006A24B8" w:rsidRPr="008858B4" w:rsidRDefault="006A24B8" w:rsidP="00E765F9">
      <w:pPr>
        <w:ind w:left="1440" w:hanging="180"/>
      </w:pPr>
    </w:p>
    <w:p w14:paraId="36D577EE" w14:textId="0BEB7F14" w:rsidR="004A7FE1" w:rsidRDefault="004E672B" w:rsidP="00A53BBC">
      <w:pPr>
        <w:ind w:left="1440"/>
      </w:pPr>
      <w:r>
        <w:t>Cost share</w:t>
      </w:r>
      <w:r w:rsidRPr="008858B4">
        <w:t xml:space="preserve"> may be provided by the </w:t>
      </w:r>
      <w:r w:rsidR="006D34B2">
        <w:t>p</w:t>
      </w:r>
      <w:r w:rsidR="006D34B2" w:rsidRPr="008858B4">
        <w:t xml:space="preserve">rime </w:t>
      </w:r>
      <w:r w:rsidR="007745F9">
        <w:t>r</w:t>
      </w:r>
      <w:r w:rsidR="006D34B2" w:rsidRPr="008858B4">
        <w:t>ecipient</w:t>
      </w:r>
      <w:r>
        <w:t xml:space="preserve">, </w:t>
      </w:r>
      <w:r w:rsidR="001A6434">
        <w:t>s</w:t>
      </w:r>
      <w:r w:rsidR="001A6434" w:rsidRPr="008858B4">
        <w:t>ubrecipients</w:t>
      </w:r>
      <w:r>
        <w:t>, or third parties (entities that do not have a role in performing the scope of work)</w:t>
      </w:r>
      <w:r w:rsidRPr="008858B4">
        <w:t xml:space="preserve">. </w:t>
      </w:r>
      <w:r>
        <w:t>Vendors/</w:t>
      </w:r>
      <w:r w:rsidR="00D848AF">
        <w:t xml:space="preserve">contractors </w:t>
      </w:r>
      <w:r>
        <w:t>may not provide cost share.</w:t>
      </w:r>
      <w:r w:rsidR="001A3502">
        <w:t xml:space="preserve"> </w:t>
      </w:r>
      <w:r>
        <w:t>Any partial donation of goods or services is considered a discount and is not allowable.</w:t>
      </w:r>
      <w:r w:rsidR="001A3502">
        <w:t xml:space="preserve"> </w:t>
      </w:r>
    </w:p>
    <w:p w14:paraId="3666BF9A" w14:textId="77777777" w:rsidR="004A7FE1" w:rsidRDefault="004A7FE1" w:rsidP="00A7237E">
      <w:pPr>
        <w:ind w:left="1440"/>
      </w:pPr>
    </w:p>
    <w:p w14:paraId="1ED13E21" w14:textId="7549A4EF" w:rsidR="004A7FE1" w:rsidRPr="00AD7304" w:rsidRDefault="004E672B" w:rsidP="00A53BBC">
      <w:pPr>
        <w:pStyle w:val="PlainText"/>
        <w:ind w:left="1440"/>
        <w:rPr>
          <w:sz w:val="24"/>
          <w:szCs w:val="24"/>
        </w:rPr>
      </w:pPr>
      <w:r w:rsidRPr="00AD7304">
        <w:rPr>
          <w:sz w:val="24"/>
          <w:szCs w:val="24"/>
        </w:rPr>
        <w:t xml:space="preserve">Cash contributions </w:t>
      </w:r>
      <w:r w:rsidRPr="00300B2F">
        <w:rPr>
          <w:sz w:val="24"/>
          <w:szCs w:val="24"/>
        </w:rPr>
        <w:t>include but are not limited to</w:t>
      </w:r>
      <w:r w:rsidRPr="00AD7304">
        <w:rPr>
          <w:sz w:val="24"/>
          <w:szCs w:val="24"/>
        </w:rPr>
        <w:t xml:space="preserve"> personnel costs, fringe costs, supply and equipment costs, indirect costs</w:t>
      </w:r>
      <w:r w:rsidR="00840CA0">
        <w:rPr>
          <w:sz w:val="24"/>
          <w:szCs w:val="24"/>
        </w:rPr>
        <w:t>,</w:t>
      </w:r>
      <w:r w:rsidRPr="00AD7304">
        <w:rPr>
          <w:sz w:val="24"/>
          <w:szCs w:val="24"/>
        </w:rPr>
        <w:t xml:space="preserve"> and other direct costs. </w:t>
      </w:r>
    </w:p>
    <w:p w14:paraId="5C4940E4" w14:textId="77777777" w:rsidR="004A7FE1" w:rsidRDefault="004A7FE1" w:rsidP="00A7237E">
      <w:pPr>
        <w:ind w:left="1440"/>
      </w:pPr>
    </w:p>
    <w:p w14:paraId="014B60EB" w14:textId="4D788C9C" w:rsidR="006A24B8" w:rsidRPr="008858B4" w:rsidRDefault="004E672B" w:rsidP="00A53BBC">
      <w:pPr>
        <w:ind w:left="1440"/>
      </w:pPr>
      <w:r>
        <w:t>In-kind contributions are those where a value of the contribution can be readily determined, verified</w:t>
      </w:r>
      <w:r w:rsidR="004F1B68">
        <w:t>,</w:t>
      </w:r>
      <w:r>
        <w:t xml:space="preserve"> and justified but where no actual cash is transacted in securing the good or service comprising the contribution.</w:t>
      </w:r>
      <w:r w:rsidR="001A3502">
        <w:t xml:space="preserve"> </w:t>
      </w:r>
      <w:r w:rsidRPr="008858B4">
        <w:t xml:space="preserve">Allowable in-kind contributions </w:t>
      </w:r>
      <w:r w:rsidR="00840CA0" w:rsidRPr="008858B4">
        <w:t>include but</w:t>
      </w:r>
      <w:r w:rsidRPr="008858B4">
        <w:t xml:space="preserve"> are not limited to </w:t>
      </w:r>
      <w:r>
        <w:t>the donation of volunteer time or the donation of space or use of equipment.</w:t>
      </w:r>
    </w:p>
    <w:p w14:paraId="43D1D50A" w14:textId="77777777" w:rsidR="006A24B8" w:rsidRPr="008858B4" w:rsidRDefault="006A24B8" w:rsidP="00A7237E">
      <w:pPr>
        <w:ind w:left="1440"/>
      </w:pPr>
    </w:p>
    <w:p w14:paraId="63E6A6EA" w14:textId="47BA101D" w:rsidR="006A24B8" w:rsidRPr="008858B4" w:rsidRDefault="004E672B" w:rsidP="00A53BBC">
      <w:pPr>
        <w:ind w:left="1440"/>
      </w:pPr>
      <w:r w:rsidRPr="008858B4">
        <w:t xml:space="preserve">Project teams may use funding or property received from state or local governments to meet the cost share requirement, so long as the </w:t>
      </w:r>
      <w:bookmarkStart w:id="123" w:name="_Hlk145057582"/>
      <w:r w:rsidR="009C3C50">
        <w:t xml:space="preserve">federal government did not provide the </w:t>
      </w:r>
      <w:r w:rsidR="009C3C50" w:rsidRPr="008858B4">
        <w:t>funding to the state or local government</w:t>
      </w:r>
      <w:bookmarkEnd w:id="123"/>
      <w:r w:rsidRPr="008858B4">
        <w:t xml:space="preserve">. </w:t>
      </w:r>
    </w:p>
    <w:p w14:paraId="229E52D9" w14:textId="77777777" w:rsidR="006A24B8" w:rsidRPr="008858B4" w:rsidRDefault="006A24B8" w:rsidP="00A7237E">
      <w:pPr>
        <w:ind w:left="1440"/>
      </w:pPr>
    </w:p>
    <w:p w14:paraId="2EDD21A1" w14:textId="4ADF4AEC" w:rsidR="006A24B8" w:rsidRPr="008858B4" w:rsidRDefault="004E672B" w:rsidP="00A53BBC">
      <w:pPr>
        <w:ind w:left="1440"/>
      </w:pPr>
      <w:r w:rsidRPr="008858B4">
        <w:t xml:space="preserve">The </w:t>
      </w:r>
      <w:r w:rsidR="007745F9">
        <w:t>r</w:t>
      </w:r>
      <w:r w:rsidR="006D34B2" w:rsidRPr="008858B4">
        <w:t xml:space="preserve">ecipient </w:t>
      </w:r>
      <w:r w:rsidRPr="008858B4">
        <w:t>may not use the following sources to meet its cost share obligations:</w:t>
      </w:r>
    </w:p>
    <w:p w14:paraId="745FEC4F" w14:textId="77777777" w:rsidR="006A24B8" w:rsidRPr="008858B4" w:rsidRDefault="006A24B8" w:rsidP="00A7237E">
      <w:pPr>
        <w:ind w:left="1440"/>
      </w:pPr>
    </w:p>
    <w:p w14:paraId="1EF99633" w14:textId="77777777" w:rsidR="006A24B8" w:rsidRPr="008858B4" w:rsidRDefault="004E672B" w:rsidP="00324F39">
      <w:pPr>
        <w:pStyle w:val="ListParagraph"/>
        <w:numPr>
          <w:ilvl w:val="0"/>
          <w:numId w:val="6"/>
        </w:numPr>
        <w:ind w:left="1800"/>
      </w:pPr>
      <w:r w:rsidRPr="008858B4">
        <w:t>Revenues or royalties from the prospective operation of an activity beyond the project period;</w:t>
      </w:r>
    </w:p>
    <w:p w14:paraId="6803F3F9" w14:textId="77777777" w:rsidR="006A24B8" w:rsidRPr="008858B4" w:rsidRDefault="004E672B" w:rsidP="00324F39">
      <w:pPr>
        <w:pStyle w:val="ListParagraph"/>
        <w:numPr>
          <w:ilvl w:val="0"/>
          <w:numId w:val="6"/>
        </w:numPr>
        <w:ind w:left="1800"/>
      </w:pPr>
      <w:r w:rsidRPr="008858B4">
        <w:t>Proceeds from the prospective sale of an asset of an activity;</w:t>
      </w:r>
    </w:p>
    <w:p w14:paraId="7AB3824D" w14:textId="77777777" w:rsidR="006A24B8" w:rsidRPr="008858B4" w:rsidRDefault="004E672B" w:rsidP="00324F39">
      <w:pPr>
        <w:pStyle w:val="ListParagraph"/>
        <w:numPr>
          <w:ilvl w:val="0"/>
          <w:numId w:val="6"/>
        </w:numPr>
        <w:ind w:left="1800"/>
      </w:pPr>
      <w:r w:rsidRPr="008858B4">
        <w:t xml:space="preserve">Federal funding or property (e.g., </w:t>
      </w:r>
      <w:r w:rsidR="00BC5A50">
        <w:t>f</w:t>
      </w:r>
      <w:r w:rsidR="00BC5A50" w:rsidRPr="008858B4">
        <w:t xml:space="preserve">ederal </w:t>
      </w:r>
      <w:r w:rsidRPr="008858B4">
        <w:t xml:space="preserve">grants, equipment owned by the </w:t>
      </w:r>
      <w:r w:rsidR="00BC5A50">
        <w:t>f</w:t>
      </w:r>
      <w:r w:rsidR="00BC5A50" w:rsidRPr="008858B4">
        <w:t xml:space="preserve">ederal </w:t>
      </w:r>
      <w:r w:rsidR="00BC5A50">
        <w:t>g</w:t>
      </w:r>
      <w:r w:rsidR="00BC5A50" w:rsidRPr="008858B4">
        <w:t>overnment</w:t>
      </w:r>
      <w:r w:rsidRPr="008858B4">
        <w:t>); or</w:t>
      </w:r>
    </w:p>
    <w:p w14:paraId="539AC4EC" w14:textId="77777777" w:rsidR="006A24B8" w:rsidRPr="008858B4" w:rsidRDefault="004E672B" w:rsidP="00324F39">
      <w:pPr>
        <w:pStyle w:val="ListParagraph"/>
        <w:numPr>
          <w:ilvl w:val="0"/>
          <w:numId w:val="6"/>
        </w:numPr>
        <w:ind w:left="1800"/>
      </w:pPr>
      <w:r w:rsidRPr="008858B4">
        <w:t xml:space="preserve">Expenditures that were reimbursed under a separate </w:t>
      </w:r>
      <w:r w:rsidR="00710ED6">
        <w:t>f</w:t>
      </w:r>
      <w:r w:rsidR="00710ED6" w:rsidRPr="008858B4">
        <w:t xml:space="preserve">ederal </w:t>
      </w:r>
      <w:r w:rsidR="00710ED6">
        <w:t>p</w:t>
      </w:r>
      <w:r w:rsidR="00710ED6" w:rsidRPr="008858B4">
        <w:t>rogram</w:t>
      </w:r>
      <w:r w:rsidRPr="008858B4">
        <w:t>.</w:t>
      </w:r>
    </w:p>
    <w:p w14:paraId="738182CC" w14:textId="77777777" w:rsidR="006A24B8" w:rsidRPr="008858B4" w:rsidRDefault="006A24B8" w:rsidP="00A7237E">
      <w:pPr>
        <w:ind w:left="1440"/>
      </w:pPr>
    </w:p>
    <w:p w14:paraId="4A83CFFC" w14:textId="77777777" w:rsidR="006A24B8" w:rsidRPr="008858B4" w:rsidRDefault="004E672B" w:rsidP="00A53BBC">
      <w:pPr>
        <w:ind w:left="1440"/>
      </w:pPr>
      <w:r w:rsidRPr="008858B4">
        <w:t xml:space="preserve">Project </w:t>
      </w:r>
      <w:r w:rsidR="00F202B7">
        <w:t>t</w:t>
      </w:r>
      <w:r w:rsidR="00F202B7" w:rsidRPr="008858B4">
        <w:t xml:space="preserve">eams </w:t>
      </w:r>
      <w:r w:rsidRPr="008858B4">
        <w:t>may not use the same cash or in-kind contributions to meet cost share requirements for more than one project or program.</w:t>
      </w:r>
    </w:p>
    <w:p w14:paraId="3DCEC466" w14:textId="77777777" w:rsidR="006A24B8" w:rsidRPr="008858B4" w:rsidRDefault="006A24B8" w:rsidP="00A7237E">
      <w:pPr>
        <w:ind w:left="1440"/>
      </w:pPr>
    </w:p>
    <w:p w14:paraId="40514C54" w14:textId="77777777" w:rsidR="003A06FA" w:rsidRPr="008858B4" w:rsidRDefault="004E672B" w:rsidP="00A53BBC">
      <w:pPr>
        <w:ind w:left="1440"/>
      </w:pPr>
      <w:r w:rsidRPr="008858B4">
        <w:t xml:space="preserve">Cost share contributions must be specified in the project budget, verifiable from the </w:t>
      </w:r>
      <w:r w:rsidR="006D34B2">
        <w:t>p</w:t>
      </w:r>
      <w:r w:rsidR="006D34B2" w:rsidRPr="008858B4">
        <w:t xml:space="preserve">rime </w:t>
      </w:r>
      <w:r w:rsidR="00755004">
        <w:t>r</w:t>
      </w:r>
      <w:r w:rsidR="006D34B2" w:rsidRPr="008858B4">
        <w:t xml:space="preserve">ecipient’s </w:t>
      </w:r>
      <w:r w:rsidRPr="008858B4">
        <w:t xml:space="preserve">records, and necessary and reasonable for proper and efficient accomplishment of the project. As all sources of cost share are considered part of total project cost, the cost share dollars will be scrutinized under the same </w:t>
      </w:r>
      <w:r w:rsidR="00710ED6">
        <w:t>f</w:t>
      </w:r>
      <w:r w:rsidR="00710ED6" w:rsidRPr="008858B4">
        <w:t xml:space="preserve">ederal </w:t>
      </w:r>
      <w:r w:rsidRPr="008858B4">
        <w:t xml:space="preserve">regulations as </w:t>
      </w:r>
      <w:r w:rsidR="00710ED6">
        <w:t>f</w:t>
      </w:r>
      <w:r w:rsidR="00710ED6" w:rsidRPr="008858B4">
        <w:t xml:space="preserve">ederal </w:t>
      </w:r>
      <w:r w:rsidRPr="008858B4">
        <w:t>dollars to the project. Every cost share contribution must be reviewed and approved in advance by the Contracting Officer and incorporated into the project budget before the expenditures are incurred.</w:t>
      </w:r>
    </w:p>
    <w:p w14:paraId="09EA131A" w14:textId="77777777" w:rsidR="006A24B8" w:rsidRPr="008858B4" w:rsidRDefault="006A24B8" w:rsidP="00A7237E">
      <w:pPr>
        <w:ind w:left="1440"/>
      </w:pPr>
    </w:p>
    <w:p w14:paraId="73EB8517" w14:textId="1BBC1E35" w:rsidR="006A24B8" w:rsidRPr="008858B4" w:rsidRDefault="009C3C50" w:rsidP="00A53BBC">
      <w:pPr>
        <w:ind w:left="1440"/>
      </w:pPr>
      <w:r w:rsidRPr="008858B4">
        <w:t>Applicants are encouraged to refer to 2 CFR 200.306 as amended by 2 CFR 910.130 for additional cost sharing</w:t>
      </w:r>
      <w:r>
        <w:t xml:space="preserve"> requirements</w:t>
      </w:r>
    </w:p>
    <w:p w14:paraId="2D5DA97C" w14:textId="77777777" w:rsidR="006A24B8" w:rsidRPr="008858B4" w:rsidRDefault="006A24B8" w:rsidP="0026495B">
      <w:pPr>
        <w:ind w:left="1620" w:hanging="180"/>
      </w:pPr>
    </w:p>
    <w:p w14:paraId="7D3BC3B3" w14:textId="77777777" w:rsidR="006A24B8" w:rsidRPr="00872882" w:rsidRDefault="004E672B" w:rsidP="004D5367">
      <w:pPr>
        <w:pStyle w:val="FOAHeading3"/>
        <w:numPr>
          <w:ilvl w:val="0"/>
          <w:numId w:val="36"/>
        </w:numPr>
        <w:ind w:left="1440"/>
        <w:outlineLvl w:val="2"/>
      </w:pPr>
      <w:bookmarkStart w:id="124" w:name="_Toc519602329"/>
      <w:bookmarkStart w:id="125" w:name="_Toc176864428"/>
      <w:r w:rsidRPr="00C72CE2">
        <w:t>Cost Share Contributions by FFRDCs</w:t>
      </w:r>
      <w:bookmarkEnd w:id="124"/>
      <w:bookmarkEnd w:id="125"/>
      <w:r w:rsidRPr="00C72CE2">
        <w:t xml:space="preserve"> </w:t>
      </w:r>
    </w:p>
    <w:p w14:paraId="78CF9911" w14:textId="77777777" w:rsidR="006A24B8" w:rsidRPr="008858B4" w:rsidRDefault="004E672B" w:rsidP="00A53BBC">
      <w:pPr>
        <w:ind w:left="1440"/>
      </w:pPr>
      <w:r w:rsidRPr="008858B4">
        <w:t xml:space="preserve">Because FFRDCs are funded by the </w:t>
      </w:r>
      <w:r w:rsidR="00710ED6">
        <w:t>f</w:t>
      </w:r>
      <w:r w:rsidR="00710ED6" w:rsidRPr="008858B4">
        <w:t xml:space="preserve">ederal </w:t>
      </w:r>
      <w:r w:rsidR="00710ED6">
        <w:t>g</w:t>
      </w:r>
      <w:r w:rsidR="00710ED6" w:rsidRPr="008858B4">
        <w:t>overnment</w:t>
      </w:r>
      <w:r w:rsidRPr="008858B4">
        <w:t>, costs incurred by FFRDCs generally may not be used to meet the cost share requirement. FFRDCs may contribute cost share only if the contributions are paid directly from the contractor’s Management Fee or another non-</w:t>
      </w:r>
      <w:r w:rsidR="00710ED6">
        <w:t>f</w:t>
      </w:r>
      <w:r w:rsidR="00710ED6" w:rsidRPr="008858B4">
        <w:t xml:space="preserve">ederal </w:t>
      </w:r>
      <w:r w:rsidRPr="008858B4">
        <w:t>source.</w:t>
      </w:r>
    </w:p>
    <w:p w14:paraId="4F3028DF" w14:textId="77777777" w:rsidR="00E765F9" w:rsidRPr="008858B4" w:rsidRDefault="00E765F9" w:rsidP="00A7237E">
      <w:pPr>
        <w:ind w:left="1440"/>
      </w:pPr>
    </w:p>
    <w:p w14:paraId="059CCB0E" w14:textId="05B324B3" w:rsidR="006A24B8" w:rsidRPr="00872882" w:rsidRDefault="004E672B" w:rsidP="004D5367">
      <w:pPr>
        <w:pStyle w:val="FOAHeading3"/>
        <w:numPr>
          <w:ilvl w:val="0"/>
          <w:numId w:val="36"/>
        </w:numPr>
        <w:ind w:left="1440"/>
        <w:outlineLvl w:val="2"/>
      </w:pPr>
      <w:bookmarkStart w:id="126" w:name="_Toc519602330"/>
      <w:bookmarkStart w:id="127" w:name="_Toc176864429"/>
      <w:r w:rsidRPr="00C72CE2">
        <w:t>Cost Share Verification</w:t>
      </w:r>
      <w:bookmarkEnd w:id="126"/>
      <w:bookmarkEnd w:id="127"/>
    </w:p>
    <w:p w14:paraId="6B269BF8" w14:textId="77777777" w:rsidR="006A24B8" w:rsidRPr="008858B4" w:rsidRDefault="004E672B" w:rsidP="00A53BBC">
      <w:pPr>
        <w:ind w:left="1440"/>
      </w:pPr>
      <w:r w:rsidRPr="008858B4">
        <w:t>Applicants are required to provide written assurance of their proposed cost share contributions in their Full Applications.</w:t>
      </w:r>
    </w:p>
    <w:p w14:paraId="433A68AA" w14:textId="77777777" w:rsidR="006A24B8" w:rsidRPr="008858B4" w:rsidRDefault="006A24B8" w:rsidP="00A7237E">
      <w:pPr>
        <w:ind w:left="1440"/>
      </w:pPr>
    </w:p>
    <w:p w14:paraId="32CE0711" w14:textId="77777777" w:rsidR="006A24B8" w:rsidRPr="008858B4" w:rsidRDefault="004E672B" w:rsidP="00A53BBC">
      <w:pPr>
        <w:ind w:left="1440"/>
      </w:pPr>
      <w:r w:rsidRPr="008858B4">
        <w:t xml:space="preserve">Upon selection for award negotiations, applicants are required to provide additional information and documentation regarding their cost share contributions. Please refer </w:t>
      </w:r>
      <w:r w:rsidRPr="00F16720">
        <w:t xml:space="preserve">to </w:t>
      </w:r>
      <w:r w:rsidRPr="008B0D95">
        <w:t>Appendix A</w:t>
      </w:r>
      <w:r w:rsidRPr="008858B4">
        <w:t xml:space="preserve"> of the FOA.</w:t>
      </w:r>
    </w:p>
    <w:p w14:paraId="24F1F1B1" w14:textId="77777777" w:rsidR="006A24B8" w:rsidRPr="008858B4" w:rsidRDefault="006A24B8" w:rsidP="00A7237E">
      <w:pPr>
        <w:ind w:left="1440"/>
      </w:pPr>
    </w:p>
    <w:p w14:paraId="70D1D6F5" w14:textId="02230B85" w:rsidR="006A24B8" w:rsidRPr="00872882" w:rsidRDefault="004E672B" w:rsidP="004D5367">
      <w:pPr>
        <w:pStyle w:val="FOAHeading3"/>
        <w:numPr>
          <w:ilvl w:val="0"/>
          <w:numId w:val="36"/>
        </w:numPr>
        <w:ind w:left="1440"/>
        <w:outlineLvl w:val="2"/>
      </w:pPr>
      <w:bookmarkStart w:id="128" w:name="_Toc519602331"/>
      <w:bookmarkStart w:id="129" w:name="_Toc176864430"/>
      <w:r w:rsidRPr="00C72CE2">
        <w:t>Cost Share Payment</w:t>
      </w:r>
      <w:bookmarkEnd w:id="128"/>
      <w:bookmarkEnd w:id="129"/>
    </w:p>
    <w:p w14:paraId="3D307608" w14:textId="400B9295" w:rsidR="006A24B8" w:rsidRPr="008858B4" w:rsidRDefault="009C3C50" w:rsidP="00A53BBC">
      <w:pPr>
        <w:ind w:left="1440"/>
      </w:pPr>
      <w:r>
        <w:t>DOE</w:t>
      </w:r>
      <w:r w:rsidRPr="008858B4">
        <w:t xml:space="preserve"> </w:t>
      </w:r>
      <w:r w:rsidR="004E672B" w:rsidRPr="008858B4">
        <w:t xml:space="preserve">requires </w:t>
      </w:r>
      <w:r w:rsidR="00755004">
        <w:t>p</w:t>
      </w:r>
      <w:r w:rsidR="00755004" w:rsidRPr="008858B4">
        <w:t xml:space="preserve">rime </w:t>
      </w:r>
      <w:r w:rsidR="00755004">
        <w:t>r</w:t>
      </w:r>
      <w:r w:rsidR="00755004" w:rsidRPr="008858B4">
        <w:t xml:space="preserve">ecipients </w:t>
      </w:r>
      <w:r w:rsidR="004E672B" w:rsidRPr="008858B4">
        <w:t xml:space="preserve">to contribute the cost share amount incrementally over the life of the award. Specifically, </w:t>
      </w:r>
      <w:r w:rsidR="004E672B" w:rsidRPr="008858B4">
        <w:rPr>
          <w:color w:val="000000" w:themeColor="text1"/>
        </w:rPr>
        <w:t xml:space="preserve">the </w:t>
      </w:r>
      <w:r w:rsidR="00755004">
        <w:rPr>
          <w:color w:val="000000" w:themeColor="text1"/>
        </w:rPr>
        <w:t>p</w:t>
      </w:r>
      <w:r w:rsidR="00755004" w:rsidRPr="008858B4">
        <w:rPr>
          <w:color w:val="000000" w:themeColor="text1"/>
        </w:rPr>
        <w:t xml:space="preserve">rime </w:t>
      </w:r>
      <w:r w:rsidR="00755004">
        <w:rPr>
          <w:color w:val="000000" w:themeColor="text1"/>
        </w:rPr>
        <w:t>r</w:t>
      </w:r>
      <w:r w:rsidR="00755004" w:rsidRPr="008858B4">
        <w:rPr>
          <w:color w:val="000000" w:themeColor="text1"/>
        </w:rPr>
        <w:t xml:space="preserve">ecipient’s </w:t>
      </w:r>
      <w:r w:rsidR="004E672B" w:rsidRPr="008858B4">
        <w:rPr>
          <w:color w:val="000000" w:themeColor="text1"/>
        </w:rPr>
        <w:t>cost share for each billing period must always reflect the overall cost share ratio negotiated by the parties (i.e., the total amount of cost sharing on each invoice when considered cumulatively with previous invoices must reflect, at a minimum, the cost sharing percentage negotiated)</w:t>
      </w:r>
      <w:r w:rsidR="004E672B" w:rsidRPr="008858B4">
        <w:t xml:space="preserve">. </w:t>
      </w:r>
      <w:r w:rsidR="00E853C5" w:rsidRPr="00E853C5">
        <w:t xml:space="preserve">As FFRDC funding will be provided directly to the FFRDC(s) by DOE, </w:t>
      </w:r>
      <w:r w:rsidR="00755004">
        <w:t>p</w:t>
      </w:r>
      <w:r w:rsidR="00755004" w:rsidRPr="00E853C5">
        <w:t xml:space="preserve">rime </w:t>
      </w:r>
      <w:r w:rsidR="00755004">
        <w:t>r</w:t>
      </w:r>
      <w:r w:rsidR="00755004" w:rsidRPr="00E853C5">
        <w:t xml:space="preserve">ecipients </w:t>
      </w:r>
      <w:r w:rsidR="00E853C5" w:rsidRPr="00E853C5">
        <w:t>will be required to provide project cost share at a percentage commensurate with the FFRDC costs</w:t>
      </w:r>
      <w:r w:rsidR="00E853C5">
        <w:t>,</w:t>
      </w:r>
      <w:r w:rsidR="00E853C5" w:rsidRPr="00E853C5">
        <w:t xml:space="preserve"> on a budget period basis, resulting in a higher interim invoicing cost share ratio than the total award ratio.</w:t>
      </w:r>
      <w:r w:rsidR="00E853C5">
        <w:t xml:space="preserve"> </w:t>
      </w:r>
    </w:p>
    <w:p w14:paraId="072CE2A8" w14:textId="77777777" w:rsidR="006A24B8" w:rsidRPr="008858B4" w:rsidRDefault="006A24B8" w:rsidP="00A7237E">
      <w:pPr>
        <w:ind w:left="1440"/>
      </w:pPr>
    </w:p>
    <w:p w14:paraId="60000106" w14:textId="38ED2C41" w:rsidR="006A24B8" w:rsidRPr="008858B4" w:rsidRDefault="004E672B" w:rsidP="00A53BBC">
      <w:pPr>
        <w:ind w:left="1440"/>
      </w:pPr>
      <w:r w:rsidRPr="008858B4">
        <w:t xml:space="preserve">In limited circumstances, and where it is in the government’s interest, the Contracting Officer may approve a request by the </w:t>
      </w:r>
      <w:r w:rsidR="00755004">
        <w:t>p</w:t>
      </w:r>
      <w:r w:rsidR="00755004" w:rsidRPr="008858B4">
        <w:t xml:space="preserve">rime </w:t>
      </w:r>
      <w:r w:rsidR="00755004">
        <w:t>r</w:t>
      </w:r>
      <w:r w:rsidR="00755004" w:rsidRPr="008858B4">
        <w:t xml:space="preserve">ecipient </w:t>
      </w:r>
      <w:r w:rsidRPr="008858B4">
        <w:t xml:space="preserve">to meet its cost share requirements on a less frequent basis, such as monthly or quarterly. Regardless of the interval requested, the </w:t>
      </w:r>
      <w:r w:rsidR="00755004">
        <w:t>p</w:t>
      </w:r>
      <w:r w:rsidR="00755004" w:rsidRPr="008858B4">
        <w:t xml:space="preserve">rime </w:t>
      </w:r>
      <w:r w:rsidR="00755004">
        <w:t>r</w:t>
      </w:r>
      <w:r w:rsidR="00755004" w:rsidRPr="008858B4">
        <w:t xml:space="preserve">ecipient </w:t>
      </w:r>
      <w:r w:rsidRPr="008858B4">
        <w:t xml:space="preserve">must be </w:t>
      </w:r>
      <w:r w:rsidR="004F1B68" w:rsidRPr="008858B4">
        <w:t>up to date</w:t>
      </w:r>
      <w:r w:rsidR="000E3648">
        <w:t xml:space="preserve"> </w:t>
      </w:r>
      <w:r w:rsidRPr="008858B4">
        <w:t xml:space="preserve">on cost share at each interval. Such requests must be sent to the Contracting Officer during award negotiations and include the following information: (1) a detailed justification for the request; (2) a proposed schedule of payments, including amounts and dates; (3) a written commitment to meet that schedule; and (4) such evidence as necessary to demonstrate that the </w:t>
      </w:r>
      <w:r w:rsidR="00755004">
        <w:t>p</w:t>
      </w:r>
      <w:r w:rsidR="00755004" w:rsidRPr="008858B4">
        <w:t xml:space="preserve">rime </w:t>
      </w:r>
      <w:r w:rsidR="00755004">
        <w:t>r</w:t>
      </w:r>
      <w:r w:rsidR="00755004" w:rsidRPr="008858B4">
        <w:t xml:space="preserve">ecipient </w:t>
      </w:r>
      <w:r w:rsidRPr="008858B4">
        <w:t>has complied with its cost share obligations to date. The Contracting Officer must approve all such requests before they go into effect.</w:t>
      </w:r>
    </w:p>
    <w:p w14:paraId="7B3433A5" w14:textId="77777777" w:rsidR="006A24B8" w:rsidRPr="008858B4" w:rsidRDefault="006A24B8" w:rsidP="008858B4"/>
    <w:p w14:paraId="1CAE336F" w14:textId="2F74188B" w:rsidR="006A24B8" w:rsidRPr="007A3912" w:rsidRDefault="004E672B" w:rsidP="001612A1">
      <w:pPr>
        <w:pStyle w:val="FOAHeading2"/>
      </w:pPr>
      <w:bookmarkStart w:id="130" w:name="_Toc517798905"/>
      <w:bookmarkStart w:id="131" w:name="_Toc519602233"/>
      <w:bookmarkStart w:id="132" w:name="_Toc519602332"/>
      <w:bookmarkStart w:id="133" w:name="_Toc176864431"/>
      <w:r w:rsidRPr="007A3912">
        <w:lastRenderedPageBreak/>
        <w:t>Compliance Criteria</w:t>
      </w:r>
      <w:bookmarkEnd w:id="130"/>
      <w:bookmarkEnd w:id="131"/>
      <w:bookmarkEnd w:id="132"/>
      <w:bookmarkEnd w:id="133"/>
    </w:p>
    <w:p w14:paraId="19540F59" w14:textId="77777777" w:rsidR="009C3C50" w:rsidRDefault="009C3C50" w:rsidP="009C3C50">
      <w:pPr>
        <w:ind w:left="1080"/>
        <w:rPr>
          <w:bCs/>
        </w:rPr>
      </w:pPr>
      <w:r w:rsidRPr="00F51A4A">
        <w:t>All applicant submissions must:</w:t>
      </w:r>
    </w:p>
    <w:p w14:paraId="48DD7A56" w14:textId="77777777" w:rsidR="009C3C50" w:rsidRDefault="009C3C50" w:rsidP="009C3C50">
      <w:pPr>
        <w:ind w:left="1440"/>
        <w:rPr>
          <w:bCs/>
        </w:rPr>
      </w:pPr>
    </w:p>
    <w:p w14:paraId="73AB0723" w14:textId="77777777" w:rsidR="009C3C50" w:rsidRDefault="009C3C50" w:rsidP="009C3C50">
      <w:pPr>
        <w:pStyle w:val="ListParagraph"/>
        <w:numPr>
          <w:ilvl w:val="0"/>
          <w:numId w:val="8"/>
        </w:numPr>
        <w:ind w:left="1440"/>
      </w:pPr>
      <w:r>
        <w:t>C</w:t>
      </w:r>
      <w:r w:rsidRPr="008858B4">
        <w:t>ompl</w:t>
      </w:r>
      <w:r>
        <w:t>y</w:t>
      </w:r>
      <w:r w:rsidRPr="008858B4">
        <w:t xml:space="preserve"> with the </w:t>
      </w:r>
      <w:r>
        <w:t xml:space="preserve">applicable </w:t>
      </w:r>
      <w:r w:rsidRPr="008858B4">
        <w:t xml:space="preserve">content and form requirements </w:t>
      </w:r>
      <w:r>
        <w:t>listed in</w:t>
      </w:r>
      <w:r w:rsidRPr="008858B4">
        <w:t xml:space="preserve"> </w:t>
      </w:r>
      <w:r w:rsidRPr="008B0D95">
        <w:t>Section IV.</w:t>
      </w:r>
      <w:r w:rsidRPr="008858B4">
        <w:t xml:space="preserve"> of the FOA; </w:t>
      </w:r>
    </w:p>
    <w:p w14:paraId="033DB803" w14:textId="77777777" w:rsidR="009C3C50" w:rsidRPr="008858B4" w:rsidRDefault="009C3C50" w:rsidP="009C3C50">
      <w:pPr>
        <w:pStyle w:val="ListParagraph"/>
        <w:numPr>
          <w:ilvl w:val="0"/>
          <w:numId w:val="8"/>
        </w:numPr>
        <w:ind w:left="1440"/>
      </w:pPr>
      <w:r>
        <w:t>Include all required documents;</w:t>
      </w:r>
    </w:p>
    <w:p w14:paraId="71C90CF3" w14:textId="6ED27236" w:rsidR="009C3C50" w:rsidRDefault="009C3C50" w:rsidP="009C3C50">
      <w:pPr>
        <w:pStyle w:val="ListParagraph"/>
        <w:numPr>
          <w:ilvl w:val="0"/>
          <w:numId w:val="8"/>
        </w:numPr>
        <w:ind w:left="1440"/>
      </w:pPr>
      <w:r>
        <w:t xml:space="preserve">Be </w:t>
      </w:r>
      <w:r w:rsidRPr="008858B4">
        <w:t xml:space="preserve">uploaded </w:t>
      </w:r>
      <w:r>
        <w:t>and submitted to</w:t>
      </w:r>
      <w:r w:rsidRPr="008858B4">
        <w:t xml:space="preserve"> </w:t>
      </w:r>
      <w:r>
        <w:t xml:space="preserve">EERE eXCHANGE </w:t>
      </w:r>
      <w:hyperlink r:id="rId24" w:history="1">
        <w:r w:rsidRPr="00F51A4A">
          <w:rPr>
            <w:rStyle w:val="Hyperlink"/>
            <w:rFonts w:ascii="Calibri" w:hAnsi="Calibri" w:cs="Calibri"/>
          </w:rPr>
          <w:t>https://eere-eXCHANGE.energy.gov</w:t>
        </w:r>
      </w:hyperlink>
      <w:r>
        <w:t>; and</w:t>
      </w:r>
    </w:p>
    <w:p w14:paraId="4902B985" w14:textId="77777777" w:rsidR="009C3C50" w:rsidRPr="008858B4" w:rsidRDefault="009C3C50" w:rsidP="009C3C50">
      <w:pPr>
        <w:pStyle w:val="ListParagraph"/>
        <w:numPr>
          <w:ilvl w:val="0"/>
          <w:numId w:val="8"/>
        </w:numPr>
        <w:ind w:left="1440"/>
      </w:pPr>
      <w:r>
        <w:t>Be submitted</w:t>
      </w:r>
      <w:r w:rsidRPr="008858B4">
        <w:t xml:space="preserve"> by the deadline stated in the FOA.</w:t>
      </w:r>
    </w:p>
    <w:p w14:paraId="0893FBCF" w14:textId="77777777" w:rsidR="009C3C50" w:rsidRDefault="009C3C50" w:rsidP="009C3C50">
      <w:pPr>
        <w:ind w:left="1080"/>
        <w:rPr>
          <w:bCs/>
        </w:rPr>
      </w:pPr>
    </w:p>
    <w:p w14:paraId="302FFB88" w14:textId="77777777" w:rsidR="009C3C50" w:rsidRDefault="009C3C50" w:rsidP="009C3C50">
      <w:pPr>
        <w:ind w:left="1080"/>
      </w:pPr>
      <w:r w:rsidRPr="00F51A4A">
        <w:t>EERE will not review or consider submissions submitted through means other than EERE eXCHANGE, submissions submitted after the applicable deadline, or incomplete submissions.</w:t>
      </w:r>
      <w:r w:rsidRPr="008858B4">
        <w:t xml:space="preserve"> </w:t>
      </w:r>
    </w:p>
    <w:p w14:paraId="3BD16740" w14:textId="77777777" w:rsidR="009C3C50" w:rsidRPr="00824AC7" w:rsidRDefault="009C3C50" w:rsidP="009C3C50">
      <w:pPr>
        <w:ind w:left="1440"/>
        <w:rPr>
          <w:bCs/>
        </w:rPr>
      </w:pPr>
    </w:p>
    <w:p w14:paraId="6B72C9BB" w14:textId="77777777" w:rsidR="009C3C50" w:rsidRDefault="009C3C50" w:rsidP="009C3C50">
      <w:pPr>
        <w:ind w:left="1080"/>
      </w:pPr>
      <w:r w:rsidRPr="00F51A4A">
        <w:rPr>
          <w:b/>
          <w:bCs/>
          <w:u w:val="single"/>
        </w:rPr>
        <w:t>Applicants are strongly encouraged to submit their Letters of Intent, Concept Papers, Full Applications, and Replies to Reviewer Comments at least 48 hours in advance of the submission deadline</w:t>
      </w:r>
      <w:r>
        <w:t>.</w:t>
      </w:r>
      <w:r w:rsidRPr="00BA2365">
        <w:t xml:space="preserve"> Under normal conditions (i.e., at least 48 hours </w:t>
      </w:r>
      <w:r>
        <w:t>before</w:t>
      </w:r>
      <w:r w:rsidRPr="00BA2365">
        <w:t xml:space="preserve"> the submission deadline), applicants should allow at least </w:t>
      </w:r>
      <w:r>
        <w:t>one</w:t>
      </w:r>
      <w:r w:rsidRPr="00BA2365">
        <w:t xml:space="preserve"> hour to submit a </w:t>
      </w:r>
      <w:r>
        <w:t>Letter</w:t>
      </w:r>
      <w:r w:rsidRPr="00740AF8">
        <w:t xml:space="preserve"> of Intent, Concept Paper, Full Application, </w:t>
      </w:r>
      <w:r>
        <w:t>or Reply</w:t>
      </w:r>
      <w:r w:rsidRPr="00740AF8">
        <w:t xml:space="preserve"> to Reviewer Comments</w:t>
      </w:r>
      <w:r w:rsidRPr="00BA2365">
        <w:t xml:space="preserve">. Once the </w:t>
      </w:r>
      <w:r>
        <w:t>Letter</w:t>
      </w:r>
      <w:r w:rsidRPr="00740AF8">
        <w:t xml:space="preserve"> of Intent, Concept Paper, Full Application, </w:t>
      </w:r>
      <w:r>
        <w:t>or Reply</w:t>
      </w:r>
      <w:r w:rsidRPr="00740AF8">
        <w:t xml:space="preserve"> to Reviewer Comments</w:t>
      </w:r>
      <w:r w:rsidRPr="00BA2365">
        <w:t xml:space="preserve"> is submitted in </w:t>
      </w:r>
      <w:r>
        <w:t>EERE eXCHANGE</w:t>
      </w:r>
      <w:r w:rsidRPr="00BA2365">
        <w:t xml:space="preserve">, applicants may revise or update that submission until the expiration of the applicable deadline. If changes are made to any of these documents, the applicant must resubmit the </w:t>
      </w:r>
      <w:r>
        <w:t>Letter</w:t>
      </w:r>
      <w:r w:rsidRPr="00740AF8">
        <w:t xml:space="preserve"> of Intent,</w:t>
      </w:r>
      <w:r w:rsidRPr="00684CD1">
        <w:t xml:space="preserve"> </w:t>
      </w:r>
      <w:r>
        <w:t>Concept Paper, Full Application, or Reply to Reviewer Comments</w:t>
      </w:r>
      <w:r w:rsidRPr="00BA2365">
        <w:t xml:space="preserve"> before the applicable deadline.</w:t>
      </w:r>
      <w:r>
        <w:t xml:space="preserve"> EERE</w:t>
      </w:r>
      <w:r w:rsidRPr="008858B4">
        <w:t xml:space="preserve"> will not extend the submission deadline for applicants that fail to submit required information </w:t>
      </w:r>
      <w:r>
        <w:t xml:space="preserve">by the applicable deadline </w:t>
      </w:r>
      <w:r w:rsidRPr="008858B4">
        <w:t>due to server/connection congestion.</w:t>
      </w:r>
    </w:p>
    <w:p w14:paraId="18F36C62" w14:textId="70C6F211" w:rsidR="006A24B8" w:rsidRDefault="006A24B8" w:rsidP="001E0D1A">
      <w:bookmarkStart w:id="134" w:name="_Toc146793203"/>
      <w:bookmarkStart w:id="135" w:name="_Toc146868640"/>
      <w:bookmarkStart w:id="136" w:name="_Toc146871263"/>
      <w:bookmarkStart w:id="137" w:name="_Toc146921761"/>
      <w:bookmarkStart w:id="138" w:name="_Toc146922621"/>
      <w:bookmarkStart w:id="139" w:name="_Toc146922973"/>
      <w:bookmarkStart w:id="140" w:name="_Toc146793205"/>
      <w:bookmarkStart w:id="141" w:name="_Toc146868642"/>
      <w:bookmarkStart w:id="142" w:name="_Toc146871265"/>
      <w:bookmarkStart w:id="143" w:name="_Toc146921763"/>
      <w:bookmarkStart w:id="144" w:name="_Toc146922623"/>
      <w:bookmarkStart w:id="145" w:name="_Toc146922975"/>
      <w:bookmarkEnd w:id="134"/>
      <w:bookmarkEnd w:id="135"/>
      <w:bookmarkEnd w:id="136"/>
      <w:bookmarkEnd w:id="137"/>
      <w:bookmarkEnd w:id="138"/>
      <w:bookmarkEnd w:id="139"/>
      <w:bookmarkEnd w:id="140"/>
      <w:bookmarkEnd w:id="141"/>
      <w:bookmarkEnd w:id="142"/>
      <w:bookmarkEnd w:id="143"/>
      <w:bookmarkEnd w:id="144"/>
      <w:bookmarkEnd w:id="145"/>
    </w:p>
    <w:p w14:paraId="6516DB16" w14:textId="1F14293C" w:rsidR="006A24B8" w:rsidRPr="00CF5CA4" w:rsidRDefault="004E672B" w:rsidP="001612A1">
      <w:pPr>
        <w:pStyle w:val="FOAHeading2"/>
      </w:pPr>
      <w:bookmarkStart w:id="146" w:name="_Toc146793209"/>
      <w:bookmarkStart w:id="147" w:name="_Toc146868646"/>
      <w:bookmarkStart w:id="148" w:name="_Toc146871269"/>
      <w:bookmarkStart w:id="149" w:name="_Toc146921767"/>
      <w:bookmarkStart w:id="150" w:name="_Toc146922627"/>
      <w:bookmarkStart w:id="151" w:name="_Toc146922979"/>
      <w:bookmarkStart w:id="152" w:name="_Toc146793215"/>
      <w:bookmarkStart w:id="153" w:name="_Toc146868652"/>
      <w:bookmarkStart w:id="154" w:name="_Toc146871275"/>
      <w:bookmarkStart w:id="155" w:name="_Toc146921773"/>
      <w:bookmarkStart w:id="156" w:name="_Toc146922633"/>
      <w:bookmarkStart w:id="157" w:name="_Toc146922985"/>
      <w:bookmarkStart w:id="158" w:name="_Toc146793221"/>
      <w:bookmarkStart w:id="159" w:name="_Toc146868658"/>
      <w:bookmarkStart w:id="160" w:name="_Toc146871281"/>
      <w:bookmarkStart w:id="161" w:name="_Toc146921779"/>
      <w:bookmarkStart w:id="162" w:name="_Toc146922639"/>
      <w:bookmarkStart w:id="163" w:name="_Toc146922991"/>
      <w:bookmarkStart w:id="164" w:name="_Toc146793226"/>
      <w:bookmarkStart w:id="165" w:name="_Toc146868663"/>
      <w:bookmarkStart w:id="166" w:name="_Toc146871286"/>
      <w:bookmarkStart w:id="167" w:name="_Toc146921784"/>
      <w:bookmarkStart w:id="168" w:name="_Toc146922644"/>
      <w:bookmarkStart w:id="169" w:name="_Toc146922996"/>
      <w:bookmarkStart w:id="170" w:name="_Toc517798906"/>
      <w:bookmarkStart w:id="171" w:name="_Toc519602234"/>
      <w:bookmarkStart w:id="172" w:name="_Toc519602334"/>
      <w:bookmarkStart w:id="173" w:name="_Toc176864432"/>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CF5CA4">
        <w:t>Responsiveness Criteria</w:t>
      </w:r>
      <w:bookmarkEnd w:id="170"/>
      <w:bookmarkEnd w:id="171"/>
      <w:bookmarkEnd w:id="172"/>
      <w:bookmarkEnd w:id="173"/>
    </w:p>
    <w:p w14:paraId="38DFC4B7" w14:textId="436E29B4" w:rsidR="006A24B8" w:rsidRPr="00CF5CA4" w:rsidRDefault="004E672B" w:rsidP="00A7237E">
      <w:pPr>
        <w:ind w:left="1080"/>
      </w:pPr>
      <w:r w:rsidRPr="00CF5CA4">
        <w:t xml:space="preserve">All “Applications Specifically Not of Interest,” as described in </w:t>
      </w:r>
      <w:r w:rsidRPr="008B0D95">
        <w:t>Section I.</w:t>
      </w:r>
      <w:r w:rsidR="00B53822" w:rsidRPr="008B0D95">
        <w:t>D</w:t>
      </w:r>
      <w:r w:rsidR="002013D0" w:rsidRPr="008B0D95">
        <w:t>.</w:t>
      </w:r>
      <w:r w:rsidRPr="00CF5CA4">
        <w:t xml:space="preserve"> of the FOA, are deemed nonresponsive and are not reviewed or considered.</w:t>
      </w:r>
    </w:p>
    <w:p w14:paraId="7B8A85A1" w14:textId="77777777" w:rsidR="00FE3AE5" w:rsidRPr="00CF5CA4" w:rsidRDefault="00FE3AE5" w:rsidP="008858B4"/>
    <w:p w14:paraId="016A5234" w14:textId="0157B523" w:rsidR="00B90600" w:rsidRDefault="004E672B" w:rsidP="001612A1">
      <w:pPr>
        <w:pStyle w:val="FOAHeading2"/>
      </w:pPr>
      <w:bookmarkStart w:id="174" w:name="_Toc517798907"/>
      <w:bookmarkStart w:id="175" w:name="_Toc519602235"/>
      <w:bookmarkStart w:id="176" w:name="_Toc519602335"/>
      <w:bookmarkStart w:id="177" w:name="_Toc176864433"/>
      <w:r w:rsidRPr="00CF5CA4">
        <w:t>Other Eligibility Requirements</w:t>
      </w:r>
      <w:bookmarkStart w:id="178" w:name="_Toc494187629"/>
      <w:bookmarkStart w:id="179" w:name="_Toc496512928"/>
      <w:bookmarkEnd w:id="174"/>
      <w:bookmarkEnd w:id="175"/>
      <w:bookmarkEnd w:id="176"/>
      <w:bookmarkEnd w:id="177"/>
    </w:p>
    <w:p w14:paraId="79261582" w14:textId="4039C99F" w:rsidR="00B90600" w:rsidRPr="00B90600" w:rsidRDefault="00B90600" w:rsidP="00B90600">
      <w:pPr>
        <w:pStyle w:val="FOAHeading3"/>
        <w:numPr>
          <w:ilvl w:val="0"/>
          <w:numId w:val="0"/>
        </w:numPr>
        <w:rPr>
          <w:b w:val="0"/>
          <w:sz w:val="24"/>
          <w:szCs w:val="24"/>
        </w:rPr>
      </w:pPr>
    </w:p>
    <w:bookmarkEnd w:id="178"/>
    <w:bookmarkEnd w:id="179"/>
    <w:p w14:paraId="0505FECA" w14:textId="77777777" w:rsidR="006A24B8" w:rsidRPr="00CF5CA4" w:rsidRDefault="006A24B8" w:rsidP="00A5305A">
      <w:pPr>
        <w:ind w:left="1800"/>
      </w:pPr>
    </w:p>
    <w:p w14:paraId="520C333E" w14:textId="5F54E101" w:rsidR="006A24B8" w:rsidRPr="0022038E" w:rsidRDefault="004E672B" w:rsidP="004D5367">
      <w:pPr>
        <w:pStyle w:val="FOAHeading3"/>
        <w:numPr>
          <w:ilvl w:val="0"/>
          <w:numId w:val="38"/>
        </w:numPr>
        <w:ind w:left="1440"/>
        <w:outlineLvl w:val="2"/>
      </w:pPr>
      <w:bookmarkStart w:id="180" w:name="_Toc519602337"/>
      <w:bookmarkStart w:id="181" w:name="_Toc176864434"/>
      <w:r w:rsidRPr="00C72CE2">
        <w:t xml:space="preserve">Requirements for DOE/NNSA and </w:t>
      </w:r>
      <w:r w:rsidR="00840CA0">
        <w:t>N</w:t>
      </w:r>
      <w:r w:rsidRPr="00C72CE2">
        <w:t>on-DOE/NNSA FFRDCs Included as a Subrecipient</w:t>
      </w:r>
      <w:bookmarkEnd w:id="180"/>
      <w:bookmarkEnd w:id="181"/>
    </w:p>
    <w:p w14:paraId="3916C3A4" w14:textId="77777777" w:rsidR="006A24B8" w:rsidRPr="008858B4" w:rsidRDefault="004E672B" w:rsidP="007B530B">
      <w:pPr>
        <w:ind w:left="1440"/>
      </w:pPr>
      <w:r w:rsidRPr="008858B4">
        <w:t xml:space="preserve">DOE/NNSA and non-DOE/NNSA FFRDCs may be proposed as a </w:t>
      </w:r>
      <w:r w:rsidR="001A6434">
        <w:t>s</w:t>
      </w:r>
      <w:r w:rsidR="001A6434" w:rsidRPr="008858B4">
        <w:t xml:space="preserve">ubrecipient </w:t>
      </w:r>
      <w:r w:rsidRPr="008858B4">
        <w:t>on another entity’s application subject to the following guidelines:</w:t>
      </w:r>
    </w:p>
    <w:p w14:paraId="395C368E" w14:textId="77777777" w:rsidR="006A24B8" w:rsidRDefault="006A24B8" w:rsidP="007118D7">
      <w:pPr>
        <w:ind w:left="2880" w:hanging="720"/>
      </w:pPr>
    </w:p>
    <w:p w14:paraId="562CE8F7" w14:textId="77777777" w:rsidR="001E0D1A" w:rsidRPr="008858B4" w:rsidRDefault="001E0D1A" w:rsidP="007118D7">
      <w:pPr>
        <w:ind w:left="2880" w:hanging="720"/>
      </w:pPr>
    </w:p>
    <w:p w14:paraId="21A5C678" w14:textId="77777777" w:rsidR="006A24B8" w:rsidRPr="00B11C0E" w:rsidRDefault="004E672B" w:rsidP="00F5102B">
      <w:pPr>
        <w:pStyle w:val="FOAHeading4"/>
        <w:numPr>
          <w:ilvl w:val="0"/>
          <w:numId w:val="110"/>
        </w:numPr>
        <w:rPr>
          <w:rFonts w:asciiTheme="minorHAnsi" w:hAnsiTheme="minorHAnsi"/>
          <w:b w:val="0"/>
          <w:iCs/>
        </w:rPr>
      </w:pPr>
      <w:r w:rsidRPr="00B11C0E">
        <w:rPr>
          <w:rFonts w:asciiTheme="minorHAnsi" w:hAnsiTheme="minorHAnsi"/>
          <w:b w:val="0"/>
          <w:iCs/>
        </w:rPr>
        <w:lastRenderedPageBreak/>
        <w:t>Authorization for non-DOE/NNSA FFRDCs</w:t>
      </w:r>
    </w:p>
    <w:p w14:paraId="6FBBBE1C" w14:textId="77777777" w:rsidR="006A24B8" w:rsidRPr="008858B4" w:rsidRDefault="004E672B" w:rsidP="00A53BBC">
      <w:pPr>
        <w:ind w:left="1800"/>
      </w:pPr>
      <w:r w:rsidRPr="008858B4">
        <w:t xml:space="preserve">The </w:t>
      </w:r>
      <w:r w:rsidR="00710ED6">
        <w:t>f</w:t>
      </w:r>
      <w:r w:rsidR="00710ED6" w:rsidRPr="008858B4">
        <w:t xml:space="preserve">ederal </w:t>
      </w:r>
      <w:r w:rsidRPr="008858B4">
        <w:t>agency sponsoring the FFRDC must authorize in writing the use of the FFRDC on the proposed project and this authorization must be submitted with the application. The use of a FFRDC must be consistent with its authority under its award.</w:t>
      </w:r>
    </w:p>
    <w:p w14:paraId="1079342E" w14:textId="77777777" w:rsidR="006A24B8" w:rsidRPr="008858B4" w:rsidRDefault="006A24B8" w:rsidP="00C12E27">
      <w:pPr>
        <w:ind w:left="1980" w:hanging="360"/>
      </w:pPr>
    </w:p>
    <w:p w14:paraId="14D393DE" w14:textId="77777777" w:rsidR="006A24B8" w:rsidRPr="00B11C0E" w:rsidRDefault="004E672B" w:rsidP="00F5102B">
      <w:pPr>
        <w:pStyle w:val="FOAHeading4"/>
        <w:numPr>
          <w:ilvl w:val="0"/>
          <w:numId w:val="110"/>
        </w:numPr>
        <w:rPr>
          <w:rFonts w:asciiTheme="minorHAnsi" w:hAnsiTheme="minorHAnsi"/>
          <w:b w:val="0"/>
          <w:iCs/>
        </w:rPr>
      </w:pPr>
      <w:r w:rsidRPr="00B11C0E">
        <w:rPr>
          <w:rFonts w:asciiTheme="minorHAnsi" w:hAnsiTheme="minorHAnsi"/>
          <w:b w:val="0"/>
          <w:iCs/>
        </w:rPr>
        <w:t>Authorization for DOE/NNSA FFRDCs</w:t>
      </w:r>
    </w:p>
    <w:p w14:paraId="13DC663F" w14:textId="77777777" w:rsidR="006A24B8" w:rsidRPr="008858B4" w:rsidRDefault="004E672B" w:rsidP="00A53BBC">
      <w:pPr>
        <w:ind w:left="1800"/>
      </w:pPr>
      <w:r w:rsidRPr="008858B4">
        <w:t>The cognizant Contracting Officer for the FFRDC must authorize in writing the use of the FFRDC on the proposed project and this authorization must be submitted with the application. The following wording is acceptable for this authorization:</w:t>
      </w:r>
    </w:p>
    <w:p w14:paraId="094B3404" w14:textId="77777777" w:rsidR="006A24B8" w:rsidRPr="008858B4" w:rsidRDefault="006A24B8" w:rsidP="00C12E27">
      <w:pPr>
        <w:ind w:left="1980" w:hanging="360"/>
      </w:pPr>
    </w:p>
    <w:p w14:paraId="2517289D" w14:textId="58D36148" w:rsidR="006A24B8" w:rsidRDefault="004E672B" w:rsidP="00B11C0E">
      <w:pPr>
        <w:ind w:left="2160" w:right="720"/>
      </w:pPr>
      <w:r w:rsidRPr="008858B4">
        <w:t xml:space="preserve">Authorization is granted for the Laboratory to participate in the proposed project. The work proposed for the </w:t>
      </w:r>
      <w:r w:rsidR="009C3C50">
        <w:t>L</w:t>
      </w:r>
      <w:r w:rsidRPr="008858B4">
        <w:t xml:space="preserve">aboratory is consistent with or complementary to the missions of the </w:t>
      </w:r>
      <w:r w:rsidR="004F1B68">
        <w:t>L</w:t>
      </w:r>
      <w:r w:rsidR="000F7066" w:rsidRPr="008858B4">
        <w:t>aboratory and</w:t>
      </w:r>
      <w:r w:rsidRPr="008858B4">
        <w:t xml:space="preserve"> will not adversely impact execution of the DOE assigned programs at the </w:t>
      </w:r>
      <w:r w:rsidR="009C3C50">
        <w:t>L</w:t>
      </w:r>
      <w:r w:rsidRPr="008858B4">
        <w:t>aboratory.</w:t>
      </w:r>
    </w:p>
    <w:p w14:paraId="047DDA7E" w14:textId="77777777" w:rsidR="006A24B8" w:rsidRPr="008858B4" w:rsidRDefault="006A24B8" w:rsidP="001B4465"/>
    <w:p w14:paraId="77DCBAA2" w14:textId="77777777" w:rsidR="009B20F4" w:rsidRPr="006C56C2" w:rsidRDefault="009B20F4" w:rsidP="009B20F4">
      <w:pPr>
        <w:pStyle w:val="FOAHeading4"/>
        <w:numPr>
          <w:ilvl w:val="0"/>
          <w:numId w:val="110"/>
        </w:numPr>
        <w:rPr>
          <w:rFonts w:asciiTheme="minorHAnsi" w:hAnsiTheme="minorHAnsi"/>
          <w:b w:val="0"/>
        </w:rPr>
      </w:pPr>
      <w:bookmarkStart w:id="182" w:name="_Hlk119677150"/>
      <w:bookmarkStart w:id="183" w:name="_Hlk118980374"/>
      <w:bookmarkStart w:id="184" w:name="_Hlk118980422"/>
      <w:r w:rsidRPr="00F51A4A">
        <w:rPr>
          <w:rFonts w:asciiTheme="minorHAnsi" w:hAnsiTheme="minorHAnsi"/>
          <w:b w:val="0"/>
        </w:rPr>
        <w:t>Funding, Cost Share, and Subaward with FFRDCs</w:t>
      </w:r>
      <w:bookmarkEnd w:id="182"/>
    </w:p>
    <w:p w14:paraId="69F0CD10" w14:textId="77777777" w:rsidR="009B20F4" w:rsidRDefault="009B20F4" w:rsidP="009B20F4">
      <w:pPr>
        <w:pStyle w:val="FOAHeading4"/>
        <w:numPr>
          <w:ilvl w:val="0"/>
          <w:numId w:val="0"/>
        </w:numPr>
        <w:ind w:left="1800"/>
        <w:rPr>
          <w:rFonts w:asciiTheme="minorHAnsi" w:hAnsiTheme="minorHAnsi"/>
          <w:b w:val="0"/>
          <w:iCs/>
        </w:rPr>
      </w:pPr>
    </w:p>
    <w:bookmarkEnd w:id="183"/>
    <w:bookmarkEnd w:id="184"/>
    <w:p w14:paraId="1FA1003C" w14:textId="77777777" w:rsidR="009B20F4" w:rsidRPr="008858B4" w:rsidRDefault="009B20F4" w:rsidP="009B20F4">
      <w:pPr>
        <w:ind w:left="1800"/>
      </w:pPr>
      <w:r w:rsidRPr="008858B4">
        <w:t>The value of and funding for the FFRDC portion of the work will not normally be included in the award</w:t>
      </w:r>
      <w:bookmarkStart w:id="185" w:name="_Hlk118980677"/>
      <w:r>
        <w:t xml:space="preserve">. </w:t>
      </w:r>
      <w:r w:rsidRPr="00844B6C">
        <w:t xml:space="preserve">DOE/NNSA FFRDCs participating as a subrecipient on a project </w:t>
      </w:r>
      <w:r>
        <w:t>will be</w:t>
      </w:r>
      <w:r w:rsidRPr="00844B6C">
        <w:t xml:space="preserve"> funded directly through the DOE </w:t>
      </w:r>
      <w:r>
        <w:t xml:space="preserve">field work proposal (WP) process. Non-DOE/NNSA FFRDCs participating as a subrecipient will be funded through an interagency agreement with the sponsoring agency. </w:t>
      </w:r>
      <w:bookmarkEnd w:id="185"/>
      <w:r>
        <w:t xml:space="preserve"> </w:t>
      </w:r>
    </w:p>
    <w:p w14:paraId="7E92B251" w14:textId="77777777" w:rsidR="009B20F4" w:rsidRDefault="009B20F4" w:rsidP="009B20F4">
      <w:pPr>
        <w:ind w:left="1800"/>
      </w:pPr>
      <w:r w:rsidRPr="008858B4">
        <w:t>Although the FFRDC portion of the work is excluded from the award, the applicant’s cost share requirement will be based on the total cost of the project, including the applicant’s</w:t>
      </w:r>
      <w:r>
        <w:t>, the subrecipient’s,</w:t>
      </w:r>
      <w:r w:rsidRPr="008858B4">
        <w:t xml:space="preserve"> and the FFRDC’s portions of the project.</w:t>
      </w:r>
    </w:p>
    <w:p w14:paraId="5CCFDA4A" w14:textId="77777777" w:rsidR="009B20F4" w:rsidRPr="008858B4" w:rsidRDefault="009B20F4" w:rsidP="009B20F4">
      <w:pPr>
        <w:ind w:left="1800"/>
      </w:pPr>
    </w:p>
    <w:p w14:paraId="2CF6354E" w14:textId="77777777" w:rsidR="009B20F4" w:rsidRPr="00844B6C" w:rsidRDefault="009B20F4" w:rsidP="009B20F4">
      <w:pPr>
        <w:keepNext/>
        <w:ind w:left="1800"/>
      </w:pPr>
      <w:bookmarkStart w:id="186" w:name="_Hlk118982005"/>
      <w:r>
        <w:t>Unless instructed otherwise by the DOE Contracting Officer for the DOE award, all FFRDCs</w:t>
      </w:r>
      <w:r w:rsidRPr="00844B6C">
        <w:t xml:space="preserve"> are </w:t>
      </w:r>
      <w:r>
        <w:t xml:space="preserve">required </w:t>
      </w:r>
      <w:r w:rsidRPr="00844B6C">
        <w:t xml:space="preserve">to </w:t>
      </w:r>
      <w:r>
        <w:t>enter into</w:t>
      </w:r>
      <w:r w:rsidRPr="00844B6C">
        <w:t xml:space="preserve"> a Cooperative Research and Development Agreement</w:t>
      </w:r>
      <w:r w:rsidRPr="00844B6C">
        <w:rPr>
          <w:rStyle w:val="FootnoteReference"/>
        </w:rPr>
        <w:footnoteReference w:id="46"/>
      </w:r>
      <w:r w:rsidRPr="00844B6C">
        <w:t xml:space="preserve"> (CRADA) or, if the role of the DOE/NNSA FFRDC is limited to technical assistance and intellectual property is not anticipated to be generated from the DOE/NNSA FFRDC’s work, a Technical Assistance Agreement (TAA), with at least the prime recipient before any project work begins. Any questions regarding the use of a CRADA or TAA should be directed to the cognizant DOE field intellectual property (IP) counsel. </w:t>
      </w:r>
    </w:p>
    <w:p w14:paraId="7C67C4CD" w14:textId="77777777" w:rsidR="009B20F4" w:rsidRPr="00844B6C" w:rsidRDefault="009B20F4" w:rsidP="009B20F4">
      <w:pPr>
        <w:ind w:left="1440"/>
      </w:pPr>
    </w:p>
    <w:p w14:paraId="33F5FA03" w14:textId="77777777" w:rsidR="009B20F4" w:rsidRDefault="009B20F4" w:rsidP="009B20F4">
      <w:pPr>
        <w:ind w:left="1800"/>
      </w:pPr>
      <w:r w:rsidRPr="00844B6C">
        <w:lastRenderedPageBreak/>
        <w:t>The CRADA or TAA is used to ensure accountability for project work and provide the appropriate management of IP, e.g., data protection and background IP. The CRADA or TAA must be agreed upon by all parties and submitted to DOE</w:t>
      </w:r>
      <w:r>
        <w:t xml:space="preserve"> or other sponsoring agency, when applicable,</w:t>
      </w:r>
      <w:r w:rsidRPr="00844B6C">
        <w:t xml:space="preserve"> for approval, or submitted to DOE for notice under the Master Scope of Work process, when applicable, using any DOE </w:t>
      </w:r>
      <w:r>
        <w:t xml:space="preserve">or other sponsoring agency </w:t>
      </w:r>
      <w:r w:rsidRPr="00844B6C">
        <w:t>approved CRADA or TAA template without substantive changes by the time the award is made to the prime recipient.</w:t>
      </w:r>
    </w:p>
    <w:p w14:paraId="7E852392" w14:textId="77777777" w:rsidR="009B20F4" w:rsidRDefault="009B20F4" w:rsidP="009B20F4">
      <w:pPr>
        <w:ind w:left="1800"/>
      </w:pPr>
    </w:p>
    <w:bookmarkEnd w:id="186"/>
    <w:p w14:paraId="3DD8938A" w14:textId="77777777" w:rsidR="009B20F4" w:rsidRPr="008858B4" w:rsidRDefault="009B20F4" w:rsidP="009B20F4">
      <w:pPr>
        <w:ind w:left="1980" w:hanging="360"/>
      </w:pPr>
    </w:p>
    <w:p w14:paraId="1E008DEB" w14:textId="77777777" w:rsidR="006A24B8" w:rsidRPr="00265DAA" w:rsidRDefault="004E672B" w:rsidP="00F5102B">
      <w:pPr>
        <w:pStyle w:val="FOAHeading4"/>
        <w:numPr>
          <w:ilvl w:val="0"/>
          <w:numId w:val="110"/>
        </w:numPr>
        <w:rPr>
          <w:rFonts w:asciiTheme="minorHAnsi" w:hAnsiTheme="minorHAnsi"/>
          <w:b w:val="0"/>
          <w:iCs/>
        </w:rPr>
      </w:pPr>
      <w:r w:rsidRPr="00265DAA">
        <w:rPr>
          <w:rFonts w:asciiTheme="minorHAnsi" w:hAnsiTheme="minorHAnsi"/>
          <w:b w:val="0"/>
          <w:iCs/>
        </w:rPr>
        <w:t>Responsibility</w:t>
      </w:r>
    </w:p>
    <w:p w14:paraId="16512307" w14:textId="1F65D044" w:rsidR="006A24B8" w:rsidRPr="00AF2304" w:rsidRDefault="004E672B" w:rsidP="00A53BBC">
      <w:pPr>
        <w:pStyle w:val="FOATemplateBody"/>
        <w:ind w:left="1800"/>
        <w:rPr>
          <w:rFonts w:asciiTheme="minorHAnsi" w:hAnsiTheme="minorHAnsi"/>
        </w:rPr>
      </w:pPr>
      <w:r w:rsidRPr="00AF2304">
        <w:rPr>
          <w:rFonts w:asciiTheme="minorHAnsi" w:hAnsiTheme="minorHAnsi"/>
        </w:rPr>
        <w:t xml:space="preserve">The </w:t>
      </w:r>
      <w:r w:rsidR="00755004">
        <w:rPr>
          <w:rFonts w:asciiTheme="minorHAnsi" w:hAnsiTheme="minorHAnsi"/>
        </w:rPr>
        <w:t>p</w:t>
      </w:r>
      <w:r w:rsidR="00755004" w:rsidRPr="00AF2304">
        <w:rPr>
          <w:rFonts w:asciiTheme="minorHAnsi" w:hAnsiTheme="minorHAnsi"/>
        </w:rPr>
        <w:t xml:space="preserve">rime </w:t>
      </w:r>
      <w:r w:rsidR="00755004">
        <w:rPr>
          <w:rFonts w:asciiTheme="minorHAnsi" w:hAnsiTheme="minorHAnsi"/>
        </w:rPr>
        <w:t>r</w:t>
      </w:r>
      <w:r w:rsidR="00755004" w:rsidRPr="00AF2304">
        <w:rPr>
          <w:rFonts w:asciiTheme="minorHAnsi" w:hAnsiTheme="minorHAnsi"/>
        </w:rPr>
        <w:t xml:space="preserve">ecipient </w:t>
      </w:r>
      <w:r w:rsidRPr="00AF2304">
        <w:rPr>
          <w:rFonts w:asciiTheme="minorHAnsi" w:hAnsiTheme="minorHAnsi"/>
        </w:rPr>
        <w:t xml:space="preserve">will be the responsible authority regarding the settlement and satisfaction of all contractual and administrative issues including but not limited to disputes and claims arising out of any agreement between the </w:t>
      </w:r>
      <w:r w:rsidR="00755004">
        <w:rPr>
          <w:rFonts w:asciiTheme="minorHAnsi" w:hAnsiTheme="minorHAnsi"/>
        </w:rPr>
        <w:t>p</w:t>
      </w:r>
      <w:r w:rsidR="00755004" w:rsidRPr="00AF2304">
        <w:rPr>
          <w:rFonts w:asciiTheme="minorHAnsi" w:hAnsiTheme="minorHAnsi"/>
        </w:rPr>
        <w:t xml:space="preserve">rime </w:t>
      </w:r>
      <w:r w:rsidR="00755004">
        <w:rPr>
          <w:rFonts w:asciiTheme="minorHAnsi" w:hAnsiTheme="minorHAnsi"/>
        </w:rPr>
        <w:t>r</w:t>
      </w:r>
      <w:r w:rsidR="00755004" w:rsidRPr="00AF2304">
        <w:rPr>
          <w:rFonts w:asciiTheme="minorHAnsi" w:hAnsiTheme="minorHAnsi"/>
        </w:rPr>
        <w:t xml:space="preserve">ecipient </w:t>
      </w:r>
      <w:r w:rsidRPr="00AF2304">
        <w:rPr>
          <w:rFonts w:asciiTheme="minorHAnsi" w:hAnsiTheme="minorHAnsi"/>
        </w:rPr>
        <w:t>and the FFRDC.</w:t>
      </w:r>
    </w:p>
    <w:p w14:paraId="41B96EED" w14:textId="27940667" w:rsidR="006A24B8" w:rsidRPr="00CF5CA4" w:rsidRDefault="006A24B8" w:rsidP="00C12E27">
      <w:pPr>
        <w:pStyle w:val="FOATemplateTable"/>
        <w:ind w:left="1980" w:hanging="360"/>
        <w:rPr>
          <w:color w:val="auto"/>
        </w:rPr>
      </w:pPr>
    </w:p>
    <w:p w14:paraId="01E15A76" w14:textId="77777777" w:rsidR="006A24B8" w:rsidRPr="00265DAA" w:rsidRDefault="004E672B" w:rsidP="00265DAA">
      <w:pPr>
        <w:pStyle w:val="FOAHeading4"/>
        <w:numPr>
          <w:ilvl w:val="0"/>
          <w:numId w:val="110"/>
        </w:numPr>
        <w:rPr>
          <w:rFonts w:asciiTheme="minorHAnsi" w:eastAsiaTheme="minorEastAsia" w:hAnsiTheme="minorHAnsi"/>
          <w:b w:val="0"/>
          <w:iCs/>
          <w:color w:val="auto"/>
        </w:rPr>
      </w:pPr>
      <w:r w:rsidRPr="00265DAA">
        <w:rPr>
          <w:rFonts w:asciiTheme="minorHAnsi" w:eastAsiaTheme="minorEastAsia" w:hAnsiTheme="minorHAnsi"/>
          <w:b w:val="0"/>
          <w:iCs/>
          <w:color w:val="auto"/>
        </w:rPr>
        <w:t>Limit on FFRDC Effort</w:t>
      </w:r>
    </w:p>
    <w:p w14:paraId="46A501B1" w14:textId="6D0C2690" w:rsidR="00CE31A0" w:rsidRPr="00410EA5" w:rsidRDefault="00CE31A0" w:rsidP="008B0D95">
      <w:pPr>
        <w:rPr>
          <w:b/>
          <w:color w:val="0000FF"/>
        </w:rPr>
      </w:pPr>
    </w:p>
    <w:p w14:paraId="6AF2634D" w14:textId="06304226" w:rsidR="006A24B8" w:rsidRPr="00CF5CA4" w:rsidRDefault="004E672B" w:rsidP="00A53BBC">
      <w:pPr>
        <w:ind w:left="1800"/>
      </w:pPr>
      <w:r w:rsidRPr="00B94628">
        <w:t xml:space="preserve">The FFRDC effort, in aggregate, shall not exceed </w:t>
      </w:r>
      <w:r w:rsidR="00261657" w:rsidRPr="008B0D95">
        <w:rPr>
          <w:rStyle w:val="Style1"/>
        </w:rPr>
        <w:t>50</w:t>
      </w:r>
      <w:r w:rsidR="0037577A" w:rsidRPr="00B94628">
        <w:t>%</w:t>
      </w:r>
      <w:r w:rsidRPr="00B94628">
        <w:t xml:space="preserve"> of the total estimated cost of the project, including the applicant’s and the FFRDC’s portions of the </w:t>
      </w:r>
      <w:r w:rsidR="009B20F4" w:rsidRPr="00866E93">
        <w:t>effort</w:t>
      </w:r>
      <w:r w:rsidRPr="00B94628">
        <w:t>.</w:t>
      </w:r>
    </w:p>
    <w:p w14:paraId="6FD86A05" w14:textId="77777777" w:rsidR="006A24B8" w:rsidRPr="00CF5CA4" w:rsidRDefault="006A24B8" w:rsidP="008858B4"/>
    <w:p w14:paraId="5C683521" w14:textId="3D0113BA" w:rsidR="006A24B8" w:rsidRPr="00CF5CA4" w:rsidRDefault="004E672B" w:rsidP="001612A1">
      <w:pPr>
        <w:pStyle w:val="FOAHeading2"/>
      </w:pPr>
      <w:bookmarkStart w:id="187" w:name="_Toc517798908"/>
      <w:bookmarkStart w:id="188" w:name="_Toc519602236"/>
      <w:bookmarkStart w:id="189" w:name="_Toc519602338"/>
      <w:bookmarkStart w:id="190" w:name="_Toc176864435"/>
      <w:r w:rsidRPr="00CF5CA4">
        <w:t xml:space="preserve">Limitation on Number </w:t>
      </w:r>
      <w:r w:rsidR="00A33124" w:rsidRPr="00CF5CA4">
        <w:t xml:space="preserve">of Concept Papers and Full Applications </w:t>
      </w:r>
      <w:r w:rsidRPr="00CF5CA4">
        <w:t>Eligible for Review</w:t>
      </w:r>
      <w:bookmarkEnd w:id="187"/>
      <w:bookmarkEnd w:id="188"/>
      <w:bookmarkEnd w:id="189"/>
      <w:bookmarkEnd w:id="190"/>
    </w:p>
    <w:p w14:paraId="23478D48" w14:textId="71290F8A" w:rsidR="00C45E9B" w:rsidRDefault="00C45E9B" w:rsidP="00E42B15">
      <w:pPr>
        <w:ind w:left="1440"/>
        <w:rPr>
          <w:color w:val="0000FF"/>
        </w:rPr>
      </w:pPr>
    </w:p>
    <w:p w14:paraId="2DE31894" w14:textId="4D08E9D2" w:rsidR="00C45E9B" w:rsidRPr="00822054" w:rsidRDefault="004E672B" w:rsidP="00E42B15">
      <w:pPr>
        <w:ind w:left="1440"/>
      </w:pPr>
      <w:r w:rsidRPr="00822054">
        <w:t>An entity may submit more than one Concept Paper and Full Application to this FOA, provided that each application describes a unique, scientifically distinct project and an eligible Concept Paper was submitted for each Full Application.</w:t>
      </w:r>
    </w:p>
    <w:p w14:paraId="4683FE1F" w14:textId="77777777" w:rsidR="00C45E9B" w:rsidRPr="008858B4" w:rsidRDefault="00C45E9B" w:rsidP="008858B4"/>
    <w:p w14:paraId="15CDD42D" w14:textId="3DF276CB" w:rsidR="006A24B8" w:rsidRPr="007A3912" w:rsidRDefault="004E672B" w:rsidP="001612A1">
      <w:pPr>
        <w:pStyle w:val="FOAHeading2"/>
      </w:pPr>
      <w:bookmarkStart w:id="191" w:name="_Toc517798909"/>
      <w:bookmarkStart w:id="192" w:name="_Toc519602237"/>
      <w:bookmarkStart w:id="193" w:name="_Toc519602339"/>
      <w:bookmarkStart w:id="194" w:name="_Toc176864436"/>
      <w:r w:rsidRPr="007A3912">
        <w:t>Questions Regarding Eligibility</w:t>
      </w:r>
      <w:bookmarkEnd w:id="191"/>
      <w:bookmarkEnd w:id="192"/>
      <w:bookmarkEnd w:id="193"/>
      <w:bookmarkEnd w:id="194"/>
    </w:p>
    <w:p w14:paraId="14517F6B" w14:textId="1F956FA3" w:rsidR="006A24B8" w:rsidRPr="008858B4" w:rsidRDefault="004E672B" w:rsidP="00E42B15">
      <w:pPr>
        <w:ind w:left="1440"/>
      </w:pPr>
      <w:r w:rsidRPr="008858B4">
        <w:t xml:space="preserve">EERE will not make eligibility determinations for potential applicants prior to the date on which applications to this FOA must be submitted. The decision whether to </w:t>
      </w:r>
      <w:r w:rsidR="009B20F4">
        <w:t>apply</w:t>
      </w:r>
      <w:r w:rsidRPr="008858B4">
        <w:t xml:space="preserve"> in response to this FOA lies solely with the applicant.</w:t>
      </w:r>
    </w:p>
    <w:p w14:paraId="1591E0C6" w14:textId="77777777" w:rsidR="006A24B8" w:rsidRDefault="006A24B8"/>
    <w:p w14:paraId="4D2D717A" w14:textId="77777777" w:rsidR="001E0D1A" w:rsidRDefault="001E0D1A"/>
    <w:p w14:paraId="07A0340C" w14:textId="77777777" w:rsidR="001E0D1A" w:rsidRDefault="001E0D1A"/>
    <w:p w14:paraId="71F426BC" w14:textId="77777777" w:rsidR="001E0D1A" w:rsidRDefault="001E0D1A"/>
    <w:p w14:paraId="54A574C8" w14:textId="77777777" w:rsidR="001E0D1A" w:rsidRDefault="001E0D1A"/>
    <w:p w14:paraId="1FE6645B" w14:textId="77777777" w:rsidR="001E0D1A" w:rsidRDefault="001E0D1A"/>
    <w:p w14:paraId="2EE8F94D" w14:textId="77777777" w:rsidR="001E0D1A" w:rsidRDefault="001E0D1A"/>
    <w:p w14:paraId="31E0FC99" w14:textId="77777777" w:rsidR="001E0D1A" w:rsidRPr="00CE70C9" w:rsidRDefault="001E0D1A"/>
    <w:p w14:paraId="1868C88D" w14:textId="312CD61F" w:rsidR="006A24B8" w:rsidRPr="00126FBB" w:rsidRDefault="004E672B" w:rsidP="00B159B5">
      <w:pPr>
        <w:pStyle w:val="FOAHeading1"/>
      </w:pPr>
      <w:bookmarkStart w:id="195" w:name="_Toc517350974"/>
      <w:bookmarkStart w:id="196" w:name="_Toc517771554"/>
      <w:bookmarkStart w:id="197" w:name="_Toc517797771"/>
      <w:bookmarkStart w:id="198" w:name="_Toc517797851"/>
      <w:bookmarkStart w:id="199" w:name="_Toc517797929"/>
      <w:bookmarkStart w:id="200" w:name="_Toc517798044"/>
      <w:bookmarkStart w:id="201" w:name="_Toc517798269"/>
      <w:bookmarkStart w:id="202" w:name="_Toc517798350"/>
      <w:bookmarkStart w:id="203" w:name="_Toc517798910"/>
      <w:bookmarkStart w:id="204" w:name="_Toc517799174"/>
      <w:bookmarkStart w:id="205" w:name="_Toc519602166"/>
      <w:bookmarkStart w:id="206" w:name="_Toc519602238"/>
      <w:bookmarkStart w:id="207" w:name="_Toc519602340"/>
      <w:bookmarkStart w:id="208" w:name="_Toc519602506"/>
      <w:bookmarkStart w:id="209" w:name="_Toc520382615"/>
      <w:bookmarkStart w:id="210" w:name="_Toc520455613"/>
      <w:bookmarkStart w:id="211" w:name="_Toc520455783"/>
      <w:bookmarkStart w:id="212" w:name="_Toc517798911"/>
      <w:bookmarkStart w:id="213" w:name="_Toc519602239"/>
      <w:bookmarkStart w:id="214" w:name="_Toc519602341"/>
      <w:bookmarkStart w:id="215" w:name="_Toc176864437"/>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126FBB">
        <w:lastRenderedPageBreak/>
        <w:t>Application and Submission Information</w:t>
      </w:r>
      <w:bookmarkEnd w:id="212"/>
      <w:bookmarkEnd w:id="213"/>
      <w:bookmarkEnd w:id="214"/>
      <w:bookmarkEnd w:id="215"/>
    </w:p>
    <w:p w14:paraId="06E27AAE" w14:textId="77777777" w:rsidR="000A6BE4" w:rsidRPr="00B5344E" w:rsidRDefault="000A6BE4" w:rsidP="00A53BBC"/>
    <w:p w14:paraId="39891431" w14:textId="77777777" w:rsidR="006A24B8" w:rsidRPr="00872882" w:rsidRDefault="004E672B" w:rsidP="001612A1">
      <w:pPr>
        <w:pStyle w:val="FOAHeading2"/>
      </w:pPr>
      <w:bookmarkStart w:id="216" w:name="_Toc517798912"/>
      <w:bookmarkStart w:id="217" w:name="_Toc519602240"/>
      <w:bookmarkStart w:id="218" w:name="_Toc519602342"/>
      <w:bookmarkStart w:id="219" w:name="_Toc176864438"/>
      <w:r w:rsidRPr="00221643">
        <w:t>Application Process</w:t>
      </w:r>
      <w:bookmarkEnd w:id="216"/>
      <w:bookmarkEnd w:id="217"/>
      <w:bookmarkEnd w:id="218"/>
      <w:bookmarkEnd w:id="219"/>
      <w:r w:rsidRPr="00221643">
        <w:t xml:space="preserve"> </w:t>
      </w:r>
    </w:p>
    <w:p w14:paraId="1200889A" w14:textId="44AE71E8" w:rsidR="00001B11" w:rsidRDefault="006D084E" w:rsidP="007F355D">
      <w:pPr>
        <w:ind w:left="1080"/>
      </w:pPr>
      <w:r>
        <w:t>T</w:t>
      </w:r>
      <w:r w:rsidR="004C28C9" w:rsidRPr="004C28C9">
        <w:t>he application process include</w:t>
      </w:r>
      <w:r w:rsidR="004F1B68">
        <w:t>s</w:t>
      </w:r>
      <w:r w:rsidR="004C28C9" w:rsidRPr="004C28C9">
        <w:t xml:space="preserve"> </w:t>
      </w:r>
      <w:r w:rsidR="00B53822" w:rsidRPr="008B0D95">
        <w:t>two</w:t>
      </w:r>
      <w:r w:rsidR="009B20F4">
        <w:t xml:space="preserve"> submission</w:t>
      </w:r>
      <w:r w:rsidR="009B20F4" w:rsidDel="009B20F4">
        <w:t xml:space="preserve"> </w:t>
      </w:r>
      <w:r>
        <w:t>phases: Concept Paper, and Full Application</w:t>
      </w:r>
      <w:r w:rsidR="004C28C9">
        <w:t>.</w:t>
      </w:r>
      <w:r w:rsidR="003C7028">
        <w:t xml:space="preserve"> </w:t>
      </w:r>
      <w:r w:rsidR="00541360">
        <w:rPr>
          <w:b/>
          <w:u w:val="single"/>
        </w:rPr>
        <w:t>O</w:t>
      </w:r>
      <w:r w:rsidR="00F01494">
        <w:rPr>
          <w:b/>
          <w:u w:val="single"/>
        </w:rPr>
        <w:t>nly applicants who have submitted an eligible Concept Paper will be eligible to submit a Full Application</w:t>
      </w:r>
      <w:r w:rsidR="00F01494">
        <w:t>.</w:t>
      </w:r>
    </w:p>
    <w:p w14:paraId="4CD91E4E" w14:textId="77777777" w:rsidR="00001B11" w:rsidRDefault="00001B11" w:rsidP="007F355D">
      <w:pPr>
        <w:ind w:left="1080"/>
      </w:pPr>
    </w:p>
    <w:p w14:paraId="49D7352C" w14:textId="77777777" w:rsidR="009B20F4" w:rsidRPr="008858B4" w:rsidRDefault="009B20F4" w:rsidP="009B20F4">
      <w:pPr>
        <w:ind w:left="1080"/>
      </w:pPr>
      <w:r w:rsidRPr="008858B4">
        <w:t>All submissions must conform to the form and content requirements</w:t>
      </w:r>
      <w:r>
        <w:t xml:space="preserve"> described below</w:t>
      </w:r>
      <w:r w:rsidRPr="008858B4">
        <w:t>, including maximum page lengths</w:t>
      </w:r>
      <w:r>
        <w:t>.</w:t>
      </w:r>
      <w:r w:rsidRPr="008858B4">
        <w:t xml:space="preserve"> </w:t>
      </w:r>
    </w:p>
    <w:p w14:paraId="68D8682A" w14:textId="77777777" w:rsidR="006A24B8" w:rsidRPr="008858B4" w:rsidRDefault="006A24B8" w:rsidP="007F355D">
      <w:pPr>
        <w:ind w:left="1080"/>
      </w:pPr>
    </w:p>
    <w:p w14:paraId="5120FC75" w14:textId="77777777" w:rsidR="006A24B8" w:rsidRPr="008858B4" w:rsidRDefault="004E672B" w:rsidP="007F355D">
      <w:pPr>
        <w:pStyle w:val="ListParagraph"/>
        <w:numPr>
          <w:ilvl w:val="0"/>
          <w:numId w:val="10"/>
        </w:numPr>
        <w:ind w:left="1440"/>
      </w:pPr>
      <w:r w:rsidRPr="008858B4">
        <w:t>Each must be submitted in Adobe PDF format unless stated otherwise</w:t>
      </w:r>
      <w:r w:rsidR="008D2B4F">
        <w:t>;</w:t>
      </w:r>
    </w:p>
    <w:p w14:paraId="7981EF3D" w14:textId="77777777" w:rsidR="006A24B8" w:rsidRPr="008858B4" w:rsidRDefault="004E672B" w:rsidP="007F355D">
      <w:pPr>
        <w:pStyle w:val="ListParagraph"/>
        <w:numPr>
          <w:ilvl w:val="0"/>
          <w:numId w:val="10"/>
        </w:numPr>
        <w:ind w:left="1440"/>
      </w:pPr>
      <w:r w:rsidRPr="008858B4">
        <w:t>Each must be written in English</w:t>
      </w:r>
      <w:r w:rsidR="008D2B4F">
        <w:t>;</w:t>
      </w:r>
    </w:p>
    <w:p w14:paraId="08C3F618" w14:textId="06215E81" w:rsidR="006A24B8" w:rsidRPr="008858B4" w:rsidRDefault="004E672B" w:rsidP="007F355D">
      <w:pPr>
        <w:pStyle w:val="ListParagraph"/>
        <w:numPr>
          <w:ilvl w:val="0"/>
          <w:numId w:val="10"/>
        </w:numPr>
        <w:ind w:left="1440"/>
      </w:pPr>
      <w:r w:rsidRPr="008858B4">
        <w:t>All pages must be formatted to fit on 8.5</w:t>
      </w:r>
      <w:r w:rsidR="009B20F4">
        <w:t>”</w:t>
      </w:r>
      <w:r w:rsidRPr="008858B4">
        <w:t xml:space="preserve"> x 11</w:t>
      </w:r>
      <w:r w:rsidR="009B20F4">
        <w:t>”</w:t>
      </w:r>
      <w:r w:rsidRPr="008858B4">
        <w:t xml:space="preserve"> paper with margins not less than one inch on every side. Use </w:t>
      </w:r>
      <w:r w:rsidR="00A73F7D">
        <w:t>Calibri</w:t>
      </w:r>
      <w:r w:rsidRPr="008858B4">
        <w:t xml:space="preserve"> typeface, a black font color, and a font size of 12</w:t>
      </w:r>
      <w:r w:rsidR="009B20F4">
        <w:t>-</w:t>
      </w:r>
      <w:r w:rsidRPr="008858B4">
        <w:t>point or larger (except in figures or tables, which may be 10</w:t>
      </w:r>
      <w:r w:rsidR="009B20F4">
        <w:t>-</w:t>
      </w:r>
      <w:r w:rsidRPr="008858B4">
        <w:t>point font). A symbol font may be used to insert Greek letters or special characters, but the font size requirement still applies. References must be included as footnotes or endnotes in a font size of 10 or larger. Footnotes and endnotes are counted toward the maximum page requirement</w:t>
      </w:r>
      <w:r w:rsidR="008D2B4F">
        <w:t>;</w:t>
      </w:r>
    </w:p>
    <w:p w14:paraId="0E930F35" w14:textId="77777777" w:rsidR="009B20F4" w:rsidRDefault="009B20F4" w:rsidP="009B20F4">
      <w:pPr>
        <w:pStyle w:val="ListParagraph"/>
        <w:numPr>
          <w:ilvl w:val="0"/>
          <w:numId w:val="10"/>
        </w:numPr>
        <w:ind w:left="1440"/>
      </w:pPr>
      <w:r w:rsidRPr="008858B4">
        <w:t xml:space="preserve">A </w:t>
      </w:r>
      <w:r w:rsidRPr="00F51A4A">
        <w:rPr>
          <w:b/>
          <w:bCs/>
        </w:rPr>
        <w:t>control number</w:t>
      </w:r>
      <w:r w:rsidRPr="008858B4">
        <w:t xml:space="preserve"> will be issued when an applicant begins the </w:t>
      </w:r>
      <w:r>
        <w:t>EERE eXCHANGE</w:t>
      </w:r>
      <w:r w:rsidRPr="008858B4">
        <w:t xml:space="preserve"> application process. The </w:t>
      </w:r>
      <w:r>
        <w:t>c</w:t>
      </w:r>
      <w:r w:rsidRPr="008858B4">
        <w:t xml:space="preserve">ontrol </w:t>
      </w:r>
      <w:r>
        <w:t>n</w:t>
      </w:r>
      <w:r w:rsidRPr="008858B4">
        <w:t>umber must</w:t>
      </w:r>
      <w:r>
        <w:t xml:space="preserve"> be included with all application documents. Specifically, the control number must</w:t>
      </w:r>
      <w:r w:rsidRPr="008858B4">
        <w:t xml:space="preserve"> be prominently displayed on the upper right corner of the header of every page</w:t>
      </w:r>
      <w:r>
        <w:t xml:space="preserve"> and included in the file name (i.e., </w:t>
      </w:r>
      <w:r w:rsidRPr="00F51A4A">
        <w:rPr>
          <w:i/>
          <w:iCs/>
        </w:rPr>
        <w:t>Control Number_Applicant Name_Full Application</w:t>
      </w:r>
      <w:r>
        <w:t>);</w:t>
      </w:r>
      <w:r w:rsidRPr="008858B4">
        <w:t xml:space="preserve"> </w:t>
      </w:r>
    </w:p>
    <w:p w14:paraId="3ABB1E79" w14:textId="77777777" w:rsidR="009B20F4" w:rsidRPr="008858B4" w:rsidRDefault="009B20F4" w:rsidP="009B20F4">
      <w:pPr>
        <w:pStyle w:val="ListParagraph"/>
        <w:numPr>
          <w:ilvl w:val="0"/>
          <w:numId w:val="10"/>
        </w:numPr>
        <w:ind w:left="1440"/>
      </w:pPr>
      <w:r w:rsidRPr="008858B4">
        <w:t>Page numbers must be included in the footer of every page</w:t>
      </w:r>
      <w:r>
        <w:t>; and</w:t>
      </w:r>
    </w:p>
    <w:p w14:paraId="720D257E" w14:textId="77777777" w:rsidR="006A24B8" w:rsidRPr="008858B4" w:rsidRDefault="004E672B" w:rsidP="007F355D">
      <w:pPr>
        <w:pStyle w:val="ListParagraph"/>
        <w:numPr>
          <w:ilvl w:val="0"/>
          <w:numId w:val="10"/>
        </w:numPr>
        <w:ind w:left="1440"/>
      </w:pPr>
      <w:r w:rsidRPr="008858B4">
        <w:t>Each submission must not exceed the specified maximum page limit, including cover page, charts, graphs, maps, and photographs when printed using the formatting requirements set forth above and single spaced. If applicants exceed the maximum page lengths indicated below, EERE will review only the authorized number of pages and disregard any additional pages.</w:t>
      </w:r>
    </w:p>
    <w:p w14:paraId="7D6438BF" w14:textId="77777777" w:rsidR="006A24B8" w:rsidRPr="008858B4" w:rsidRDefault="006A24B8" w:rsidP="007F355D"/>
    <w:p w14:paraId="0E360CC5" w14:textId="36F3B20A" w:rsidR="006A24B8" w:rsidRPr="00872882" w:rsidRDefault="004E672B" w:rsidP="004D5367">
      <w:pPr>
        <w:pStyle w:val="FOAHeading3"/>
        <w:numPr>
          <w:ilvl w:val="0"/>
          <w:numId w:val="39"/>
        </w:numPr>
        <w:ind w:left="1440"/>
        <w:outlineLvl w:val="2"/>
      </w:pPr>
      <w:bookmarkStart w:id="220" w:name="_Toc519602343"/>
      <w:bookmarkStart w:id="221" w:name="_Toc176864439"/>
      <w:r w:rsidRPr="00C72CE2">
        <w:t xml:space="preserve">Additional Information on </w:t>
      </w:r>
      <w:r w:rsidR="00F418CA">
        <w:t xml:space="preserve">EERE </w:t>
      </w:r>
      <w:bookmarkEnd w:id="220"/>
      <w:r w:rsidR="00D615E8">
        <w:t>eXCHANGE</w:t>
      </w:r>
      <w:bookmarkEnd w:id="221"/>
      <w:r w:rsidR="005224D4" w:rsidRPr="0022038E">
        <w:t xml:space="preserve"> </w:t>
      </w:r>
    </w:p>
    <w:p w14:paraId="4A94A6E0" w14:textId="74054937" w:rsidR="006A24B8" w:rsidRPr="00AF2304" w:rsidRDefault="00F418CA" w:rsidP="00A53BBC">
      <w:pPr>
        <w:pStyle w:val="FOATemplateBody"/>
        <w:ind w:left="1440"/>
        <w:rPr>
          <w:rFonts w:asciiTheme="minorHAnsi" w:hAnsiTheme="minorHAnsi"/>
        </w:rPr>
      </w:pPr>
      <w:bookmarkStart w:id="222" w:name="_Toc378067975"/>
      <w:r>
        <w:rPr>
          <w:rFonts w:asciiTheme="minorHAnsi" w:hAnsiTheme="minorHAnsi"/>
        </w:rPr>
        <w:t xml:space="preserve">EERE </w:t>
      </w:r>
      <w:r w:rsidR="00D615E8">
        <w:rPr>
          <w:rFonts w:asciiTheme="minorHAnsi" w:hAnsiTheme="minorHAnsi"/>
        </w:rPr>
        <w:t>eXCHANGE</w:t>
      </w:r>
      <w:r w:rsidR="004E672B" w:rsidRPr="00AF2304">
        <w:rPr>
          <w:rFonts w:asciiTheme="minorHAnsi" w:hAnsiTheme="minorHAnsi"/>
        </w:rPr>
        <w:t xml:space="preserve"> is designed to enforce the deadlines specified in this FOA. The “Apply” and “Submit” buttons will automatically disable at the defined submission deadlines. </w:t>
      </w:r>
      <w:bookmarkEnd w:id="222"/>
    </w:p>
    <w:p w14:paraId="43D2B9E3" w14:textId="77777777" w:rsidR="006A24B8" w:rsidRPr="008858B4" w:rsidRDefault="004E672B" w:rsidP="00F54563">
      <w:pPr>
        <w:pStyle w:val="FOATemplateBody"/>
        <w:ind w:left="1620" w:hanging="180"/>
        <w:rPr>
          <w:rFonts w:asciiTheme="minorHAnsi" w:hAnsiTheme="minorHAnsi"/>
        </w:rPr>
      </w:pPr>
      <w:bookmarkStart w:id="223" w:name="_Toc378067976"/>
      <w:r>
        <w:rPr>
          <w:rFonts w:asciiTheme="minorHAnsi" w:hAnsiTheme="minorHAnsi"/>
        </w:rPr>
        <w:tab/>
      </w:r>
    </w:p>
    <w:p w14:paraId="4C884D13" w14:textId="00BF5CF9" w:rsidR="006A24B8" w:rsidRDefault="004E672B" w:rsidP="00B96293">
      <w:pPr>
        <w:pStyle w:val="FOATemplateBody"/>
        <w:ind w:left="1440"/>
        <w:rPr>
          <w:rFonts w:asciiTheme="minorHAnsi" w:hAnsiTheme="minorHAnsi"/>
        </w:rPr>
      </w:pPr>
      <w:r w:rsidRPr="00AF2304">
        <w:rPr>
          <w:rFonts w:asciiTheme="minorHAnsi" w:hAnsiTheme="minorHAnsi"/>
        </w:rPr>
        <w:t xml:space="preserve">Applicants </w:t>
      </w:r>
      <w:r w:rsidR="00AE30D2">
        <w:rPr>
          <w:rFonts w:asciiTheme="minorHAnsi" w:hAnsiTheme="minorHAnsi"/>
        </w:rPr>
        <w:t>who</w:t>
      </w:r>
      <w:r w:rsidRPr="00AF2304">
        <w:rPr>
          <w:rFonts w:asciiTheme="minorHAnsi" w:hAnsiTheme="minorHAnsi"/>
        </w:rPr>
        <w:t xml:space="preserve"> experience </w:t>
      </w:r>
      <w:r w:rsidR="00AE30D2">
        <w:rPr>
          <w:rFonts w:asciiTheme="minorHAnsi" w:hAnsiTheme="minorHAnsi"/>
        </w:rPr>
        <w:t>technical difficulties</w:t>
      </w:r>
      <w:r w:rsidRPr="00AF2304">
        <w:rPr>
          <w:rFonts w:asciiTheme="minorHAnsi" w:hAnsiTheme="minorHAnsi"/>
        </w:rPr>
        <w:t xml:space="preserve"> with submission </w:t>
      </w:r>
      <w:r w:rsidRPr="00AF2304">
        <w:rPr>
          <w:rFonts w:asciiTheme="minorHAnsi" w:hAnsiTheme="minorHAnsi"/>
          <w:u w:val="single"/>
        </w:rPr>
        <w:t>PRIOR</w:t>
      </w:r>
      <w:r w:rsidRPr="00AF2304">
        <w:rPr>
          <w:rFonts w:asciiTheme="minorHAnsi" w:hAnsiTheme="minorHAnsi"/>
        </w:rPr>
        <w:t xml:space="preserve"> to the FOA deadline</w:t>
      </w:r>
      <w:r w:rsidR="008D2B4F" w:rsidRPr="00AF2304">
        <w:rPr>
          <w:rFonts w:asciiTheme="minorHAnsi" w:hAnsiTheme="minorHAnsi"/>
        </w:rPr>
        <w:t xml:space="preserve"> </w:t>
      </w:r>
      <w:r w:rsidRPr="00AF2304">
        <w:rPr>
          <w:rFonts w:asciiTheme="minorHAnsi" w:hAnsiTheme="minorHAnsi"/>
        </w:rPr>
        <w:t xml:space="preserve">should contact the </w:t>
      </w:r>
      <w:r w:rsidR="00F418CA">
        <w:rPr>
          <w:rFonts w:asciiTheme="minorHAnsi" w:hAnsiTheme="minorHAnsi"/>
        </w:rPr>
        <w:t xml:space="preserve">EERE </w:t>
      </w:r>
      <w:r w:rsidR="00D615E8">
        <w:rPr>
          <w:rFonts w:asciiTheme="minorHAnsi" w:hAnsiTheme="minorHAnsi"/>
        </w:rPr>
        <w:t>eXCHANGE</w:t>
      </w:r>
      <w:r w:rsidRPr="00AF2304">
        <w:rPr>
          <w:rFonts w:asciiTheme="minorHAnsi" w:hAnsiTheme="minorHAnsi"/>
        </w:rPr>
        <w:t xml:space="preserve"> helpdesk for assistance (</w:t>
      </w:r>
      <w:hyperlink r:id="rId25" w:history="1">
        <w:r w:rsidR="00F418CA" w:rsidRPr="003A72B1">
          <w:rPr>
            <w:rStyle w:val="Hyperlink"/>
            <w:rFonts w:asciiTheme="minorHAnsi" w:hAnsiTheme="minorHAnsi"/>
          </w:rPr>
          <w:t>EERE</w:t>
        </w:r>
        <w:r w:rsidR="003A72B1" w:rsidRPr="003A72B1">
          <w:rPr>
            <w:rStyle w:val="Hyperlink"/>
            <w:rFonts w:asciiTheme="minorHAnsi" w:hAnsiTheme="minorHAnsi"/>
          </w:rPr>
          <w:t>-</w:t>
        </w:r>
        <w:r w:rsidR="008C724D">
          <w:rPr>
            <w:rStyle w:val="Hyperlink"/>
            <w:rFonts w:asciiTheme="minorHAnsi" w:hAnsiTheme="minorHAnsi"/>
          </w:rPr>
          <w:t>eXCHANGE</w:t>
        </w:r>
        <w:r w:rsidR="00F418CA" w:rsidRPr="003A72B1">
          <w:rPr>
            <w:rStyle w:val="Hyperlink"/>
            <w:rFonts w:asciiTheme="minorHAnsi" w:hAnsiTheme="minorHAnsi"/>
          </w:rPr>
          <w:t>Support@hq.doe.gov</w:t>
        </w:r>
      </w:hyperlink>
      <w:r w:rsidR="00F418CA" w:rsidRPr="00F418CA">
        <w:rPr>
          <w:rFonts w:asciiTheme="minorHAnsi" w:hAnsiTheme="minorHAnsi"/>
        </w:rPr>
        <w:t>)</w:t>
      </w:r>
      <w:r w:rsidRPr="00AF2304">
        <w:rPr>
          <w:rFonts w:asciiTheme="minorHAnsi" w:hAnsiTheme="minorHAnsi"/>
        </w:rPr>
        <w:t>.</w:t>
      </w:r>
      <w:bookmarkEnd w:id="223"/>
    </w:p>
    <w:p w14:paraId="6DEA37EB" w14:textId="77777777" w:rsidR="006A24B8" w:rsidRPr="008858B4" w:rsidRDefault="006A24B8" w:rsidP="0027033E">
      <w:pPr>
        <w:pStyle w:val="FOATemplateBody"/>
        <w:ind w:left="1440"/>
        <w:rPr>
          <w:rFonts w:asciiTheme="minorHAnsi" w:hAnsiTheme="minorHAnsi"/>
        </w:rPr>
      </w:pPr>
    </w:p>
    <w:p w14:paraId="4D702B15" w14:textId="31A7FFBF" w:rsidR="006A24B8" w:rsidRPr="00872882" w:rsidRDefault="004E672B" w:rsidP="001612A1">
      <w:pPr>
        <w:pStyle w:val="FOAHeading2"/>
      </w:pPr>
      <w:bookmarkStart w:id="224" w:name="_Toc517798913"/>
      <w:bookmarkStart w:id="225" w:name="_Toc519602241"/>
      <w:bookmarkStart w:id="226" w:name="_Toc519602344"/>
      <w:bookmarkStart w:id="227" w:name="_Toc176864440"/>
      <w:r w:rsidRPr="00221643">
        <w:lastRenderedPageBreak/>
        <w:t>Application Forms</w:t>
      </w:r>
      <w:bookmarkEnd w:id="224"/>
      <w:bookmarkEnd w:id="225"/>
      <w:bookmarkEnd w:id="226"/>
      <w:bookmarkEnd w:id="227"/>
    </w:p>
    <w:p w14:paraId="63319014" w14:textId="3CC1AC2F" w:rsidR="006A24B8" w:rsidRPr="008858B4" w:rsidRDefault="004E672B" w:rsidP="007F355D">
      <w:pPr>
        <w:ind w:left="1080"/>
      </w:pPr>
      <w:bookmarkStart w:id="228" w:name="_Hlk148087481"/>
      <w:r w:rsidRPr="008858B4">
        <w:t xml:space="preserve">The application forms and instructions are available </w:t>
      </w:r>
      <w:r w:rsidR="009B20F4" w:rsidRPr="00F51A4A">
        <w:rPr>
          <w:rFonts w:ascii="Calibri" w:hAnsi="Calibri" w:cs="Calibri"/>
          <w:color w:val="000000"/>
        </w:rPr>
        <w:t xml:space="preserve">at </w:t>
      </w:r>
      <w:hyperlink r:id="rId26" w:history="1">
        <w:r w:rsidR="009B20F4">
          <w:rPr>
            <w:rStyle w:val="Hyperlink"/>
          </w:rPr>
          <w:t>EERE Funding Application and Management Forms</w:t>
        </w:r>
      </w:hyperlink>
      <w:r w:rsidR="009B20F4">
        <w:t xml:space="preserve"> and</w:t>
      </w:r>
      <w:r w:rsidR="009B20F4" w:rsidRPr="008858B4">
        <w:t xml:space="preserve"> </w:t>
      </w:r>
      <w:r w:rsidRPr="008858B4">
        <w:t xml:space="preserve">on </w:t>
      </w:r>
      <w:r w:rsidR="00F418CA">
        <w:t xml:space="preserve">EERE </w:t>
      </w:r>
      <w:r w:rsidR="00D615E8">
        <w:t>eXCHANGE</w:t>
      </w:r>
      <w:r w:rsidRPr="008858B4">
        <w:t xml:space="preserve">. </w:t>
      </w:r>
      <w:bookmarkEnd w:id="228"/>
      <w:r w:rsidRPr="008858B4">
        <w:t>To access these materials</w:t>
      </w:r>
      <w:r w:rsidR="009B20F4" w:rsidRPr="009B20F4">
        <w:t xml:space="preserve"> </w:t>
      </w:r>
      <w:r w:rsidR="009B20F4">
        <w:t>on EERE eXCHANGE</w:t>
      </w:r>
      <w:r w:rsidRPr="008858B4">
        <w:t xml:space="preserve">, go </w:t>
      </w:r>
      <w:r w:rsidR="00F418CA">
        <w:t xml:space="preserve">to </w:t>
      </w:r>
      <w:hyperlink r:id="rId27" w:history="1">
        <w:r w:rsidR="00D615E8">
          <w:rPr>
            <w:rStyle w:val="Hyperlink"/>
            <w:rFonts w:ascii="Calibri" w:hAnsi="Calibri" w:cs="Calibri"/>
            <w:szCs w:val="24"/>
          </w:rPr>
          <w:t>https://eere-eXCHANGE.energy.gov</w:t>
        </w:r>
      </w:hyperlink>
      <w:r w:rsidRPr="008858B4">
        <w:t xml:space="preserve"> and select the appropriate funding opportunity number. </w:t>
      </w:r>
    </w:p>
    <w:p w14:paraId="7F714C18" w14:textId="77777777" w:rsidR="006A24B8" w:rsidRPr="008858B4" w:rsidRDefault="006A24B8" w:rsidP="007F355D">
      <w:pPr>
        <w:ind w:left="1080" w:hanging="360"/>
      </w:pPr>
    </w:p>
    <w:p w14:paraId="38812616" w14:textId="2EAF7F23" w:rsidR="006A24B8" w:rsidRPr="008858B4" w:rsidRDefault="004E672B" w:rsidP="007F355D">
      <w:pPr>
        <w:ind w:left="1080"/>
      </w:pPr>
      <w:r w:rsidRPr="008858B4">
        <w:t>Note: The maximum file size that can be uploaded to the</w:t>
      </w:r>
      <w:r w:rsidR="00A93673">
        <w:t xml:space="preserve"> EERE </w:t>
      </w:r>
      <w:r w:rsidR="00D615E8">
        <w:t>eXCHANGE</w:t>
      </w:r>
      <w:r w:rsidRPr="008858B4">
        <w:t xml:space="preserve"> website is </w:t>
      </w:r>
      <w:r w:rsidR="009B20F4">
        <w:t>5</w:t>
      </w:r>
      <w:r w:rsidR="009B20F4" w:rsidRPr="008858B4">
        <w:t>0MB</w:t>
      </w:r>
      <w:r w:rsidRPr="008858B4">
        <w:t xml:space="preserve">. Files </w:t>
      </w:r>
      <w:r w:rsidR="00AE30D2">
        <w:t>larger than</w:t>
      </w:r>
      <w:r w:rsidRPr="008858B4">
        <w:t xml:space="preserve"> </w:t>
      </w:r>
      <w:r w:rsidR="009B20F4">
        <w:t>5</w:t>
      </w:r>
      <w:r w:rsidR="009B20F4" w:rsidRPr="008858B4">
        <w:t xml:space="preserve">0MB </w:t>
      </w:r>
      <w:r w:rsidRPr="008858B4">
        <w:t xml:space="preserve">cannot be uploaded and hence cannot be submitted for review. If a file </w:t>
      </w:r>
      <w:r w:rsidR="00AE30D2">
        <w:t>is larger than</w:t>
      </w:r>
      <w:r w:rsidRPr="008858B4">
        <w:t xml:space="preserve"> </w:t>
      </w:r>
      <w:r w:rsidR="009B20F4">
        <w:t>5</w:t>
      </w:r>
      <w:r w:rsidR="009B20F4" w:rsidRPr="008858B4">
        <w:t xml:space="preserve">0MB </w:t>
      </w:r>
      <w:r w:rsidRPr="008858B4">
        <w:t>but is still within the maximum page limit specified in the FOA, it must be broken into parts and denoted to that effect. For example:</w:t>
      </w:r>
    </w:p>
    <w:p w14:paraId="4D9EED16" w14:textId="59D8922C" w:rsidR="006A24B8" w:rsidRPr="008858B4" w:rsidRDefault="004E672B" w:rsidP="007F355D">
      <w:pPr>
        <w:ind w:left="1080"/>
        <w:rPr>
          <w:b/>
        </w:rPr>
      </w:pPr>
      <w:r>
        <w:rPr>
          <w:b/>
        </w:rPr>
        <w:t>TechnicalVolume</w:t>
      </w:r>
      <w:r w:rsidRPr="00120F39">
        <w:rPr>
          <w:b/>
        </w:rPr>
        <w:t>_Part_1</w:t>
      </w:r>
    </w:p>
    <w:p w14:paraId="64FA4FB0" w14:textId="3418B9D2" w:rsidR="006A24B8" w:rsidRPr="008858B4" w:rsidRDefault="004E672B" w:rsidP="007F355D">
      <w:pPr>
        <w:ind w:left="1080"/>
      </w:pPr>
      <w:r>
        <w:rPr>
          <w:b/>
        </w:rPr>
        <w:t>TechnicalVolume</w:t>
      </w:r>
      <w:r w:rsidRPr="6BB432CC">
        <w:rPr>
          <w:b/>
        </w:rPr>
        <w:t>_Part_2</w:t>
      </w:r>
    </w:p>
    <w:p w14:paraId="6BB294CF" w14:textId="77777777" w:rsidR="00AE30D2" w:rsidRDefault="00AE30D2" w:rsidP="00AE30D2">
      <w:pPr>
        <w:rPr>
          <w:b/>
        </w:rPr>
      </w:pPr>
    </w:p>
    <w:p w14:paraId="3D03BB2A" w14:textId="77777777" w:rsidR="00AE30D2" w:rsidRPr="008858B4" w:rsidRDefault="00AE30D2" w:rsidP="00AE30D2">
      <w:pPr>
        <w:ind w:left="1080"/>
      </w:pPr>
      <w:r>
        <w:rPr>
          <w:b/>
          <w:u w:val="single"/>
        </w:rPr>
        <w:t>DOE</w:t>
      </w:r>
      <w:r w:rsidRPr="00120F39">
        <w:rPr>
          <w:b/>
          <w:u w:val="single"/>
        </w:rPr>
        <w:t xml:space="preserve"> will not accept late submissions that resulted from technical difficulties due to uploading files that exceed </w:t>
      </w:r>
      <w:r>
        <w:rPr>
          <w:b/>
          <w:u w:val="single"/>
        </w:rPr>
        <w:t>5</w:t>
      </w:r>
      <w:r w:rsidRPr="00120F39">
        <w:rPr>
          <w:b/>
          <w:u w:val="single"/>
        </w:rPr>
        <w:t>0MB</w:t>
      </w:r>
      <w:r w:rsidRPr="008858B4">
        <w:t>.</w:t>
      </w:r>
    </w:p>
    <w:p w14:paraId="542C84AE" w14:textId="41F20131" w:rsidR="006A24B8" w:rsidRPr="008858B4" w:rsidRDefault="006A24B8" w:rsidP="008858B4"/>
    <w:p w14:paraId="4AEAE326" w14:textId="77777777" w:rsidR="006A24B8" w:rsidRPr="00872882" w:rsidRDefault="004E672B" w:rsidP="001612A1">
      <w:pPr>
        <w:pStyle w:val="FOAHeading2"/>
      </w:pPr>
      <w:bookmarkStart w:id="229" w:name="_Toc517798914"/>
      <w:bookmarkStart w:id="230" w:name="_Toc519602242"/>
      <w:bookmarkStart w:id="231" w:name="_Toc519602346"/>
      <w:bookmarkStart w:id="232" w:name="_Toc176864441"/>
      <w:r w:rsidRPr="00221643">
        <w:t>Content and Form of the Concept Paper</w:t>
      </w:r>
      <w:bookmarkEnd w:id="229"/>
      <w:bookmarkEnd w:id="230"/>
      <w:bookmarkEnd w:id="231"/>
      <w:bookmarkEnd w:id="232"/>
    </w:p>
    <w:p w14:paraId="6B09C163" w14:textId="77777777" w:rsidR="00B14C7F" w:rsidRDefault="004E672B" w:rsidP="00B14C7F">
      <w:pPr>
        <w:ind w:left="1080"/>
      </w:pPr>
      <w:r w:rsidRPr="008858B4">
        <w:t xml:space="preserve">Each Concept Paper must be limited to a single concept or technology. </w:t>
      </w:r>
      <w:r w:rsidR="00B14C7F" w:rsidRPr="008858B4">
        <w:t>The Concept Paper must conform to the requirements</w:t>
      </w:r>
      <w:r w:rsidR="00B14C7F" w:rsidRPr="00265B43">
        <w:t xml:space="preserve"> </w:t>
      </w:r>
      <w:r w:rsidR="00B14C7F">
        <w:t>listed below, including the stated page limits.</w:t>
      </w:r>
    </w:p>
    <w:p w14:paraId="0E610CCD" w14:textId="070E4B2C" w:rsidR="00724730" w:rsidRDefault="00724730" w:rsidP="005B7F24">
      <w:pPr>
        <w:ind w:left="1440"/>
        <w:rPr>
          <w:b/>
        </w:rPr>
      </w:pPr>
    </w:p>
    <w:tbl>
      <w:tblPr>
        <w:tblStyle w:val="TableGrid"/>
        <w:tblW w:w="8890" w:type="dxa"/>
        <w:tblInd w:w="715" w:type="dxa"/>
        <w:tblLook w:val="04A0" w:firstRow="1" w:lastRow="0" w:firstColumn="1" w:lastColumn="0" w:noHBand="0" w:noVBand="1"/>
      </w:tblPr>
      <w:tblGrid>
        <w:gridCol w:w="2128"/>
        <w:gridCol w:w="1313"/>
        <w:gridCol w:w="5449"/>
      </w:tblGrid>
      <w:tr w:rsidR="00BF65D1" w14:paraId="0354AA9F" w14:textId="77777777" w:rsidTr="00AF190A">
        <w:tc>
          <w:tcPr>
            <w:tcW w:w="2128" w:type="dxa"/>
            <w:shd w:val="clear" w:color="auto" w:fill="C6D9F1" w:themeFill="text2" w:themeFillTint="33"/>
          </w:tcPr>
          <w:p w14:paraId="0868192F" w14:textId="7AA4693A" w:rsidR="00776092" w:rsidRPr="008858B4" w:rsidRDefault="004E672B" w:rsidP="00AB534D">
            <w:pPr>
              <w:keepNext/>
              <w:spacing w:before="120" w:after="120"/>
              <w:rPr>
                <w:b/>
                <w:sz w:val="21"/>
                <w:szCs w:val="21"/>
              </w:rPr>
            </w:pPr>
            <w:r w:rsidRPr="00120F39">
              <w:rPr>
                <w:b/>
                <w:sz w:val="21"/>
                <w:szCs w:val="21"/>
              </w:rPr>
              <w:t>S</w:t>
            </w:r>
            <w:r w:rsidRPr="6BB432CC">
              <w:rPr>
                <w:b/>
                <w:sz w:val="21"/>
                <w:szCs w:val="21"/>
              </w:rPr>
              <w:t>ection</w:t>
            </w:r>
          </w:p>
        </w:tc>
        <w:tc>
          <w:tcPr>
            <w:tcW w:w="1313" w:type="dxa"/>
            <w:shd w:val="clear" w:color="auto" w:fill="C6D9F1" w:themeFill="text2" w:themeFillTint="33"/>
          </w:tcPr>
          <w:p w14:paraId="1C9AD9B2" w14:textId="77777777" w:rsidR="00776092" w:rsidRPr="008858B4" w:rsidRDefault="004E672B" w:rsidP="00AB534D">
            <w:pPr>
              <w:keepNext/>
              <w:spacing w:before="120" w:after="120"/>
              <w:rPr>
                <w:b/>
                <w:sz w:val="21"/>
                <w:szCs w:val="21"/>
              </w:rPr>
            </w:pPr>
            <w:r w:rsidRPr="6BB432CC">
              <w:rPr>
                <w:b/>
                <w:sz w:val="21"/>
                <w:szCs w:val="21"/>
              </w:rPr>
              <w:t>Page Limit</w:t>
            </w:r>
          </w:p>
        </w:tc>
        <w:tc>
          <w:tcPr>
            <w:tcW w:w="5449" w:type="dxa"/>
            <w:shd w:val="clear" w:color="auto" w:fill="C6D9F1" w:themeFill="text2" w:themeFillTint="33"/>
          </w:tcPr>
          <w:p w14:paraId="7B9E4F49" w14:textId="77777777" w:rsidR="00776092" w:rsidRPr="008858B4" w:rsidRDefault="004E672B" w:rsidP="00AB534D">
            <w:pPr>
              <w:keepNext/>
              <w:spacing w:before="120" w:after="120"/>
              <w:rPr>
                <w:b/>
                <w:sz w:val="21"/>
                <w:szCs w:val="21"/>
              </w:rPr>
            </w:pPr>
            <w:r w:rsidRPr="6BB432CC">
              <w:rPr>
                <w:b/>
                <w:sz w:val="21"/>
                <w:szCs w:val="21"/>
              </w:rPr>
              <w:t>Description</w:t>
            </w:r>
          </w:p>
        </w:tc>
      </w:tr>
      <w:tr w:rsidR="00BF65D1" w14:paraId="72576826" w14:textId="77777777" w:rsidTr="00AF190A">
        <w:tc>
          <w:tcPr>
            <w:tcW w:w="2128" w:type="dxa"/>
            <w:shd w:val="clear" w:color="auto" w:fill="EAF1DD" w:themeFill="accent3" w:themeFillTint="33"/>
          </w:tcPr>
          <w:p w14:paraId="77385B13" w14:textId="77093B44" w:rsidR="006A24B8" w:rsidRPr="008858B4" w:rsidRDefault="004E672B" w:rsidP="00FB03F4">
            <w:pPr>
              <w:rPr>
                <w:b/>
                <w:sz w:val="21"/>
                <w:szCs w:val="21"/>
              </w:rPr>
            </w:pPr>
            <w:r w:rsidRPr="00120F39">
              <w:rPr>
                <w:b/>
                <w:sz w:val="21"/>
                <w:szCs w:val="21"/>
              </w:rPr>
              <w:t>Cover Page</w:t>
            </w:r>
          </w:p>
        </w:tc>
        <w:tc>
          <w:tcPr>
            <w:tcW w:w="1313" w:type="dxa"/>
          </w:tcPr>
          <w:p w14:paraId="480ACFFA" w14:textId="3474A507" w:rsidR="006A24B8" w:rsidRPr="001A1B91" w:rsidRDefault="004E672B" w:rsidP="008858B4">
            <w:pPr>
              <w:rPr>
                <w:sz w:val="21"/>
                <w:szCs w:val="21"/>
              </w:rPr>
            </w:pPr>
            <w:r w:rsidRPr="001A1B91">
              <w:rPr>
                <w:sz w:val="21"/>
                <w:szCs w:val="21"/>
              </w:rPr>
              <w:t>1 page maximum</w:t>
            </w:r>
          </w:p>
        </w:tc>
        <w:tc>
          <w:tcPr>
            <w:tcW w:w="5449" w:type="dxa"/>
          </w:tcPr>
          <w:p w14:paraId="61D98F32" w14:textId="2DEF3254" w:rsidR="006A24B8" w:rsidRPr="008858B4" w:rsidRDefault="004E672B" w:rsidP="00C003D3">
            <w:pPr>
              <w:rPr>
                <w:sz w:val="21"/>
                <w:szCs w:val="21"/>
              </w:rPr>
            </w:pPr>
            <w:r w:rsidRPr="008858B4">
              <w:rPr>
                <w:color w:val="000000" w:themeColor="text1"/>
                <w:sz w:val="21"/>
                <w:szCs w:val="21"/>
              </w:rPr>
              <w:t xml:space="preserve">The cover page should include the project title, the specific </w:t>
            </w:r>
            <w:r w:rsidR="00C003D3">
              <w:rPr>
                <w:color w:val="000000" w:themeColor="text1"/>
                <w:sz w:val="21"/>
                <w:szCs w:val="21"/>
              </w:rPr>
              <w:t>announcement</w:t>
            </w:r>
            <w:r w:rsidRPr="008858B4">
              <w:rPr>
                <w:color w:val="000000" w:themeColor="text1"/>
                <w:sz w:val="21"/>
                <w:szCs w:val="21"/>
              </w:rPr>
              <w:t xml:space="preserve"> Topic Area being addressed</w:t>
            </w:r>
            <w:r w:rsidR="005133BC">
              <w:rPr>
                <w:color w:val="000000" w:themeColor="text1"/>
                <w:sz w:val="21"/>
                <w:szCs w:val="21"/>
              </w:rPr>
              <w:t xml:space="preserve"> (if applicable)</w:t>
            </w:r>
            <w:r w:rsidRPr="008858B4">
              <w:rPr>
                <w:color w:val="000000" w:themeColor="text1"/>
                <w:sz w:val="21"/>
                <w:szCs w:val="21"/>
              </w:rPr>
              <w:t xml:space="preserve">, both the technical and business points of contact, names of all team member organizations, </w:t>
            </w:r>
            <w:r w:rsidR="00B14C7F">
              <w:rPr>
                <w:color w:val="000000" w:themeColor="text1"/>
                <w:sz w:val="21"/>
                <w:szCs w:val="21"/>
              </w:rPr>
              <w:t>the project location(s),</w:t>
            </w:r>
            <w:r w:rsidR="00B14C7F" w:rsidRPr="008858B4">
              <w:rPr>
                <w:color w:val="000000" w:themeColor="text1"/>
                <w:sz w:val="21"/>
                <w:szCs w:val="21"/>
              </w:rPr>
              <w:t xml:space="preserve"> </w:t>
            </w:r>
            <w:r w:rsidRPr="008858B4">
              <w:rPr>
                <w:color w:val="000000" w:themeColor="text1"/>
                <w:sz w:val="21"/>
                <w:szCs w:val="21"/>
              </w:rPr>
              <w:t>and any statements regarding confidentiality.</w:t>
            </w:r>
          </w:p>
        </w:tc>
      </w:tr>
      <w:tr w:rsidR="00BF65D1" w14:paraId="59354A63" w14:textId="77777777" w:rsidTr="00AF190A">
        <w:tc>
          <w:tcPr>
            <w:tcW w:w="2128" w:type="dxa"/>
            <w:shd w:val="clear" w:color="auto" w:fill="EAF1DD" w:themeFill="accent3" w:themeFillTint="33"/>
          </w:tcPr>
          <w:p w14:paraId="1E4364BB" w14:textId="1111C503" w:rsidR="006A24B8" w:rsidRPr="008858B4" w:rsidRDefault="004E672B" w:rsidP="00C003D3">
            <w:pPr>
              <w:rPr>
                <w:sz w:val="21"/>
                <w:szCs w:val="21"/>
              </w:rPr>
            </w:pPr>
            <w:r>
              <w:rPr>
                <w:b/>
                <w:sz w:val="21"/>
                <w:szCs w:val="21"/>
              </w:rPr>
              <w:t>Technology</w:t>
            </w:r>
            <w:r w:rsidR="001A3502">
              <w:rPr>
                <w:b/>
                <w:sz w:val="21"/>
                <w:szCs w:val="21"/>
              </w:rPr>
              <w:t xml:space="preserve"> </w:t>
            </w:r>
            <w:r w:rsidR="00C003D3">
              <w:rPr>
                <w:b/>
                <w:sz w:val="21"/>
                <w:szCs w:val="21"/>
              </w:rPr>
              <w:t>Description</w:t>
            </w:r>
          </w:p>
        </w:tc>
        <w:tc>
          <w:tcPr>
            <w:tcW w:w="1313" w:type="dxa"/>
          </w:tcPr>
          <w:p w14:paraId="1A7C1534" w14:textId="47331B1A" w:rsidR="006A24B8" w:rsidRPr="001A1B91" w:rsidRDefault="008B2612" w:rsidP="00D069AD">
            <w:pPr>
              <w:rPr>
                <w:sz w:val="21"/>
                <w:szCs w:val="21"/>
              </w:rPr>
            </w:pPr>
            <w:r w:rsidRPr="008B0D95">
              <w:rPr>
                <w:sz w:val="21"/>
                <w:szCs w:val="21"/>
              </w:rPr>
              <w:t>3</w:t>
            </w:r>
            <w:r w:rsidR="004E672B" w:rsidRPr="001A1B91">
              <w:rPr>
                <w:sz w:val="21"/>
                <w:szCs w:val="21"/>
              </w:rPr>
              <w:t xml:space="preserve"> pages maximum</w:t>
            </w:r>
          </w:p>
        </w:tc>
        <w:tc>
          <w:tcPr>
            <w:tcW w:w="5449" w:type="dxa"/>
          </w:tcPr>
          <w:p w14:paraId="2546395E" w14:textId="25F4B225" w:rsidR="006A24B8" w:rsidRPr="008858B4" w:rsidRDefault="004E672B" w:rsidP="008858B4">
            <w:pPr>
              <w:rPr>
                <w:sz w:val="21"/>
                <w:szCs w:val="21"/>
              </w:rPr>
            </w:pPr>
            <w:r w:rsidRPr="008858B4">
              <w:rPr>
                <w:sz w:val="21"/>
                <w:szCs w:val="21"/>
              </w:rPr>
              <w:t>Applicants are required to succinctly</w:t>
            </w:r>
            <w:r w:rsidR="00AE30D2" w:rsidRPr="008858B4">
              <w:rPr>
                <w:sz w:val="21"/>
                <w:szCs w:val="21"/>
              </w:rPr>
              <w:t xml:space="preserve"> describe</w:t>
            </w:r>
            <w:r w:rsidRPr="008858B4">
              <w:rPr>
                <w:sz w:val="21"/>
                <w:szCs w:val="21"/>
              </w:rPr>
              <w:t>:</w:t>
            </w:r>
          </w:p>
          <w:p w14:paraId="12139DF3" w14:textId="77777777" w:rsidR="006A24B8" w:rsidRPr="008858B4" w:rsidRDefault="004E672B" w:rsidP="00324F39">
            <w:pPr>
              <w:pStyle w:val="ListParagraph"/>
              <w:numPr>
                <w:ilvl w:val="0"/>
                <w:numId w:val="17"/>
              </w:numPr>
              <w:rPr>
                <w:sz w:val="21"/>
                <w:szCs w:val="21"/>
              </w:rPr>
            </w:pPr>
            <w:r w:rsidRPr="008858B4">
              <w:rPr>
                <w:sz w:val="21"/>
                <w:szCs w:val="21"/>
              </w:rPr>
              <w:t>The proposed technology, including its basic operating principles and how it is unique and innovative;</w:t>
            </w:r>
          </w:p>
          <w:p w14:paraId="159F1BBE" w14:textId="77777777" w:rsidR="006A24B8" w:rsidRPr="008858B4" w:rsidRDefault="004E672B" w:rsidP="00324F39">
            <w:pPr>
              <w:pStyle w:val="ListParagraph"/>
              <w:numPr>
                <w:ilvl w:val="0"/>
                <w:numId w:val="17"/>
              </w:numPr>
              <w:rPr>
                <w:sz w:val="21"/>
                <w:szCs w:val="21"/>
              </w:rPr>
            </w:pPr>
            <w:r w:rsidRPr="008858B4">
              <w:rPr>
                <w:sz w:val="21"/>
                <w:szCs w:val="21"/>
              </w:rPr>
              <w:t>The proposed technology’s target level of performance (applicants should provide technical data or other support to show how the proposed target could be met);</w:t>
            </w:r>
          </w:p>
          <w:p w14:paraId="13F7FECD" w14:textId="14F56172" w:rsidR="006A24B8" w:rsidRPr="008858B4" w:rsidRDefault="004E672B" w:rsidP="00324F39">
            <w:pPr>
              <w:pStyle w:val="ListParagraph"/>
              <w:numPr>
                <w:ilvl w:val="0"/>
                <w:numId w:val="17"/>
              </w:numPr>
              <w:rPr>
                <w:sz w:val="21"/>
                <w:szCs w:val="21"/>
              </w:rPr>
            </w:pPr>
            <w:r w:rsidRPr="008858B4">
              <w:rPr>
                <w:sz w:val="21"/>
                <w:szCs w:val="21"/>
              </w:rPr>
              <w:t>The current state</w:t>
            </w:r>
            <w:r w:rsidR="00B14C7F">
              <w:rPr>
                <w:sz w:val="21"/>
                <w:szCs w:val="21"/>
              </w:rPr>
              <w:t xml:space="preserve"> </w:t>
            </w:r>
            <w:r w:rsidRPr="008858B4">
              <w:rPr>
                <w:sz w:val="21"/>
                <w:szCs w:val="21"/>
              </w:rPr>
              <w:t>of</w:t>
            </w:r>
            <w:r w:rsidR="00B14C7F">
              <w:rPr>
                <w:sz w:val="21"/>
                <w:szCs w:val="21"/>
              </w:rPr>
              <w:t xml:space="preserve"> </w:t>
            </w:r>
            <w:r w:rsidRPr="008858B4">
              <w:rPr>
                <w:sz w:val="21"/>
                <w:szCs w:val="21"/>
              </w:rPr>
              <w:t>the</w:t>
            </w:r>
            <w:r w:rsidR="00B14C7F">
              <w:rPr>
                <w:sz w:val="21"/>
                <w:szCs w:val="21"/>
              </w:rPr>
              <w:t xml:space="preserve"> </w:t>
            </w:r>
            <w:r w:rsidRPr="008858B4">
              <w:rPr>
                <w:sz w:val="21"/>
                <w:szCs w:val="21"/>
              </w:rPr>
              <w:t>art in the relevant field and application, including key shortcomings, limitations, and challenges;</w:t>
            </w:r>
          </w:p>
          <w:p w14:paraId="2BF6A97C" w14:textId="77777777" w:rsidR="006A24B8" w:rsidRPr="008858B4" w:rsidRDefault="004E672B" w:rsidP="00324F39">
            <w:pPr>
              <w:pStyle w:val="ListParagraph"/>
              <w:numPr>
                <w:ilvl w:val="0"/>
                <w:numId w:val="17"/>
              </w:numPr>
              <w:rPr>
                <w:sz w:val="21"/>
                <w:szCs w:val="21"/>
              </w:rPr>
            </w:pPr>
            <w:r w:rsidRPr="008858B4">
              <w:rPr>
                <w:sz w:val="21"/>
                <w:szCs w:val="21"/>
              </w:rPr>
              <w:t>How the proposed technology will overcome the shortcomings, limitations, and challenges in the relevant field and application;</w:t>
            </w:r>
          </w:p>
          <w:p w14:paraId="30D0B790" w14:textId="77777777" w:rsidR="006A24B8" w:rsidRPr="008858B4" w:rsidRDefault="004E672B" w:rsidP="00324F39">
            <w:pPr>
              <w:pStyle w:val="ListParagraph"/>
              <w:numPr>
                <w:ilvl w:val="0"/>
                <w:numId w:val="17"/>
              </w:numPr>
              <w:rPr>
                <w:sz w:val="21"/>
                <w:szCs w:val="21"/>
              </w:rPr>
            </w:pPr>
            <w:r w:rsidRPr="008858B4">
              <w:rPr>
                <w:sz w:val="21"/>
                <w:szCs w:val="21"/>
              </w:rPr>
              <w:t>The potential impact that the proposed project would have on the relevant field and application;</w:t>
            </w:r>
          </w:p>
          <w:p w14:paraId="0445ED91" w14:textId="77777777" w:rsidR="00B14C7F" w:rsidRPr="008858B4" w:rsidRDefault="00B14C7F" w:rsidP="00B14C7F">
            <w:pPr>
              <w:pStyle w:val="ListParagraph"/>
              <w:numPr>
                <w:ilvl w:val="0"/>
                <w:numId w:val="17"/>
              </w:numPr>
              <w:rPr>
                <w:sz w:val="21"/>
                <w:szCs w:val="21"/>
              </w:rPr>
            </w:pPr>
            <w:r w:rsidRPr="00FD6B1D">
              <w:rPr>
                <w:sz w:val="21"/>
                <w:szCs w:val="21"/>
              </w:rPr>
              <w:lastRenderedPageBreak/>
              <w:t>How the proposed location of the proposed project will support technology development and long-term success;</w:t>
            </w:r>
          </w:p>
          <w:p w14:paraId="521EEE05" w14:textId="77777777" w:rsidR="006A24B8" w:rsidRPr="008858B4" w:rsidRDefault="004E672B" w:rsidP="00324F39">
            <w:pPr>
              <w:pStyle w:val="ListParagraph"/>
              <w:numPr>
                <w:ilvl w:val="0"/>
                <w:numId w:val="17"/>
              </w:numPr>
              <w:rPr>
                <w:sz w:val="21"/>
                <w:szCs w:val="21"/>
              </w:rPr>
            </w:pPr>
            <w:r w:rsidRPr="008858B4">
              <w:rPr>
                <w:sz w:val="21"/>
                <w:szCs w:val="21"/>
              </w:rPr>
              <w:t>The key technical risks/issues associated with the proposed technology development plan; and</w:t>
            </w:r>
          </w:p>
          <w:p w14:paraId="079E2670" w14:textId="7F438A5E" w:rsidR="00333CB3" w:rsidRPr="000879EA" w:rsidRDefault="004E672B" w:rsidP="00333CB3">
            <w:pPr>
              <w:pStyle w:val="ListParagraph"/>
              <w:numPr>
                <w:ilvl w:val="0"/>
                <w:numId w:val="17"/>
              </w:numPr>
              <w:rPr>
                <w:sz w:val="21"/>
                <w:szCs w:val="21"/>
              </w:rPr>
            </w:pPr>
            <w:r w:rsidRPr="008858B4">
              <w:rPr>
                <w:sz w:val="21"/>
                <w:szCs w:val="21"/>
              </w:rPr>
              <w:t>The impact that EERE funding would have on the proposed project.</w:t>
            </w:r>
          </w:p>
        </w:tc>
      </w:tr>
      <w:tr w:rsidR="00BF65D1" w14:paraId="30EAC5A2" w14:textId="77777777" w:rsidTr="00AF190A">
        <w:tc>
          <w:tcPr>
            <w:tcW w:w="2128" w:type="dxa"/>
            <w:shd w:val="clear" w:color="auto" w:fill="EAF1DD" w:themeFill="accent3" w:themeFillTint="33"/>
          </w:tcPr>
          <w:p w14:paraId="1CC74D51" w14:textId="777FD385" w:rsidR="00726A44" w:rsidRPr="008858B4" w:rsidRDefault="004E672B" w:rsidP="00AB534D">
            <w:pPr>
              <w:rPr>
                <w:b/>
                <w:sz w:val="21"/>
                <w:szCs w:val="21"/>
              </w:rPr>
            </w:pPr>
            <w:r w:rsidRPr="00120F39">
              <w:rPr>
                <w:b/>
                <w:sz w:val="21"/>
                <w:szCs w:val="21"/>
              </w:rPr>
              <w:lastRenderedPageBreak/>
              <w:t>Addendum</w:t>
            </w:r>
          </w:p>
        </w:tc>
        <w:tc>
          <w:tcPr>
            <w:tcW w:w="1313" w:type="dxa"/>
          </w:tcPr>
          <w:p w14:paraId="24EDE94E" w14:textId="0EA38E23" w:rsidR="00726A44" w:rsidRPr="001A1B91" w:rsidRDefault="00EC74CB" w:rsidP="00AB534D">
            <w:pPr>
              <w:rPr>
                <w:sz w:val="21"/>
                <w:szCs w:val="21"/>
              </w:rPr>
            </w:pPr>
            <w:r w:rsidRPr="008B0D95">
              <w:rPr>
                <w:rStyle w:val="105Calibri"/>
              </w:rPr>
              <w:t>1</w:t>
            </w:r>
            <w:r w:rsidR="004E672B" w:rsidRPr="001A1B91">
              <w:rPr>
                <w:rStyle w:val="105Calibri"/>
              </w:rPr>
              <w:t xml:space="preserve"> </w:t>
            </w:r>
            <w:r w:rsidR="004E672B" w:rsidRPr="001A1B91">
              <w:rPr>
                <w:sz w:val="21"/>
                <w:szCs w:val="21"/>
              </w:rPr>
              <w:t>pages maximum</w:t>
            </w:r>
          </w:p>
        </w:tc>
        <w:tc>
          <w:tcPr>
            <w:tcW w:w="5449" w:type="dxa"/>
          </w:tcPr>
          <w:p w14:paraId="561C16BF" w14:textId="2A794EAE" w:rsidR="00726A44" w:rsidRPr="008858B4" w:rsidRDefault="004E672B" w:rsidP="00AB534D">
            <w:pPr>
              <w:rPr>
                <w:sz w:val="21"/>
                <w:szCs w:val="21"/>
              </w:rPr>
            </w:pPr>
            <w:r w:rsidRPr="008858B4">
              <w:rPr>
                <w:sz w:val="21"/>
                <w:szCs w:val="21"/>
              </w:rPr>
              <w:t xml:space="preserve">Applicants are required to describe succinctly the qualifications, experience, and capabilities of the proposed </w:t>
            </w:r>
            <w:r w:rsidR="00AE30D2">
              <w:rPr>
                <w:sz w:val="21"/>
                <w:szCs w:val="21"/>
              </w:rPr>
              <w:t>p</w:t>
            </w:r>
            <w:r w:rsidRPr="008858B4">
              <w:rPr>
                <w:sz w:val="21"/>
                <w:szCs w:val="21"/>
              </w:rPr>
              <w:t xml:space="preserve">roject </w:t>
            </w:r>
            <w:r w:rsidR="00AE30D2">
              <w:rPr>
                <w:sz w:val="21"/>
                <w:szCs w:val="21"/>
              </w:rPr>
              <w:t>t</w:t>
            </w:r>
            <w:r w:rsidRPr="008858B4">
              <w:rPr>
                <w:sz w:val="21"/>
                <w:szCs w:val="21"/>
              </w:rPr>
              <w:t>eam, including:</w:t>
            </w:r>
          </w:p>
          <w:p w14:paraId="0EA18D2F" w14:textId="5EF70282" w:rsidR="00726A44" w:rsidRPr="008858B4" w:rsidRDefault="004E672B" w:rsidP="00AB534D">
            <w:pPr>
              <w:pStyle w:val="ListParagraph"/>
              <w:numPr>
                <w:ilvl w:val="0"/>
                <w:numId w:val="18"/>
              </w:numPr>
              <w:rPr>
                <w:sz w:val="21"/>
                <w:szCs w:val="21"/>
              </w:rPr>
            </w:pPr>
            <w:r w:rsidRPr="008858B4">
              <w:rPr>
                <w:sz w:val="21"/>
                <w:szCs w:val="21"/>
              </w:rPr>
              <w:t xml:space="preserve">Whether the Principal Investigator (PI) and </w:t>
            </w:r>
            <w:r w:rsidR="00AE30D2">
              <w:rPr>
                <w:sz w:val="21"/>
                <w:szCs w:val="21"/>
              </w:rPr>
              <w:t>p</w:t>
            </w:r>
            <w:r w:rsidRPr="008858B4">
              <w:rPr>
                <w:sz w:val="21"/>
                <w:szCs w:val="21"/>
              </w:rPr>
              <w:t xml:space="preserve">roject </w:t>
            </w:r>
            <w:r w:rsidR="00AE30D2">
              <w:rPr>
                <w:sz w:val="21"/>
                <w:szCs w:val="21"/>
              </w:rPr>
              <w:t>t</w:t>
            </w:r>
            <w:r w:rsidRPr="008858B4">
              <w:rPr>
                <w:sz w:val="21"/>
                <w:szCs w:val="21"/>
              </w:rPr>
              <w:t>eam have the skill and expertise needed to successfully execute the project plan;</w:t>
            </w:r>
          </w:p>
          <w:p w14:paraId="66B1F7D9" w14:textId="77777777" w:rsidR="00726A44" w:rsidRPr="008858B4" w:rsidRDefault="004E672B" w:rsidP="00AB534D">
            <w:pPr>
              <w:pStyle w:val="ListParagraph"/>
              <w:numPr>
                <w:ilvl w:val="0"/>
                <w:numId w:val="18"/>
              </w:numPr>
              <w:rPr>
                <w:sz w:val="21"/>
                <w:szCs w:val="21"/>
              </w:rPr>
            </w:pPr>
            <w:r w:rsidRPr="008858B4">
              <w:rPr>
                <w:sz w:val="21"/>
                <w:szCs w:val="21"/>
              </w:rPr>
              <w:t>Whether the applicant has prior experience which demonstrates an ability to perform tasks of similar risk and complexity;</w:t>
            </w:r>
          </w:p>
          <w:p w14:paraId="079FAB26" w14:textId="175EF4D6" w:rsidR="00726A44" w:rsidRDefault="004E672B" w:rsidP="00AB534D">
            <w:pPr>
              <w:pStyle w:val="ListParagraph"/>
              <w:numPr>
                <w:ilvl w:val="0"/>
                <w:numId w:val="18"/>
              </w:numPr>
              <w:rPr>
                <w:sz w:val="21"/>
                <w:szCs w:val="21"/>
              </w:rPr>
            </w:pPr>
            <w:r w:rsidRPr="008858B4">
              <w:rPr>
                <w:sz w:val="21"/>
                <w:szCs w:val="21"/>
              </w:rPr>
              <w:t>Whether the applicant has adequate access to equipment and facilities necessary to accomplish the effort and/or clearly explain how it intends to obtain access to the necessary equipment and facilities</w:t>
            </w:r>
            <w:r w:rsidR="00B14C7F">
              <w:rPr>
                <w:sz w:val="21"/>
                <w:szCs w:val="21"/>
              </w:rPr>
              <w:t>; and</w:t>
            </w:r>
          </w:p>
          <w:p w14:paraId="5258BA2A" w14:textId="55CD764E" w:rsidR="00726A44" w:rsidRPr="000879EA" w:rsidRDefault="004E672B" w:rsidP="00333CB3">
            <w:pPr>
              <w:pStyle w:val="ListParagraph"/>
              <w:numPr>
                <w:ilvl w:val="0"/>
                <w:numId w:val="18"/>
              </w:numPr>
              <w:rPr>
                <w:sz w:val="21"/>
                <w:szCs w:val="21"/>
              </w:rPr>
            </w:pPr>
            <w:r w:rsidRPr="00F5097B">
              <w:rPr>
                <w:sz w:val="21"/>
                <w:szCs w:val="21"/>
              </w:rPr>
              <w:t>Applicants may provide graphs, charts, or other data to supplement their Technology Description.</w:t>
            </w:r>
          </w:p>
        </w:tc>
      </w:tr>
    </w:tbl>
    <w:p w14:paraId="5C5DEBB2" w14:textId="77777777" w:rsidR="006A24B8" w:rsidRPr="008858B4" w:rsidRDefault="006A24B8" w:rsidP="008858B4"/>
    <w:p w14:paraId="232D39C7" w14:textId="43F9301D" w:rsidR="006A24B8" w:rsidRPr="008858B4" w:rsidRDefault="004E672B" w:rsidP="00B14C7F">
      <w:pPr>
        <w:ind w:left="1440"/>
      </w:pPr>
      <w:r w:rsidRPr="008858B4">
        <w:t xml:space="preserve">EERE makes an independent assessment of each Concept Paper based on the criteria in </w:t>
      </w:r>
      <w:r w:rsidRPr="008B0D95">
        <w:t>Section V.A.</w:t>
      </w:r>
      <w:r w:rsidR="00FC3D54" w:rsidRPr="008B0D95">
        <w:t>i</w:t>
      </w:r>
      <w:r w:rsidR="00E2093D" w:rsidRPr="008B0D95">
        <w:t>.</w:t>
      </w:r>
      <w:r w:rsidRPr="008858B4">
        <w:t xml:space="preserve"> of the FOA. EERE will encourage a subset of applicants to submit Full Applications. Other applicants will be discouraged from submitting a Full Application. </w:t>
      </w:r>
      <w:r w:rsidR="00B14C7F">
        <w:t xml:space="preserve">See </w:t>
      </w:r>
      <w:r w:rsidR="00B14C7F" w:rsidRPr="008B0D95">
        <w:t>Section VI.A.</w:t>
      </w:r>
      <w:r w:rsidR="00B14C7F">
        <w:t xml:space="preserve"> </w:t>
      </w:r>
    </w:p>
    <w:p w14:paraId="190E5C57" w14:textId="77777777" w:rsidR="006A24B8" w:rsidRPr="008858B4" w:rsidRDefault="006A24B8" w:rsidP="008858B4"/>
    <w:p w14:paraId="56F92F4D" w14:textId="04E5DEA0" w:rsidR="006A24B8" w:rsidRPr="00872882" w:rsidRDefault="004E672B" w:rsidP="001612A1">
      <w:pPr>
        <w:pStyle w:val="FOAHeading2"/>
      </w:pPr>
      <w:bookmarkStart w:id="233" w:name="_Toc517798915"/>
      <w:bookmarkStart w:id="234" w:name="_Toc519602243"/>
      <w:bookmarkStart w:id="235" w:name="_Toc519602348"/>
      <w:bookmarkStart w:id="236" w:name="_Toc176864442"/>
      <w:r w:rsidRPr="00221643">
        <w:t>Content and Form of the Full Application</w:t>
      </w:r>
      <w:bookmarkEnd w:id="233"/>
      <w:bookmarkEnd w:id="234"/>
      <w:bookmarkEnd w:id="235"/>
      <w:bookmarkEnd w:id="236"/>
    </w:p>
    <w:p w14:paraId="203BD7F4" w14:textId="435FF3E5" w:rsidR="00A93673" w:rsidRPr="00A93673" w:rsidRDefault="004E672B" w:rsidP="007F355D">
      <w:pPr>
        <w:ind w:left="1080"/>
        <w:rPr>
          <w:rStyle w:val="Hyperlink"/>
        </w:rPr>
      </w:pPr>
      <w:bookmarkStart w:id="237" w:name="_Toc519602333"/>
      <w:r w:rsidRPr="008858B4">
        <w:t xml:space="preserve">Applicants must complete the following application forms found </w:t>
      </w:r>
      <w:r w:rsidR="00B14C7F" w:rsidRPr="00F51A4A">
        <w:rPr>
          <w:rFonts w:ascii="Calibri" w:hAnsi="Calibri" w:cs="Calibri"/>
          <w:color w:val="000000"/>
        </w:rPr>
        <w:t xml:space="preserve">at </w:t>
      </w:r>
      <w:hyperlink r:id="rId28" w:history="1">
        <w:r w:rsidR="00B14C7F">
          <w:rPr>
            <w:rStyle w:val="Hyperlink"/>
          </w:rPr>
          <w:t>EERE Funding Application and Management Forms</w:t>
        </w:r>
      </w:hyperlink>
      <w:r w:rsidR="00B14C7F">
        <w:t xml:space="preserve"> and</w:t>
      </w:r>
      <w:r w:rsidR="00B14C7F" w:rsidRPr="008858B4">
        <w:t xml:space="preserve"> </w:t>
      </w:r>
      <w:r w:rsidRPr="008858B4">
        <w:t xml:space="preserve">on the </w:t>
      </w:r>
      <w:r w:rsidR="00A93673">
        <w:t xml:space="preserve">EERE </w:t>
      </w:r>
      <w:r w:rsidR="00D615E8">
        <w:t>eXCHANGE</w:t>
      </w:r>
      <w:r w:rsidRPr="008858B4">
        <w:t xml:space="preserve"> website at</w:t>
      </w:r>
      <w:r w:rsidR="00A93673">
        <w:t xml:space="preserve"> </w:t>
      </w:r>
      <w:r w:rsidR="00A93673">
        <w:fldChar w:fldCharType="begin"/>
      </w:r>
      <w:r w:rsidR="00A93673">
        <w:instrText xml:space="preserve"> HYPERLINK "https://eere-Exchange.energy.gov" </w:instrText>
      </w:r>
      <w:r w:rsidR="00A93673">
        <w:fldChar w:fldCharType="separate"/>
      </w:r>
      <w:r w:rsidR="00A93673" w:rsidRPr="00A93673">
        <w:rPr>
          <w:rStyle w:val="Hyperlink"/>
        </w:rPr>
        <w:t>https://eere-</w:t>
      </w:r>
    </w:p>
    <w:p w14:paraId="30987191" w14:textId="0FD6A131" w:rsidR="006A24B8" w:rsidRPr="008858B4" w:rsidRDefault="008C724D" w:rsidP="007F355D">
      <w:pPr>
        <w:ind w:left="1080"/>
      </w:pPr>
      <w:r>
        <w:rPr>
          <w:rStyle w:val="Hyperlink"/>
        </w:rPr>
        <w:t>eXCHANGE</w:t>
      </w:r>
      <w:r w:rsidR="00A93673" w:rsidRPr="00A93673">
        <w:rPr>
          <w:rStyle w:val="Hyperlink"/>
        </w:rPr>
        <w:t>.energy.gov/</w:t>
      </w:r>
      <w:r w:rsidR="00A93673">
        <w:fldChar w:fldCharType="end"/>
      </w:r>
      <w:r w:rsidR="004E672B" w:rsidRPr="008858B4">
        <w:t>.</w:t>
      </w:r>
    </w:p>
    <w:p w14:paraId="6349A449" w14:textId="56CE8E1F" w:rsidR="006A24B8" w:rsidRPr="008858B4" w:rsidRDefault="006A24B8" w:rsidP="007F355D">
      <w:pPr>
        <w:ind w:left="1080"/>
      </w:pPr>
    </w:p>
    <w:p w14:paraId="1B3071D8" w14:textId="33909873" w:rsidR="006A24B8" w:rsidRPr="008858B4" w:rsidRDefault="002D40FF" w:rsidP="007F355D">
      <w:pPr>
        <w:ind w:left="1080"/>
      </w:pPr>
      <w:r>
        <w:t>Applicants</w:t>
      </w:r>
      <w:r w:rsidR="004F3014">
        <w:t xml:space="preserve"> </w:t>
      </w:r>
      <w:r w:rsidR="0038284A" w:rsidRPr="0038284A">
        <w:t xml:space="preserve">will have approximately </w:t>
      </w:r>
      <w:r w:rsidR="009E1670">
        <w:t>8 weeks</w:t>
      </w:r>
      <w:r w:rsidR="0038284A" w:rsidRPr="0038284A">
        <w:t xml:space="preserve"> from receipt of the Concept Paper Encourage/Discourage notification on </w:t>
      </w:r>
      <w:r w:rsidR="00A93673">
        <w:t xml:space="preserve">EERE </w:t>
      </w:r>
      <w:r w:rsidR="00D615E8">
        <w:t>eXCHANGE</w:t>
      </w:r>
      <w:r w:rsidR="0038284A" w:rsidRPr="0038284A">
        <w:t xml:space="preserve"> to prepare and submit a Full Application. Regardless of the date the applicant receives the Encourage/Discourage notification, the submission deadline for the Full Application remains the date and time stated on the FOA cover page. </w:t>
      </w:r>
    </w:p>
    <w:p w14:paraId="2C8C1F78" w14:textId="77777777" w:rsidR="006A24B8" w:rsidRPr="008858B4" w:rsidRDefault="006A24B8" w:rsidP="007F355D">
      <w:pPr>
        <w:ind w:left="1080"/>
      </w:pPr>
    </w:p>
    <w:p w14:paraId="16A01AAF" w14:textId="1B78F94D" w:rsidR="006A24B8" w:rsidRPr="008858B4" w:rsidRDefault="004E672B" w:rsidP="007F355D">
      <w:pPr>
        <w:pStyle w:val="CommentText"/>
        <w:ind w:left="1080"/>
      </w:pPr>
      <w:r w:rsidRPr="008858B4">
        <w:t>All Full Application documents must be marked with the Control Number issued to the applicant.</w:t>
      </w:r>
      <w:r w:rsidR="001A3502">
        <w:t xml:space="preserve"> </w:t>
      </w:r>
    </w:p>
    <w:p w14:paraId="172C681E" w14:textId="77777777" w:rsidR="006A24B8" w:rsidRPr="00A53BBC" w:rsidRDefault="006A24B8" w:rsidP="008858B4">
      <w:pPr>
        <w:rPr>
          <w:sz w:val="20"/>
        </w:rPr>
      </w:pPr>
    </w:p>
    <w:p w14:paraId="1DA317C0" w14:textId="208C0447" w:rsidR="006A24B8" w:rsidRPr="00872882" w:rsidRDefault="004E672B" w:rsidP="004D5367">
      <w:pPr>
        <w:pStyle w:val="FOAHeading3"/>
        <w:numPr>
          <w:ilvl w:val="0"/>
          <w:numId w:val="41"/>
        </w:numPr>
        <w:ind w:left="1440"/>
        <w:outlineLvl w:val="2"/>
      </w:pPr>
      <w:bookmarkStart w:id="238" w:name="_Toc519602349"/>
      <w:bookmarkStart w:id="239" w:name="_Toc176864443"/>
      <w:r w:rsidRPr="00C72CE2">
        <w:lastRenderedPageBreak/>
        <w:t xml:space="preserve">Full Application Content </w:t>
      </w:r>
      <w:r w:rsidRPr="0022038E">
        <w:t>Requirements</w:t>
      </w:r>
      <w:bookmarkEnd w:id="238"/>
      <w:bookmarkEnd w:id="239"/>
    </w:p>
    <w:p w14:paraId="68258981" w14:textId="0983A534" w:rsidR="002D40FF" w:rsidRDefault="004E672B" w:rsidP="008A1BB6">
      <w:pPr>
        <w:ind w:left="1440"/>
      </w:pPr>
      <w:r w:rsidRPr="008858B4">
        <w:t xml:space="preserve">Each Full Application </w:t>
      </w:r>
      <w:r w:rsidR="00B2356C">
        <w:t>must</w:t>
      </w:r>
      <w:r w:rsidR="00B2356C" w:rsidRPr="008858B4">
        <w:t xml:space="preserve"> </w:t>
      </w:r>
      <w:r w:rsidRPr="008858B4">
        <w:t>be limited to a single concept. Full Applications must conform to the following requirements</w:t>
      </w:r>
      <w:r w:rsidR="00892B9E" w:rsidRPr="00892B9E">
        <w:t xml:space="preserve"> </w:t>
      </w:r>
      <w:r w:rsidR="00892B9E">
        <w:t>and must not exceed the stated page limits</w:t>
      </w:r>
      <w:r w:rsidR="00EB3E33">
        <w:t>.</w:t>
      </w:r>
    </w:p>
    <w:p w14:paraId="6F7153B3" w14:textId="26E300D5" w:rsidR="00BE27EA" w:rsidRDefault="00BE27EA" w:rsidP="005A2864">
      <w:pPr>
        <w:keepNext/>
        <w:ind w:left="1440"/>
      </w:pPr>
    </w:p>
    <w:tbl>
      <w:tblPr>
        <w:tblStyle w:val="TableGrid"/>
        <w:tblW w:w="8550" w:type="dxa"/>
        <w:tblInd w:w="715" w:type="dxa"/>
        <w:tblLayout w:type="fixed"/>
        <w:tblLook w:val="04A0" w:firstRow="1" w:lastRow="0" w:firstColumn="1" w:lastColumn="0" w:noHBand="0" w:noVBand="1"/>
      </w:tblPr>
      <w:tblGrid>
        <w:gridCol w:w="2970"/>
        <w:gridCol w:w="1080"/>
        <w:gridCol w:w="1170"/>
        <w:gridCol w:w="3330"/>
      </w:tblGrid>
      <w:tr w:rsidR="00EB3E33" w14:paraId="4D9BA158" w14:textId="77777777" w:rsidTr="75CD31D0">
        <w:tc>
          <w:tcPr>
            <w:tcW w:w="2970" w:type="dxa"/>
            <w:shd w:val="clear" w:color="auto" w:fill="C6D9F1" w:themeFill="text2" w:themeFillTint="33"/>
            <w:vAlign w:val="center"/>
          </w:tcPr>
          <w:p w14:paraId="05FF0523" w14:textId="77777777" w:rsidR="00892B9E" w:rsidRPr="006C56C2" w:rsidRDefault="00892B9E" w:rsidP="0032269B">
            <w:pPr>
              <w:keepNext/>
              <w:keepLines/>
              <w:spacing w:before="120" w:after="120"/>
              <w:jc w:val="center"/>
              <w:rPr>
                <w:b/>
                <w:bCs/>
                <w:sz w:val="21"/>
                <w:szCs w:val="21"/>
              </w:rPr>
            </w:pPr>
            <w:r w:rsidRPr="00F51A4A">
              <w:rPr>
                <w:b/>
                <w:bCs/>
                <w:sz w:val="21"/>
                <w:szCs w:val="21"/>
              </w:rPr>
              <w:t>Component</w:t>
            </w:r>
          </w:p>
        </w:tc>
        <w:tc>
          <w:tcPr>
            <w:tcW w:w="1080" w:type="dxa"/>
            <w:shd w:val="clear" w:color="auto" w:fill="C6D9F1" w:themeFill="text2" w:themeFillTint="33"/>
            <w:vAlign w:val="center"/>
          </w:tcPr>
          <w:p w14:paraId="2374C84A" w14:textId="77777777" w:rsidR="00892B9E" w:rsidRPr="006C56C2" w:rsidRDefault="00892B9E" w:rsidP="0032269B">
            <w:pPr>
              <w:keepNext/>
              <w:keepLines/>
              <w:spacing w:before="120" w:after="120"/>
              <w:jc w:val="center"/>
              <w:rPr>
                <w:b/>
                <w:bCs/>
                <w:sz w:val="21"/>
                <w:szCs w:val="21"/>
              </w:rPr>
            </w:pPr>
            <w:r w:rsidRPr="00F51A4A">
              <w:rPr>
                <w:b/>
                <w:bCs/>
                <w:sz w:val="21"/>
                <w:szCs w:val="21"/>
              </w:rPr>
              <w:t>File Format</w:t>
            </w:r>
          </w:p>
        </w:tc>
        <w:tc>
          <w:tcPr>
            <w:tcW w:w="1170" w:type="dxa"/>
            <w:shd w:val="clear" w:color="auto" w:fill="C6D9F1" w:themeFill="text2" w:themeFillTint="33"/>
            <w:vAlign w:val="center"/>
          </w:tcPr>
          <w:p w14:paraId="523477AD" w14:textId="77777777" w:rsidR="00892B9E" w:rsidRPr="006C56C2" w:rsidRDefault="00892B9E" w:rsidP="0032269B">
            <w:pPr>
              <w:keepNext/>
              <w:keepLines/>
              <w:spacing w:before="120" w:after="120"/>
              <w:jc w:val="center"/>
              <w:rPr>
                <w:b/>
                <w:bCs/>
                <w:sz w:val="21"/>
                <w:szCs w:val="21"/>
              </w:rPr>
            </w:pPr>
            <w:r w:rsidRPr="00F51A4A">
              <w:rPr>
                <w:b/>
                <w:bCs/>
                <w:sz w:val="21"/>
                <w:szCs w:val="21"/>
              </w:rPr>
              <w:t>Page Limit</w:t>
            </w:r>
          </w:p>
        </w:tc>
        <w:tc>
          <w:tcPr>
            <w:tcW w:w="3330" w:type="dxa"/>
            <w:shd w:val="clear" w:color="auto" w:fill="C6D9F1" w:themeFill="text2" w:themeFillTint="33"/>
          </w:tcPr>
          <w:p w14:paraId="41E01BE9" w14:textId="77777777" w:rsidR="00892B9E" w:rsidRPr="006C56C2" w:rsidRDefault="00892B9E" w:rsidP="0032269B">
            <w:pPr>
              <w:keepNext/>
              <w:keepLines/>
              <w:spacing w:before="120" w:after="120"/>
              <w:jc w:val="center"/>
              <w:rPr>
                <w:b/>
                <w:bCs/>
                <w:sz w:val="21"/>
                <w:szCs w:val="21"/>
              </w:rPr>
            </w:pPr>
            <w:r w:rsidRPr="00F51A4A">
              <w:rPr>
                <w:b/>
                <w:bCs/>
                <w:sz w:val="21"/>
                <w:szCs w:val="21"/>
              </w:rPr>
              <w:t>File Name</w:t>
            </w:r>
          </w:p>
        </w:tc>
      </w:tr>
      <w:tr w:rsidR="00720174" w14:paraId="02E0E87F" w14:textId="77777777" w:rsidTr="75CD31D0">
        <w:tc>
          <w:tcPr>
            <w:tcW w:w="2970" w:type="dxa"/>
          </w:tcPr>
          <w:p w14:paraId="668995CB" w14:textId="1D4E9D26" w:rsidR="00720174" w:rsidRPr="008858B4" w:rsidRDefault="00720174" w:rsidP="00720174">
            <w:pPr>
              <w:keepLines/>
              <w:rPr>
                <w:sz w:val="21"/>
                <w:szCs w:val="21"/>
              </w:rPr>
            </w:pPr>
            <w:r w:rsidRPr="008858B4">
              <w:rPr>
                <w:sz w:val="21"/>
                <w:szCs w:val="21"/>
              </w:rPr>
              <w:t>SF-424</w:t>
            </w:r>
            <w:r>
              <w:rPr>
                <w:sz w:val="21"/>
                <w:szCs w:val="21"/>
              </w:rPr>
              <w:t xml:space="preserve">: </w:t>
            </w:r>
            <w:bookmarkStart w:id="240" w:name="_Hlk120661577"/>
            <w:r>
              <w:rPr>
                <w:sz w:val="21"/>
                <w:szCs w:val="21"/>
              </w:rPr>
              <w:t>Application for Federal Assistance</w:t>
            </w:r>
            <w:bookmarkEnd w:id="240"/>
          </w:p>
        </w:tc>
        <w:tc>
          <w:tcPr>
            <w:tcW w:w="1080" w:type="dxa"/>
          </w:tcPr>
          <w:p w14:paraId="47446B01" w14:textId="6BEF6E6E" w:rsidR="00720174" w:rsidRPr="008858B4" w:rsidRDefault="00720174" w:rsidP="00720174">
            <w:pPr>
              <w:keepLines/>
              <w:rPr>
                <w:sz w:val="21"/>
                <w:szCs w:val="21"/>
              </w:rPr>
            </w:pPr>
            <w:r>
              <w:rPr>
                <w:sz w:val="21"/>
                <w:szCs w:val="21"/>
              </w:rPr>
              <w:t>PDF</w:t>
            </w:r>
          </w:p>
        </w:tc>
        <w:tc>
          <w:tcPr>
            <w:tcW w:w="1170" w:type="dxa"/>
          </w:tcPr>
          <w:p w14:paraId="26C9F289" w14:textId="5B6C5191" w:rsidR="00720174" w:rsidRPr="008858B4" w:rsidRDefault="00720174" w:rsidP="00720174">
            <w:pPr>
              <w:keepLines/>
              <w:rPr>
                <w:sz w:val="21"/>
                <w:szCs w:val="21"/>
              </w:rPr>
            </w:pPr>
            <w:r>
              <w:rPr>
                <w:sz w:val="21"/>
                <w:szCs w:val="21"/>
              </w:rPr>
              <w:t>n/a</w:t>
            </w:r>
          </w:p>
        </w:tc>
        <w:tc>
          <w:tcPr>
            <w:tcW w:w="3330" w:type="dxa"/>
          </w:tcPr>
          <w:p w14:paraId="2C6A3E33" w14:textId="65821F2F" w:rsidR="00720174" w:rsidRPr="008858B4" w:rsidRDefault="00720174" w:rsidP="00720174">
            <w:pPr>
              <w:keepLines/>
              <w:rPr>
                <w:sz w:val="21"/>
                <w:szCs w:val="21"/>
              </w:rPr>
            </w:pPr>
            <w:r w:rsidRPr="008858B4">
              <w:rPr>
                <w:sz w:val="21"/>
                <w:szCs w:val="21"/>
              </w:rPr>
              <w:t>ControlNumber_LeadOrganization_App424</w:t>
            </w:r>
          </w:p>
        </w:tc>
      </w:tr>
      <w:tr w:rsidR="00720174" w14:paraId="20BB9618" w14:textId="77777777" w:rsidTr="75CD31D0">
        <w:tc>
          <w:tcPr>
            <w:tcW w:w="2970" w:type="dxa"/>
          </w:tcPr>
          <w:p w14:paraId="2DD777D1" w14:textId="6DA6E4FC" w:rsidR="00720174" w:rsidRPr="008858B4" w:rsidRDefault="00720174" w:rsidP="00720174">
            <w:pPr>
              <w:keepLines/>
              <w:rPr>
                <w:sz w:val="21"/>
                <w:szCs w:val="21"/>
              </w:rPr>
            </w:pPr>
            <w:r w:rsidRPr="008858B4">
              <w:rPr>
                <w:sz w:val="21"/>
                <w:szCs w:val="21"/>
              </w:rPr>
              <w:t xml:space="preserve">Technical Volume </w:t>
            </w:r>
          </w:p>
        </w:tc>
        <w:tc>
          <w:tcPr>
            <w:tcW w:w="1080" w:type="dxa"/>
          </w:tcPr>
          <w:p w14:paraId="3E1C583B" w14:textId="36AB9713" w:rsidR="00720174" w:rsidRDefault="00720174" w:rsidP="00720174">
            <w:pPr>
              <w:keepLines/>
              <w:rPr>
                <w:sz w:val="21"/>
                <w:szCs w:val="21"/>
              </w:rPr>
            </w:pPr>
            <w:r>
              <w:rPr>
                <w:sz w:val="21"/>
                <w:szCs w:val="21"/>
              </w:rPr>
              <w:t>PDF</w:t>
            </w:r>
          </w:p>
        </w:tc>
        <w:tc>
          <w:tcPr>
            <w:tcW w:w="1170" w:type="dxa"/>
          </w:tcPr>
          <w:p w14:paraId="607197F6" w14:textId="4D355569" w:rsidR="00720174" w:rsidRPr="00CA6A21" w:rsidRDefault="009E1670" w:rsidP="00720174">
            <w:pPr>
              <w:keepLines/>
              <w:rPr>
                <w:color w:val="0000FF"/>
                <w:sz w:val="21"/>
                <w:szCs w:val="21"/>
              </w:rPr>
            </w:pPr>
            <w:r w:rsidRPr="008B0D95">
              <w:rPr>
                <w:sz w:val="21"/>
                <w:szCs w:val="21"/>
              </w:rPr>
              <w:t>40</w:t>
            </w:r>
          </w:p>
        </w:tc>
        <w:tc>
          <w:tcPr>
            <w:tcW w:w="3330" w:type="dxa"/>
          </w:tcPr>
          <w:p w14:paraId="00DFB1FB" w14:textId="0963795A" w:rsidR="00720174" w:rsidRPr="008858B4" w:rsidRDefault="00720174" w:rsidP="00720174">
            <w:pPr>
              <w:keepLines/>
              <w:rPr>
                <w:sz w:val="21"/>
                <w:szCs w:val="21"/>
              </w:rPr>
            </w:pPr>
            <w:r w:rsidRPr="008858B4">
              <w:rPr>
                <w:sz w:val="21"/>
                <w:szCs w:val="21"/>
              </w:rPr>
              <w:t>ControlNumber_LeadOrganization_TechnicalVolume</w:t>
            </w:r>
          </w:p>
        </w:tc>
      </w:tr>
      <w:tr w:rsidR="00720174" w14:paraId="18D55A0E" w14:textId="77777777" w:rsidTr="75CD31D0">
        <w:tc>
          <w:tcPr>
            <w:tcW w:w="2970" w:type="dxa"/>
          </w:tcPr>
          <w:p w14:paraId="09440BEF" w14:textId="77777777" w:rsidR="00720174" w:rsidRPr="008858B4" w:rsidRDefault="00720174" w:rsidP="00720174">
            <w:pPr>
              <w:keepLines/>
              <w:rPr>
                <w:sz w:val="21"/>
                <w:szCs w:val="21"/>
              </w:rPr>
            </w:pPr>
            <w:r>
              <w:rPr>
                <w:sz w:val="21"/>
                <w:szCs w:val="21"/>
              </w:rPr>
              <w:t>Resumes</w:t>
            </w:r>
          </w:p>
        </w:tc>
        <w:tc>
          <w:tcPr>
            <w:tcW w:w="1080" w:type="dxa"/>
          </w:tcPr>
          <w:p w14:paraId="128A815B" w14:textId="77777777" w:rsidR="00720174" w:rsidRPr="008858B4" w:rsidRDefault="00720174" w:rsidP="00720174">
            <w:pPr>
              <w:keepLines/>
              <w:rPr>
                <w:sz w:val="21"/>
                <w:szCs w:val="21"/>
              </w:rPr>
            </w:pPr>
            <w:r>
              <w:rPr>
                <w:sz w:val="21"/>
                <w:szCs w:val="21"/>
              </w:rPr>
              <w:t>PDF</w:t>
            </w:r>
          </w:p>
        </w:tc>
        <w:tc>
          <w:tcPr>
            <w:tcW w:w="1170" w:type="dxa"/>
          </w:tcPr>
          <w:p w14:paraId="66914D00" w14:textId="77777777" w:rsidR="00720174" w:rsidRPr="008858B4" w:rsidRDefault="00720174" w:rsidP="00720174">
            <w:pPr>
              <w:keepLines/>
              <w:rPr>
                <w:sz w:val="21"/>
                <w:szCs w:val="21"/>
              </w:rPr>
            </w:pPr>
            <w:r>
              <w:rPr>
                <w:sz w:val="21"/>
                <w:szCs w:val="21"/>
              </w:rPr>
              <w:t>3 pages each</w:t>
            </w:r>
          </w:p>
        </w:tc>
        <w:tc>
          <w:tcPr>
            <w:tcW w:w="3330" w:type="dxa"/>
          </w:tcPr>
          <w:p w14:paraId="6F43D87E" w14:textId="77777777" w:rsidR="00720174" w:rsidRDefault="00720174" w:rsidP="00720174">
            <w:pPr>
              <w:keepLines/>
              <w:rPr>
                <w:sz w:val="21"/>
                <w:szCs w:val="21"/>
              </w:rPr>
            </w:pPr>
            <w:r w:rsidRPr="008858B4">
              <w:rPr>
                <w:sz w:val="21"/>
                <w:szCs w:val="21"/>
              </w:rPr>
              <w:t>ControlN</w:t>
            </w:r>
            <w:r>
              <w:rPr>
                <w:sz w:val="21"/>
                <w:szCs w:val="21"/>
              </w:rPr>
              <w:t>umber_LeadOrganization_Resumes</w:t>
            </w:r>
          </w:p>
        </w:tc>
      </w:tr>
      <w:tr w:rsidR="00720174" w14:paraId="73461C5B" w14:textId="77777777" w:rsidTr="75CD31D0">
        <w:tc>
          <w:tcPr>
            <w:tcW w:w="2970" w:type="dxa"/>
          </w:tcPr>
          <w:p w14:paraId="4BEC7D5D" w14:textId="77777777" w:rsidR="00720174" w:rsidRPr="008858B4" w:rsidRDefault="00720174" w:rsidP="00720174">
            <w:pPr>
              <w:keepLines/>
              <w:rPr>
                <w:sz w:val="21"/>
                <w:szCs w:val="21"/>
              </w:rPr>
            </w:pPr>
            <w:r>
              <w:rPr>
                <w:sz w:val="21"/>
                <w:szCs w:val="21"/>
              </w:rPr>
              <w:t>Letters of Commitment</w:t>
            </w:r>
          </w:p>
        </w:tc>
        <w:tc>
          <w:tcPr>
            <w:tcW w:w="1080" w:type="dxa"/>
          </w:tcPr>
          <w:p w14:paraId="4A922E0E" w14:textId="77777777" w:rsidR="00720174" w:rsidRPr="008858B4" w:rsidRDefault="00720174" w:rsidP="00720174">
            <w:pPr>
              <w:keepLines/>
              <w:rPr>
                <w:sz w:val="21"/>
                <w:szCs w:val="21"/>
              </w:rPr>
            </w:pPr>
            <w:r>
              <w:rPr>
                <w:sz w:val="21"/>
                <w:szCs w:val="21"/>
              </w:rPr>
              <w:t>PDF</w:t>
            </w:r>
          </w:p>
        </w:tc>
        <w:tc>
          <w:tcPr>
            <w:tcW w:w="1170" w:type="dxa"/>
          </w:tcPr>
          <w:p w14:paraId="64FD9DAF" w14:textId="77777777" w:rsidR="00720174" w:rsidRPr="008858B4" w:rsidRDefault="00720174" w:rsidP="00720174">
            <w:pPr>
              <w:keepLines/>
              <w:rPr>
                <w:sz w:val="21"/>
                <w:szCs w:val="21"/>
              </w:rPr>
            </w:pPr>
            <w:r>
              <w:rPr>
                <w:sz w:val="21"/>
                <w:szCs w:val="21"/>
              </w:rPr>
              <w:t>1 page each</w:t>
            </w:r>
          </w:p>
        </w:tc>
        <w:tc>
          <w:tcPr>
            <w:tcW w:w="3330" w:type="dxa"/>
          </w:tcPr>
          <w:p w14:paraId="7097312A" w14:textId="77777777" w:rsidR="00720174" w:rsidRDefault="00720174" w:rsidP="00720174">
            <w:pPr>
              <w:keepLines/>
              <w:rPr>
                <w:sz w:val="21"/>
                <w:szCs w:val="21"/>
              </w:rPr>
            </w:pPr>
            <w:r w:rsidRPr="008858B4">
              <w:rPr>
                <w:sz w:val="21"/>
                <w:szCs w:val="21"/>
              </w:rPr>
              <w:t>ControlN</w:t>
            </w:r>
            <w:r>
              <w:rPr>
                <w:sz w:val="21"/>
                <w:szCs w:val="21"/>
              </w:rPr>
              <w:t>umber_LeadOrganization_LOCs</w:t>
            </w:r>
          </w:p>
        </w:tc>
      </w:tr>
      <w:tr w:rsidR="00A506B1" w14:paraId="3B11DB9B" w14:textId="77777777" w:rsidTr="75CD31D0">
        <w:tc>
          <w:tcPr>
            <w:tcW w:w="2970" w:type="dxa"/>
          </w:tcPr>
          <w:p w14:paraId="17BC0214" w14:textId="6D2B05E4" w:rsidR="00A506B1" w:rsidRDefault="00A506B1" w:rsidP="00A506B1">
            <w:pPr>
              <w:keepLines/>
              <w:rPr>
                <w:sz w:val="21"/>
                <w:szCs w:val="21"/>
              </w:rPr>
            </w:pPr>
            <w:r>
              <w:rPr>
                <w:sz w:val="21"/>
                <w:szCs w:val="21"/>
              </w:rPr>
              <w:t>Impacted Indian Tribes Documentation</w:t>
            </w:r>
          </w:p>
        </w:tc>
        <w:tc>
          <w:tcPr>
            <w:tcW w:w="1080" w:type="dxa"/>
          </w:tcPr>
          <w:p w14:paraId="22A88A6A" w14:textId="1A3F83CA" w:rsidR="00A506B1" w:rsidRDefault="00A506B1" w:rsidP="00A506B1">
            <w:pPr>
              <w:keepLines/>
              <w:rPr>
                <w:sz w:val="21"/>
                <w:szCs w:val="21"/>
              </w:rPr>
            </w:pPr>
            <w:r>
              <w:rPr>
                <w:sz w:val="21"/>
                <w:szCs w:val="21"/>
              </w:rPr>
              <w:t>PDF</w:t>
            </w:r>
          </w:p>
        </w:tc>
        <w:tc>
          <w:tcPr>
            <w:tcW w:w="1170" w:type="dxa"/>
          </w:tcPr>
          <w:p w14:paraId="36D2D37C" w14:textId="11AF8BBE" w:rsidR="00A506B1" w:rsidRDefault="00A506B1" w:rsidP="00A506B1">
            <w:pPr>
              <w:keepLines/>
              <w:rPr>
                <w:sz w:val="21"/>
                <w:szCs w:val="21"/>
              </w:rPr>
            </w:pPr>
            <w:r w:rsidRPr="001C3552">
              <w:rPr>
                <w:sz w:val="21"/>
                <w:szCs w:val="21"/>
              </w:rPr>
              <w:t>n/a</w:t>
            </w:r>
          </w:p>
        </w:tc>
        <w:tc>
          <w:tcPr>
            <w:tcW w:w="3330" w:type="dxa"/>
          </w:tcPr>
          <w:p w14:paraId="1690A3B6" w14:textId="77777777" w:rsidR="00A506B1" w:rsidRDefault="00A506B1" w:rsidP="00A506B1">
            <w:pPr>
              <w:rPr>
                <w:sz w:val="21"/>
                <w:szCs w:val="21"/>
              </w:rPr>
            </w:pPr>
            <w:r>
              <w:rPr>
                <w:sz w:val="21"/>
                <w:szCs w:val="21"/>
              </w:rPr>
              <w:t>ControlNumber_LeadOrganization_</w:t>
            </w:r>
          </w:p>
          <w:p w14:paraId="510800C1" w14:textId="45E52C9F" w:rsidR="00A506B1" w:rsidRPr="008858B4" w:rsidRDefault="00A506B1" w:rsidP="00A506B1">
            <w:pPr>
              <w:keepLines/>
              <w:rPr>
                <w:sz w:val="21"/>
                <w:szCs w:val="21"/>
              </w:rPr>
            </w:pPr>
            <w:r>
              <w:rPr>
                <w:sz w:val="21"/>
                <w:szCs w:val="21"/>
              </w:rPr>
              <w:t>ImpactedTribes</w:t>
            </w:r>
          </w:p>
        </w:tc>
      </w:tr>
      <w:tr w:rsidR="00A506B1" w14:paraId="641E00F4" w14:textId="77777777" w:rsidTr="75CD31D0">
        <w:tc>
          <w:tcPr>
            <w:tcW w:w="2970" w:type="dxa"/>
          </w:tcPr>
          <w:p w14:paraId="63BAB1E3" w14:textId="77777777" w:rsidR="00A506B1" w:rsidRDefault="00A506B1" w:rsidP="00A506B1">
            <w:pPr>
              <w:keepLines/>
              <w:rPr>
                <w:sz w:val="21"/>
                <w:szCs w:val="21"/>
              </w:rPr>
            </w:pPr>
            <w:r w:rsidRPr="008858B4">
              <w:rPr>
                <w:sz w:val="21"/>
                <w:szCs w:val="21"/>
              </w:rPr>
              <w:t>Statement of Project Objectives</w:t>
            </w:r>
          </w:p>
        </w:tc>
        <w:tc>
          <w:tcPr>
            <w:tcW w:w="1080" w:type="dxa"/>
          </w:tcPr>
          <w:p w14:paraId="0C4741C9" w14:textId="77777777" w:rsidR="00A506B1" w:rsidRDefault="00A506B1" w:rsidP="00A506B1">
            <w:pPr>
              <w:keepLines/>
              <w:rPr>
                <w:sz w:val="21"/>
                <w:szCs w:val="21"/>
              </w:rPr>
            </w:pPr>
            <w:r>
              <w:rPr>
                <w:sz w:val="21"/>
                <w:szCs w:val="21"/>
              </w:rPr>
              <w:t>MS Word</w:t>
            </w:r>
          </w:p>
        </w:tc>
        <w:tc>
          <w:tcPr>
            <w:tcW w:w="1170" w:type="dxa"/>
          </w:tcPr>
          <w:p w14:paraId="24B37A36" w14:textId="121A6AA0" w:rsidR="00A506B1" w:rsidRDefault="00A506B1" w:rsidP="00A506B1">
            <w:pPr>
              <w:keepLines/>
              <w:rPr>
                <w:sz w:val="21"/>
                <w:szCs w:val="21"/>
              </w:rPr>
            </w:pPr>
            <w:r w:rsidRPr="008B0D95">
              <w:rPr>
                <w:sz w:val="21"/>
                <w:szCs w:val="21"/>
              </w:rPr>
              <w:t>10</w:t>
            </w:r>
          </w:p>
        </w:tc>
        <w:tc>
          <w:tcPr>
            <w:tcW w:w="3330" w:type="dxa"/>
          </w:tcPr>
          <w:p w14:paraId="14643A51" w14:textId="77777777" w:rsidR="00A506B1" w:rsidRPr="008858B4" w:rsidRDefault="00A506B1" w:rsidP="00A506B1">
            <w:pPr>
              <w:keepLines/>
              <w:rPr>
                <w:sz w:val="21"/>
                <w:szCs w:val="21"/>
              </w:rPr>
            </w:pPr>
            <w:r w:rsidRPr="008858B4">
              <w:rPr>
                <w:sz w:val="21"/>
                <w:szCs w:val="21"/>
              </w:rPr>
              <w:t>ControlNumber_LeadOrganization_SOPO</w:t>
            </w:r>
          </w:p>
        </w:tc>
      </w:tr>
      <w:tr w:rsidR="00A506B1" w14:paraId="38358897" w14:textId="77777777" w:rsidTr="75CD31D0">
        <w:tc>
          <w:tcPr>
            <w:tcW w:w="2970" w:type="dxa"/>
          </w:tcPr>
          <w:p w14:paraId="0FE99CBD" w14:textId="4128902A" w:rsidR="00A506B1" w:rsidRPr="008858B4" w:rsidRDefault="00A506B1" w:rsidP="00A506B1">
            <w:pPr>
              <w:keepLines/>
              <w:rPr>
                <w:sz w:val="21"/>
                <w:szCs w:val="21"/>
              </w:rPr>
            </w:pPr>
            <w:r w:rsidRPr="00DF6F36">
              <w:rPr>
                <w:sz w:val="21"/>
                <w:szCs w:val="21"/>
              </w:rPr>
              <w:t>Diversity Equity and Inclusion Plan</w:t>
            </w:r>
          </w:p>
        </w:tc>
        <w:tc>
          <w:tcPr>
            <w:tcW w:w="1080" w:type="dxa"/>
          </w:tcPr>
          <w:p w14:paraId="102EAA1F" w14:textId="4C2F68CF" w:rsidR="00A506B1" w:rsidRDefault="00A506B1" w:rsidP="00A506B1">
            <w:pPr>
              <w:keepLines/>
              <w:rPr>
                <w:sz w:val="21"/>
                <w:szCs w:val="21"/>
              </w:rPr>
            </w:pPr>
            <w:r>
              <w:rPr>
                <w:sz w:val="21"/>
                <w:szCs w:val="21"/>
              </w:rPr>
              <w:t>PDF</w:t>
            </w:r>
          </w:p>
        </w:tc>
        <w:tc>
          <w:tcPr>
            <w:tcW w:w="1170" w:type="dxa"/>
          </w:tcPr>
          <w:p w14:paraId="69412839" w14:textId="1A79288F" w:rsidR="00A506B1" w:rsidRPr="00CA6A21" w:rsidRDefault="00A506B1" w:rsidP="00A506B1">
            <w:pPr>
              <w:keepLines/>
              <w:rPr>
                <w:color w:val="0000FF"/>
                <w:sz w:val="21"/>
                <w:szCs w:val="21"/>
              </w:rPr>
            </w:pPr>
            <w:r w:rsidRPr="008B0D95">
              <w:rPr>
                <w:sz w:val="21"/>
                <w:szCs w:val="21"/>
              </w:rPr>
              <w:t>5</w:t>
            </w:r>
          </w:p>
        </w:tc>
        <w:tc>
          <w:tcPr>
            <w:tcW w:w="3330" w:type="dxa"/>
          </w:tcPr>
          <w:p w14:paraId="03B0FF0F" w14:textId="66161C6F" w:rsidR="00A506B1" w:rsidRPr="008858B4" w:rsidRDefault="00A506B1" w:rsidP="00A506B1">
            <w:pPr>
              <w:keepLines/>
              <w:rPr>
                <w:sz w:val="21"/>
                <w:szCs w:val="21"/>
              </w:rPr>
            </w:pPr>
            <w:r>
              <w:rPr>
                <w:sz w:val="21"/>
                <w:szCs w:val="21"/>
              </w:rPr>
              <w:t>ControlNumber_LeadOrganization_DEIP</w:t>
            </w:r>
          </w:p>
        </w:tc>
      </w:tr>
      <w:tr w:rsidR="00A506B1" w14:paraId="7F45E2C4" w14:textId="77777777" w:rsidTr="75CD31D0">
        <w:tc>
          <w:tcPr>
            <w:tcW w:w="2970" w:type="dxa"/>
          </w:tcPr>
          <w:p w14:paraId="2F9B08DE" w14:textId="77777777" w:rsidR="00A506B1" w:rsidRPr="008858B4" w:rsidRDefault="00A506B1" w:rsidP="00A506B1">
            <w:pPr>
              <w:rPr>
                <w:sz w:val="21"/>
                <w:szCs w:val="21"/>
              </w:rPr>
            </w:pPr>
            <w:r w:rsidRPr="008858B4">
              <w:rPr>
                <w:sz w:val="21"/>
                <w:szCs w:val="21"/>
              </w:rPr>
              <w:t>Budget Justification</w:t>
            </w:r>
            <w:r>
              <w:rPr>
                <w:sz w:val="21"/>
                <w:szCs w:val="21"/>
              </w:rPr>
              <w:t xml:space="preserve"> Workbook</w:t>
            </w:r>
          </w:p>
        </w:tc>
        <w:tc>
          <w:tcPr>
            <w:tcW w:w="1080" w:type="dxa"/>
          </w:tcPr>
          <w:p w14:paraId="69AFF447" w14:textId="77777777" w:rsidR="00A506B1" w:rsidRPr="008858B4" w:rsidRDefault="00A506B1" w:rsidP="00A506B1">
            <w:pPr>
              <w:rPr>
                <w:sz w:val="21"/>
                <w:szCs w:val="21"/>
              </w:rPr>
            </w:pPr>
            <w:r>
              <w:rPr>
                <w:sz w:val="21"/>
                <w:szCs w:val="21"/>
              </w:rPr>
              <w:t>MS Excel</w:t>
            </w:r>
          </w:p>
        </w:tc>
        <w:tc>
          <w:tcPr>
            <w:tcW w:w="1170" w:type="dxa"/>
          </w:tcPr>
          <w:p w14:paraId="1E3B3A83" w14:textId="77777777" w:rsidR="00A506B1" w:rsidRPr="008858B4" w:rsidRDefault="00A506B1" w:rsidP="00A506B1">
            <w:pPr>
              <w:rPr>
                <w:sz w:val="21"/>
                <w:szCs w:val="21"/>
              </w:rPr>
            </w:pPr>
            <w:r>
              <w:rPr>
                <w:sz w:val="21"/>
                <w:szCs w:val="21"/>
              </w:rPr>
              <w:t>n/a</w:t>
            </w:r>
          </w:p>
        </w:tc>
        <w:tc>
          <w:tcPr>
            <w:tcW w:w="3330" w:type="dxa"/>
          </w:tcPr>
          <w:p w14:paraId="61406A96" w14:textId="77777777" w:rsidR="00A506B1" w:rsidRDefault="00A506B1" w:rsidP="00A506B1">
            <w:pPr>
              <w:rPr>
                <w:sz w:val="21"/>
                <w:szCs w:val="21"/>
              </w:rPr>
            </w:pPr>
            <w:r w:rsidRPr="008858B4">
              <w:rPr>
                <w:sz w:val="21"/>
                <w:szCs w:val="21"/>
              </w:rPr>
              <w:t>ControlNumber_LeadOrganization_Budget_Justification</w:t>
            </w:r>
          </w:p>
        </w:tc>
      </w:tr>
      <w:tr w:rsidR="00A506B1" w14:paraId="2F7F302B" w14:textId="77777777" w:rsidTr="75CD31D0">
        <w:tc>
          <w:tcPr>
            <w:tcW w:w="2970" w:type="dxa"/>
          </w:tcPr>
          <w:p w14:paraId="37197715" w14:textId="77777777" w:rsidR="00A506B1" w:rsidRPr="008858B4" w:rsidRDefault="00A506B1" w:rsidP="00A506B1">
            <w:pPr>
              <w:rPr>
                <w:sz w:val="21"/>
                <w:szCs w:val="21"/>
              </w:rPr>
            </w:pPr>
            <w:r w:rsidRPr="008858B4">
              <w:rPr>
                <w:sz w:val="21"/>
                <w:szCs w:val="21"/>
              </w:rPr>
              <w:t>Summary</w:t>
            </w:r>
            <w:r>
              <w:rPr>
                <w:sz w:val="21"/>
                <w:szCs w:val="21"/>
              </w:rPr>
              <w:t>/Abstract</w:t>
            </w:r>
            <w:r w:rsidRPr="008858B4">
              <w:rPr>
                <w:sz w:val="21"/>
                <w:szCs w:val="21"/>
              </w:rPr>
              <w:t xml:space="preserve"> for Public Release</w:t>
            </w:r>
          </w:p>
        </w:tc>
        <w:tc>
          <w:tcPr>
            <w:tcW w:w="1080" w:type="dxa"/>
          </w:tcPr>
          <w:p w14:paraId="66FA4076" w14:textId="77777777" w:rsidR="00A506B1" w:rsidRPr="008858B4" w:rsidRDefault="00A506B1" w:rsidP="00A506B1">
            <w:pPr>
              <w:rPr>
                <w:sz w:val="21"/>
                <w:szCs w:val="21"/>
              </w:rPr>
            </w:pPr>
            <w:r>
              <w:rPr>
                <w:sz w:val="21"/>
                <w:szCs w:val="21"/>
              </w:rPr>
              <w:t>PDF</w:t>
            </w:r>
          </w:p>
        </w:tc>
        <w:tc>
          <w:tcPr>
            <w:tcW w:w="1170" w:type="dxa"/>
          </w:tcPr>
          <w:p w14:paraId="2987D4EC" w14:textId="77777777" w:rsidR="00A506B1" w:rsidRPr="008858B4" w:rsidRDefault="00A506B1" w:rsidP="00A506B1">
            <w:pPr>
              <w:rPr>
                <w:sz w:val="21"/>
                <w:szCs w:val="21"/>
              </w:rPr>
            </w:pPr>
            <w:r>
              <w:rPr>
                <w:sz w:val="21"/>
                <w:szCs w:val="21"/>
              </w:rPr>
              <w:t>1</w:t>
            </w:r>
          </w:p>
        </w:tc>
        <w:tc>
          <w:tcPr>
            <w:tcW w:w="3330" w:type="dxa"/>
          </w:tcPr>
          <w:p w14:paraId="5B002458" w14:textId="77777777" w:rsidR="00A506B1" w:rsidRDefault="00A506B1" w:rsidP="00A506B1">
            <w:pPr>
              <w:rPr>
                <w:sz w:val="21"/>
                <w:szCs w:val="21"/>
              </w:rPr>
            </w:pPr>
            <w:r w:rsidRPr="008858B4">
              <w:rPr>
                <w:sz w:val="21"/>
                <w:szCs w:val="21"/>
              </w:rPr>
              <w:t>ControlNumber_LeadOrganization_Summary</w:t>
            </w:r>
          </w:p>
        </w:tc>
      </w:tr>
      <w:tr w:rsidR="00A506B1" w14:paraId="4B7E99B8" w14:textId="77777777" w:rsidTr="75CD31D0">
        <w:tc>
          <w:tcPr>
            <w:tcW w:w="2970" w:type="dxa"/>
          </w:tcPr>
          <w:p w14:paraId="3D67A030" w14:textId="77777777" w:rsidR="00A506B1" w:rsidRPr="008858B4" w:rsidRDefault="00A506B1" w:rsidP="00A506B1">
            <w:pPr>
              <w:rPr>
                <w:sz w:val="21"/>
                <w:szCs w:val="21"/>
              </w:rPr>
            </w:pPr>
            <w:r>
              <w:rPr>
                <w:sz w:val="21"/>
                <w:szCs w:val="21"/>
              </w:rPr>
              <w:t>Summary Slide</w:t>
            </w:r>
          </w:p>
        </w:tc>
        <w:tc>
          <w:tcPr>
            <w:tcW w:w="1080" w:type="dxa"/>
          </w:tcPr>
          <w:p w14:paraId="4B791E9D" w14:textId="77777777" w:rsidR="00A506B1" w:rsidRPr="008858B4" w:rsidRDefault="00A506B1" w:rsidP="00A506B1">
            <w:pPr>
              <w:rPr>
                <w:sz w:val="21"/>
                <w:szCs w:val="21"/>
              </w:rPr>
            </w:pPr>
            <w:r>
              <w:rPr>
                <w:sz w:val="21"/>
                <w:szCs w:val="21"/>
              </w:rPr>
              <w:t>MS PowerPoint</w:t>
            </w:r>
          </w:p>
        </w:tc>
        <w:tc>
          <w:tcPr>
            <w:tcW w:w="1170" w:type="dxa"/>
          </w:tcPr>
          <w:p w14:paraId="00984A53" w14:textId="77777777" w:rsidR="00A506B1" w:rsidRPr="008858B4" w:rsidRDefault="00A506B1" w:rsidP="00A506B1">
            <w:pPr>
              <w:rPr>
                <w:sz w:val="21"/>
                <w:szCs w:val="21"/>
              </w:rPr>
            </w:pPr>
            <w:r>
              <w:rPr>
                <w:sz w:val="21"/>
                <w:szCs w:val="21"/>
              </w:rPr>
              <w:t>1</w:t>
            </w:r>
          </w:p>
        </w:tc>
        <w:tc>
          <w:tcPr>
            <w:tcW w:w="3330" w:type="dxa"/>
          </w:tcPr>
          <w:p w14:paraId="6D680B18" w14:textId="77777777" w:rsidR="00A506B1" w:rsidRDefault="00A506B1" w:rsidP="00A506B1">
            <w:pPr>
              <w:rPr>
                <w:sz w:val="21"/>
                <w:szCs w:val="21"/>
              </w:rPr>
            </w:pPr>
            <w:r w:rsidRPr="008858B4">
              <w:rPr>
                <w:sz w:val="21"/>
                <w:szCs w:val="21"/>
              </w:rPr>
              <w:t>ControlNumber_LeadOrganization_Slide</w:t>
            </w:r>
          </w:p>
        </w:tc>
      </w:tr>
      <w:tr w:rsidR="00A506B1" w14:paraId="34809670" w14:textId="77777777" w:rsidTr="75CD31D0">
        <w:tc>
          <w:tcPr>
            <w:tcW w:w="2970" w:type="dxa"/>
          </w:tcPr>
          <w:p w14:paraId="52DC12EA" w14:textId="77777777" w:rsidR="00A506B1" w:rsidRPr="008858B4" w:rsidRDefault="00A506B1" w:rsidP="00A506B1">
            <w:pPr>
              <w:rPr>
                <w:sz w:val="21"/>
                <w:szCs w:val="21"/>
              </w:rPr>
            </w:pPr>
            <w:r w:rsidRPr="008858B4">
              <w:rPr>
                <w:sz w:val="21"/>
                <w:szCs w:val="21"/>
              </w:rPr>
              <w:t>Sub</w:t>
            </w:r>
            <w:r>
              <w:rPr>
                <w:sz w:val="21"/>
                <w:szCs w:val="21"/>
              </w:rPr>
              <w:t>recipient</w:t>
            </w:r>
            <w:r w:rsidRPr="008858B4">
              <w:rPr>
                <w:sz w:val="21"/>
                <w:szCs w:val="21"/>
              </w:rPr>
              <w:t xml:space="preserve"> Budget Justification</w:t>
            </w:r>
          </w:p>
        </w:tc>
        <w:tc>
          <w:tcPr>
            <w:tcW w:w="1080" w:type="dxa"/>
          </w:tcPr>
          <w:p w14:paraId="5FCE8A80" w14:textId="77777777" w:rsidR="00A506B1" w:rsidRPr="008858B4" w:rsidRDefault="00A506B1" w:rsidP="00A506B1">
            <w:pPr>
              <w:rPr>
                <w:sz w:val="21"/>
                <w:szCs w:val="21"/>
              </w:rPr>
            </w:pPr>
            <w:r>
              <w:rPr>
                <w:sz w:val="21"/>
                <w:szCs w:val="21"/>
              </w:rPr>
              <w:t>MS Excel</w:t>
            </w:r>
          </w:p>
        </w:tc>
        <w:tc>
          <w:tcPr>
            <w:tcW w:w="1170" w:type="dxa"/>
          </w:tcPr>
          <w:p w14:paraId="11A43522" w14:textId="77777777" w:rsidR="00A506B1" w:rsidRPr="008858B4" w:rsidRDefault="00A506B1" w:rsidP="00A506B1">
            <w:pPr>
              <w:rPr>
                <w:sz w:val="21"/>
                <w:szCs w:val="21"/>
              </w:rPr>
            </w:pPr>
            <w:r>
              <w:rPr>
                <w:sz w:val="21"/>
                <w:szCs w:val="21"/>
              </w:rPr>
              <w:t>n/a</w:t>
            </w:r>
          </w:p>
        </w:tc>
        <w:tc>
          <w:tcPr>
            <w:tcW w:w="3330" w:type="dxa"/>
          </w:tcPr>
          <w:p w14:paraId="63970AA7" w14:textId="77777777" w:rsidR="00A506B1" w:rsidRDefault="00A506B1" w:rsidP="00A506B1">
            <w:pPr>
              <w:rPr>
                <w:sz w:val="21"/>
                <w:szCs w:val="21"/>
              </w:rPr>
            </w:pPr>
            <w:r w:rsidRPr="008858B4">
              <w:rPr>
                <w:sz w:val="21"/>
                <w:szCs w:val="21"/>
              </w:rPr>
              <w:t>ControlNumber_LeadOrganization_Sub</w:t>
            </w:r>
            <w:r>
              <w:rPr>
                <w:sz w:val="21"/>
                <w:szCs w:val="21"/>
              </w:rPr>
              <w:t>recipient</w:t>
            </w:r>
            <w:r w:rsidRPr="008858B4">
              <w:rPr>
                <w:sz w:val="21"/>
                <w:szCs w:val="21"/>
              </w:rPr>
              <w:t>_Budget_Justification</w:t>
            </w:r>
          </w:p>
        </w:tc>
      </w:tr>
      <w:tr w:rsidR="00A506B1" w14:paraId="48CF8436" w14:textId="77777777" w:rsidTr="75CD31D0">
        <w:tc>
          <w:tcPr>
            <w:tcW w:w="2970" w:type="dxa"/>
          </w:tcPr>
          <w:p w14:paraId="4418247F" w14:textId="5C57B29D" w:rsidR="00A506B1" w:rsidRPr="008858B4" w:rsidRDefault="00A506B1" w:rsidP="00A506B1">
            <w:pPr>
              <w:rPr>
                <w:sz w:val="21"/>
                <w:szCs w:val="21"/>
              </w:rPr>
            </w:pPr>
            <w:r w:rsidRPr="005B1EEB">
              <w:rPr>
                <w:sz w:val="21"/>
                <w:szCs w:val="21"/>
              </w:rPr>
              <w:t xml:space="preserve">DOE Work Proposal </w:t>
            </w:r>
            <w:r>
              <w:rPr>
                <w:sz w:val="21"/>
                <w:szCs w:val="21"/>
              </w:rPr>
              <w:t xml:space="preserve">for FFRDC, (see </w:t>
            </w:r>
            <w:r w:rsidRPr="00E83F1F">
              <w:rPr>
                <w:sz w:val="21"/>
                <w:szCs w:val="21"/>
              </w:rPr>
              <w:t xml:space="preserve">DOE O 412.1A, </w:t>
            </w:r>
            <w:r w:rsidRPr="00CA4F78">
              <w:rPr>
                <w:sz w:val="21"/>
                <w:szCs w:val="21"/>
              </w:rPr>
              <w:t xml:space="preserve">Attachment </w:t>
            </w:r>
            <w:r>
              <w:rPr>
                <w:sz w:val="21"/>
                <w:szCs w:val="21"/>
              </w:rPr>
              <w:t>2)</w:t>
            </w:r>
          </w:p>
        </w:tc>
        <w:tc>
          <w:tcPr>
            <w:tcW w:w="1080" w:type="dxa"/>
          </w:tcPr>
          <w:p w14:paraId="6D3D05DC" w14:textId="77777777" w:rsidR="00A506B1" w:rsidRPr="008858B4" w:rsidRDefault="00A506B1" w:rsidP="00A506B1">
            <w:pPr>
              <w:rPr>
                <w:sz w:val="21"/>
                <w:szCs w:val="21"/>
              </w:rPr>
            </w:pPr>
            <w:r>
              <w:rPr>
                <w:sz w:val="21"/>
                <w:szCs w:val="21"/>
              </w:rPr>
              <w:t>PDF</w:t>
            </w:r>
          </w:p>
        </w:tc>
        <w:tc>
          <w:tcPr>
            <w:tcW w:w="1170" w:type="dxa"/>
          </w:tcPr>
          <w:p w14:paraId="5916AE13" w14:textId="77777777" w:rsidR="00A506B1" w:rsidRPr="008858B4" w:rsidRDefault="00A506B1" w:rsidP="00A506B1">
            <w:pPr>
              <w:rPr>
                <w:sz w:val="21"/>
                <w:szCs w:val="21"/>
              </w:rPr>
            </w:pPr>
            <w:r>
              <w:rPr>
                <w:sz w:val="21"/>
                <w:szCs w:val="21"/>
              </w:rPr>
              <w:t>n/a</w:t>
            </w:r>
          </w:p>
        </w:tc>
        <w:tc>
          <w:tcPr>
            <w:tcW w:w="3330" w:type="dxa"/>
          </w:tcPr>
          <w:p w14:paraId="5620F122" w14:textId="77777777" w:rsidR="00A506B1" w:rsidRDefault="00A506B1" w:rsidP="00A506B1">
            <w:pPr>
              <w:rPr>
                <w:sz w:val="21"/>
                <w:szCs w:val="21"/>
              </w:rPr>
            </w:pPr>
            <w:r w:rsidRPr="008858B4">
              <w:rPr>
                <w:sz w:val="21"/>
                <w:szCs w:val="21"/>
              </w:rPr>
              <w:t>ControlNumber_LeadOrganization_WP</w:t>
            </w:r>
          </w:p>
        </w:tc>
      </w:tr>
      <w:tr w:rsidR="00A506B1" w14:paraId="7DEE3419" w14:textId="77777777" w:rsidTr="75CD31D0">
        <w:tc>
          <w:tcPr>
            <w:tcW w:w="2970" w:type="dxa"/>
          </w:tcPr>
          <w:p w14:paraId="5C0FE3CE" w14:textId="77777777" w:rsidR="00A506B1" w:rsidRPr="008858B4" w:rsidRDefault="00A506B1" w:rsidP="00A506B1">
            <w:pPr>
              <w:rPr>
                <w:sz w:val="21"/>
                <w:szCs w:val="21"/>
              </w:rPr>
            </w:pPr>
            <w:r w:rsidRPr="008858B4">
              <w:rPr>
                <w:sz w:val="21"/>
                <w:szCs w:val="21"/>
              </w:rPr>
              <w:t>Authorization from cognizant</w:t>
            </w:r>
            <w:r>
              <w:rPr>
                <w:sz w:val="21"/>
                <w:szCs w:val="21"/>
              </w:rPr>
              <w:t xml:space="preserve"> Contracting Officer for FFRDC</w:t>
            </w:r>
          </w:p>
        </w:tc>
        <w:tc>
          <w:tcPr>
            <w:tcW w:w="1080" w:type="dxa"/>
          </w:tcPr>
          <w:p w14:paraId="68A34E05" w14:textId="77777777" w:rsidR="00A506B1" w:rsidRPr="008858B4" w:rsidRDefault="00A506B1" w:rsidP="00A506B1">
            <w:pPr>
              <w:rPr>
                <w:sz w:val="21"/>
                <w:szCs w:val="21"/>
              </w:rPr>
            </w:pPr>
            <w:r>
              <w:rPr>
                <w:sz w:val="21"/>
                <w:szCs w:val="21"/>
              </w:rPr>
              <w:t>PDF</w:t>
            </w:r>
          </w:p>
        </w:tc>
        <w:tc>
          <w:tcPr>
            <w:tcW w:w="1170" w:type="dxa"/>
          </w:tcPr>
          <w:p w14:paraId="5BF4FD24" w14:textId="77777777" w:rsidR="00A506B1" w:rsidRPr="008858B4" w:rsidRDefault="00A506B1" w:rsidP="00A506B1">
            <w:pPr>
              <w:rPr>
                <w:sz w:val="21"/>
                <w:szCs w:val="21"/>
              </w:rPr>
            </w:pPr>
            <w:r>
              <w:rPr>
                <w:sz w:val="21"/>
                <w:szCs w:val="21"/>
              </w:rPr>
              <w:t>n/a</w:t>
            </w:r>
          </w:p>
        </w:tc>
        <w:tc>
          <w:tcPr>
            <w:tcW w:w="3330" w:type="dxa"/>
          </w:tcPr>
          <w:p w14:paraId="60A03A6C" w14:textId="77777777" w:rsidR="00A506B1" w:rsidRDefault="00A506B1" w:rsidP="00A506B1">
            <w:pPr>
              <w:rPr>
                <w:sz w:val="21"/>
                <w:szCs w:val="21"/>
              </w:rPr>
            </w:pPr>
            <w:r w:rsidRPr="008858B4">
              <w:rPr>
                <w:sz w:val="21"/>
                <w:szCs w:val="21"/>
              </w:rPr>
              <w:t>ControlNumber_LeadOrganization_FFRDCAuth</w:t>
            </w:r>
          </w:p>
        </w:tc>
      </w:tr>
      <w:tr w:rsidR="00A506B1" w14:paraId="7E080415" w14:textId="77777777" w:rsidTr="75CD31D0">
        <w:tc>
          <w:tcPr>
            <w:tcW w:w="2970" w:type="dxa"/>
          </w:tcPr>
          <w:p w14:paraId="36518E61" w14:textId="77777777" w:rsidR="00A506B1" w:rsidRPr="008858B4" w:rsidRDefault="00A506B1" w:rsidP="00A506B1">
            <w:pPr>
              <w:rPr>
                <w:sz w:val="21"/>
                <w:szCs w:val="21"/>
              </w:rPr>
            </w:pPr>
            <w:r w:rsidRPr="008858B4">
              <w:rPr>
                <w:sz w:val="21"/>
                <w:szCs w:val="21"/>
              </w:rPr>
              <w:t>SF-LLL Disclosure of Lobbying Activities</w:t>
            </w:r>
          </w:p>
        </w:tc>
        <w:tc>
          <w:tcPr>
            <w:tcW w:w="1080" w:type="dxa"/>
          </w:tcPr>
          <w:p w14:paraId="71CFFD45" w14:textId="77777777" w:rsidR="00A506B1" w:rsidRPr="008858B4" w:rsidRDefault="00A506B1" w:rsidP="00A506B1">
            <w:pPr>
              <w:rPr>
                <w:sz w:val="21"/>
                <w:szCs w:val="21"/>
              </w:rPr>
            </w:pPr>
            <w:r>
              <w:rPr>
                <w:sz w:val="21"/>
                <w:szCs w:val="21"/>
              </w:rPr>
              <w:t>PDF</w:t>
            </w:r>
          </w:p>
        </w:tc>
        <w:tc>
          <w:tcPr>
            <w:tcW w:w="1170" w:type="dxa"/>
          </w:tcPr>
          <w:p w14:paraId="53343EB2" w14:textId="77777777" w:rsidR="00A506B1" w:rsidRPr="008858B4" w:rsidRDefault="00A506B1" w:rsidP="00A506B1">
            <w:pPr>
              <w:rPr>
                <w:sz w:val="21"/>
                <w:szCs w:val="21"/>
              </w:rPr>
            </w:pPr>
            <w:r>
              <w:rPr>
                <w:sz w:val="21"/>
                <w:szCs w:val="21"/>
              </w:rPr>
              <w:t>n/a</w:t>
            </w:r>
          </w:p>
        </w:tc>
        <w:tc>
          <w:tcPr>
            <w:tcW w:w="3330" w:type="dxa"/>
          </w:tcPr>
          <w:p w14:paraId="16560B9B" w14:textId="77777777" w:rsidR="00A506B1" w:rsidRDefault="00A506B1" w:rsidP="00A506B1">
            <w:pPr>
              <w:rPr>
                <w:sz w:val="21"/>
                <w:szCs w:val="21"/>
              </w:rPr>
            </w:pPr>
            <w:r w:rsidRPr="008858B4">
              <w:rPr>
                <w:sz w:val="21"/>
                <w:szCs w:val="21"/>
              </w:rPr>
              <w:t>ControlNumber_LeadOrganization_SF-LLL</w:t>
            </w:r>
          </w:p>
        </w:tc>
      </w:tr>
      <w:tr w:rsidR="00A506B1" w14:paraId="4DBB5F31" w14:textId="77777777" w:rsidTr="75CD31D0">
        <w:tc>
          <w:tcPr>
            <w:tcW w:w="2970" w:type="dxa"/>
          </w:tcPr>
          <w:p w14:paraId="1491A479" w14:textId="2C7E6EEF" w:rsidR="00A506B1" w:rsidRPr="00D850DC" w:rsidRDefault="00A506B1" w:rsidP="00A506B1">
            <w:pPr>
              <w:rPr>
                <w:sz w:val="21"/>
                <w:szCs w:val="21"/>
              </w:rPr>
            </w:pPr>
            <w:r>
              <w:rPr>
                <w:sz w:val="21"/>
                <w:szCs w:val="21"/>
              </w:rPr>
              <w:t xml:space="preserve">Foreign Entity </w:t>
            </w:r>
            <w:r w:rsidRPr="75CD31D0">
              <w:rPr>
                <w:sz w:val="21"/>
                <w:szCs w:val="21"/>
              </w:rPr>
              <w:t>Waiver Requests</w:t>
            </w:r>
            <w:r>
              <w:rPr>
                <w:sz w:val="21"/>
                <w:szCs w:val="21"/>
              </w:rPr>
              <w:t xml:space="preserve"> and Foreign Work Waiver Requests</w:t>
            </w:r>
            <w:r w:rsidRPr="75CD31D0">
              <w:rPr>
                <w:sz w:val="21"/>
                <w:szCs w:val="21"/>
              </w:rPr>
              <w:t xml:space="preserve"> </w:t>
            </w:r>
          </w:p>
        </w:tc>
        <w:tc>
          <w:tcPr>
            <w:tcW w:w="1080" w:type="dxa"/>
          </w:tcPr>
          <w:p w14:paraId="325F7FC3" w14:textId="77777777" w:rsidR="00A506B1" w:rsidRPr="00D850DC" w:rsidRDefault="00A506B1" w:rsidP="00A506B1">
            <w:pPr>
              <w:rPr>
                <w:sz w:val="21"/>
                <w:szCs w:val="21"/>
              </w:rPr>
            </w:pPr>
            <w:r w:rsidRPr="00D850DC">
              <w:rPr>
                <w:sz w:val="21"/>
                <w:szCs w:val="21"/>
              </w:rPr>
              <w:t>PDF</w:t>
            </w:r>
          </w:p>
        </w:tc>
        <w:tc>
          <w:tcPr>
            <w:tcW w:w="1170" w:type="dxa"/>
          </w:tcPr>
          <w:p w14:paraId="14B53276" w14:textId="77777777" w:rsidR="00A506B1" w:rsidRPr="00D850DC" w:rsidRDefault="00A506B1" w:rsidP="00A506B1">
            <w:pPr>
              <w:rPr>
                <w:sz w:val="21"/>
                <w:szCs w:val="21"/>
              </w:rPr>
            </w:pPr>
            <w:r w:rsidRPr="00D850DC">
              <w:rPr>
                <w:sz w:val="21"/>
                <w:szCs w:val="21"/>
              </w:rPr>
              <w:t>n/a</w:t>
            </w:r>
          </w:p>
        </w:tc>
        <w:tc>
          <w:tcPr>
            <w:tcW w:w="3330" w:type="dxa"/>
          </w:tcPr>
          <w:p w14:paraId="065D8B73" w14:textId="77777777" w:rsidR="00A506B1" w:rsidRPr="00D850DC" w:rsidRDefault="00A506B1" w:rsidP="00A506B1">
            <w:pPr>
              <w:rPr>
                <w:sz w:val="21"/>
                <w:szCs w:val="21"/>
              </w:rPr>
            </w:pPr>
            <w:r w:rsidRPr="00D850DC">
              <w:rPr>
                <w:sz w:val="21"/>
                <w:szCs w:val="21"/>
              </w:rPr>
              <w:t>ControlNumber_LeadOrganization_Waiver</w:t>
            </w:r>
          </w:p>
        </w:tc>
      </w:tr>
      <w:tr w:rsidR="00A506B1" w14:paraId="016062CC" w14:textId="77777777" w:rsidTr="75CD31D0">
        <w:tc>
          <w:tcPr>
            <w:tcW w:w="2970" w:type="dxa"/>
          </w:tcPr>
          <w:p w14:paraId="1663BD2E" w14:textId="77777777" w:rsidR="00A506B1" w:rsidRPr="00D850DC" w:rsidRDefault="00A506B1" w:rsidP="00A506B1">
            <w:pPr>
              <w:keepLines/>
              <w:rPr>
                <w:sz w:val="21"/>
                <w:szCs w:val="21"/>
              </w:rPr>
            </w:pPr>
            <w:r w:rsidRPr="00D850DC">
              <w:rPr>
                <w:sz w:val="21"/>
                <w:szCs w:val="21"/>
              </w:rPr>
              <w:t>Current and Pending Support</w:t>
            </w:r>
          </w:p>
        </w:tc>
        <w:tc>
          <w:tcPr>
            <w:tcW w:w="1080" w:type="dxa"/>
          </w:tcPr>
          <w:p w14:paraId="0B5D4D7A" w14:textId="77777777" w:rsidR="00A506B1" w:rsidRPr="00D850DC" w:rsidRDefault="00A506B1" w:rsidP="00A506B1">
            <w:pPr>
              <w:keepLines/>
              <w:rPr>
                <w:sz w:val="21"/>
                <w:szCs w:val="21"/>
              </w:rPr>
            </w:pPr>
            <w:r w:rsidRPr="00D850DC">
              <w:rPr>
                <w:sz w:val="21"/>
                <w:szCs w:val="21"/>
              </w:rPr>
              <w:t>PDF</w:t>
            </w:r>
          </w:p>
        </w:tc>
        <w:tc>
          <w:tcPr>
            <w:tcW w:w="1170" w:type="dxa"/>
          </w:tcPr>
          <w:p w14:paraId="15720AE7" w14:textId="77777777" w:rsidR="00A506B1" w:rsidRPr="00D850DC" w:rsidRDefault="00A506B1" w:rsidP="00A506B1">
            <w:pPr>
              <w:keepLines/>
              <w:rPr>
                <w:sz w:val="21"/>
                <w:szCs w:val="21"/>
              </w:rPr>
            </w:pPr>
            <w:r w:rsidRPr="00D850DC">
              <w:rPr>
                <w:sz w:val="21"/>
                <w:szCs w:val="21"/>
              </w:rPr>
              <w:t>n/a</w:t>
            </w:r>
          </w:p>
        </w:tc>
        <w:tc>
          <w:tcPr>
            <w:tcW w:w="3330" w:type="dxa"/>
          </w:tcPr>
          <w:p w14:paraId="531901A1" w14:textId="77777777" w:rsidR="00A506B1" w:rsidRPr="00D850DC" w:rsidRDefault="00A506B1" w:rsidP="00A506B1">
            <w:pPr>
              <w:keepLines/>
              <w:rPr>
                <w:sz w:val="21"/>
                <w:szCs w:val="21"/>
              </w:rPr>
            </w:pPr>
            <w:r w:rsidRPr="00D850DC">
              <w:rPr>
                <w:rFonts w:cs="Calibri"/>
                <w:color w:val="000000"/>
                <w:sz w:val="21"/>
                <w:szCs w:val="21"/>
              </w:rPr>
              <w:t>ControlNumber_LeadOrganization</w:t>
            </w:r>
            <w:r w:rsidRPr="00D850DC">
              <w:rPr>
                <w:rFonts w:ascii="Calibri" w:hAnsi="Calibri"/>
                <w:color w:val="000000"/>
                <w:sz w:val="21"/>
                <w:szCs w:val="21"/>
              </w:rPr>
              <w:t>_CPS</w:t>
            </w:r>
          </w:p>
        </w:tc>
      </w:tr>
      <w:tr w:rsidR="00A506B1" w14:paraId="6C873765" w14:textId="77777777" w:rsidTr="75CD31D0">
        <w:tc>
          <w:tcPr>
            <w:tcW w:w="2970" w:type="dxa"/>
          </w:tcPr>
          <w:p w14:paraId="6BD6961A" w14:textId="05081A44" w:rsidR="00A506B1" w:rsidRPr="00D850DC" w:rsidRDefault="00A506B1" w:rsidP="00A506B1">
            <w:pPr>
              <w:keepLines/>
              <w:rPr>
                <w:sz w:val="21"/>
                <w:szCs w:val="21"/>
              </w:rPr>
            </w:pPr>
            <w:r w:rsidRPr="00D850DC">
              <w:rPr>
                <w:sz w:val="21"/>
                <w:szCs w:val="21"/>
              </w:rPr>
              <w:t xml:space="preserve">Transparency of Foreign Connections </w:t>
            </w:r>
          </w:p>
        </w:tc>
        <w:tc>
          <w:tcPr>
            <w:tcW w:w="1080" w:type="dxa"/>
          </w:tcPr>
          <w:p w14:paraId="224953FD" w14:textId="2AE24A5F" w:rsidR="00A506B1" w:rsidRPr="00D850DC" w:rsidRDefault="00A506B1" w:rsidP="00A506B1">
            <w:pPr>
              <w:keepLines/>
              <w:rPr>
                <w:sz w:val="21"/>
                <w:szCs w:val="21"/>
              </w:rPr>
            </w:pPr>
            <w:r w:rsidRPr="00D850DC">
              <w:rPr>
                <w:sz w:val="21"/>
                <w:szCs w:val="21"/>
              </w:rPr>
              <w:t>PDF</w:t>
            </w:r>
          </w:p>
        </w:tc>
        <w:tc>
          <w:tcPr>
            <w:tcW w:w="1170" w:type="dxa"/>
          </w:tcPr>
          <w:p w14:paraId="7227E427" w14:textId="464BDB94" w:rsidR="00A506B1" w:rsidRPr="00D850DC" w:rsidRDefault="00A506B1" w:rsidP="00A506B1">
            <w:pPr>
              <w:keepLines/>
              <w:rPr>
                <w:sz w:val="21"/>
                <w:szCs w:val="21"/>
              </w:rPr>
            </w:pPr>
            <w:r w:rsidRPr="00D850DC">
              <w:rPr>
                <w:sz w:val="21"/>
                <w:szCs w:val="21"/>
              </w:rPr>
              <w:t>n/a</w:t>
            </w:r>
          </w:p>
        </w:tc>
        <w:tc>
          <w:tcPr>
            <w:tcW w:w="3330" w:type="dxa"/>
          </w:tcPr>
          <w:p w14:paraId="7F68A4CD" w14:textId="1ACB0C01" w:rsidR="00A506B1" w:rsidRPr="00D850DC" w:rsidRDefault="00A506B1" w:rsidP="00A506B1">
            <w:pPr>
              <w:keepLines/>
              <w:rPr>
                <w:rFonts w:cs="Calibri"/>
                <w:color w:val="000000"/>
                <w:sz w:val="21"/>
                <w:szCs w:val="21"/>
              </w:rPr>
            </w:pPr>
            <w:r w:rsidRPr="00D850DC">
              <w:rPr>
                <w:sz w:val="21"/>
                <w:szCs w:val="21"/>
              </w:rPr>
              <w:t>ControlNumber_LeadOrganization_TFC</w:t>
            </w:r>
          </w:p>
        </w:tc>
      </w:tr>
      <w:tr w:rsidR="00A506B1" w14:paraId="75FDEB4E" w14:textId="77777777" w:rsidTr="75CD31D0">
        <w:tc>
          <w:tcPr>
            <w:tcW w:w="2970" w:type="dxa"/>
          </w:tcPr>
          <w:p w14:paraId="1A64FF53" w14:textId="415C2786" w:rsidR="00A506B1" w:rsidRPr="00D850DC" w:rsidRDefault="00A506B1" w:rsidP="00A506B1">
            <w:pPr>
              <w:keepLines/>
              <w:rPr>
                <w:sz w:val="21"/>
                <w:szCs w:val="21"/>
              </w:rPr>
            </w:pPr>
            <w:r w:rsidRPr="00D850DC">
              <w:rPr>
                <w:sz w:val="21"/>
                <w:szCs w:val="21"/>
              </w:rPr>
              <w:t xml:space="preserve">Potentially Duplicative Funding Notice </w:t>
            </w:r>
          </w:p>
        </w:tc>
        <w:tc>
          <w:tcPr>
            <w:tcW w:w="1080" w:type="dxa"/>
          </w:tcPr>
          <w:p w14:paraId="2FA3E0B4" w14:textId="4C43387B" w:rsidR="00A506B1" w:rsidRPr="00D850DC" w:rsidRDefault="00A506B1" w:rsidP="00A506B1">
            <w:pPr>
              <w:keepLines/>
              <w:rPr>
                <w:sz w:val="21"/>
                <w:szCs w:val="21"/>
              </w:rPr>
            </w:pPr>
            <w:r w:rsidRPr="00D850DC">
              <w:rPr>
                <w:sz w:val="21"/>
                <w:szCs w:val="21"/>
              </w:rPr>
              <w:t>PDF</w:t>
            </w:r>
          </w:p>
        </w:tc>
        <w:tc>
          <w:tcPr>
            <w:tcW w:w="1170" w:type="dxa"/>
          </w:tcPr>
          <w:p w14:paraId="3CF03328" w14:textId="49DA9C40" w:rsidR="00A506B1" w:rsidRPr="00D850DC" w:rsidRDefault="00A506B1" w:rsidP="00A506B1">
            <w:pPr>
              <w:keepLines/>
              <w:rPr>
                <w:sz w:val="21"/>
                <w:szCs w:val="21"/>
              </w:rPr>
            </w:pPr>
            <w:r w:rsidRPr="00D850DC">
              <w:rPr>
                <w:sz w:val="21"/>
                <w:szCs w:val="21"/>
              </w:rPr>
              <w:t>n/a</w:t>
            </w:r>
          </w:p>
        </w:tc>
        <w:tc>
          <w:tcPr>
            <w:tcW w:w="3330" w:type="dxa"/>
          </w:tcPr>
          <w:p w14:paraId="65E7503C" w14:textId="62A92DB9" w:rsidR="00A506B1" w:rsidRPr="00D850DC" w:rsidRDefault="00A506B1" w:rsidP="00A506B1">
            <w:pPr>
              <w:keepLines/>
              <w:rPr>
                <w:rFonts w:cs="Calibri"/>
                <w:color w:val="000000"/>
                <w:sz w:val="21"/>
                <w:szCs w:val="21"/>
              </w:rPr>
            </w:pPr>
            <w:r w:rsidRPr="00D850DC">
              <w:rPr>
                <w:sz w:val="21"/>
                <w:szCs w:val="21"/>
              </w:rPr>
              <w:t>ControlNumber_LeadOrganization_PDFN</w:t>
            </w:r>
          </w:p>
        </w:tc>
      </w:tr>
      <w:tr w:rsidR="00A506B1" w14:paraId="72991AD8" w14:textId="77777777" w:rsidTr="75CD31D0">
        <w:tc>
          <w:tcPr>
            <w:tcW w:w="2970" w:type="dxa"/>
          </w:tcPr>
          <w:p w14:paraId="03B3B7EC" w14:textId="44F074B4" w:rsidR="00A506B1" w:rsidRPr="00D850DC" w:rsidRDefault="00A506B1" w:rsidP="00A506B1">
            <w:pPr>
              <w:keepLines/>
              <w:rPr>
                <w:sz w:val="21"/>
                <w:szCs w:val="21"/>
              </w:rPr>
            </w:pPr>
            <w:r>
              <w:rPr>
                <w:sz w:val="21"/>
                <w:szCs w:val="21"/>
              </w:rPr>
              <w:lastRenderedPageBreak/>
              <w:t>Block Flow Diagram and Supplemental Data*</w:t>
            </w:r>
          </w:p>
        </w:tc>
        <w:tc>
          <w:tcPr>
            <w:tcW w:w="1080" w:type="dxa"/>
          </w:tcPr>
          <w:p w14:paraId="20A38133" w14:textId="57B9F249" w:rsidR="00A506B1" w:rsidRPr="00D850DC" w:rsidRDefault="00A506B1" w:rsidP="00A506B1">
            <w:pPr>
              <w:keepLines/>
              <w:rPr>
                <w:sz w:val="21"/>
                <w:szCs w:val="21"/>
              </w:rPr>
            </w:pPr>
            <w:r>
              <w:rPr>
                <w:sz w:val="21"/>
                <w:szCs w:val="21"/>
              </w:rPr>
              <w:t>MS Word, PDF</w:t>
            </w:r>
          </w:p>
        </w:tc>
        <w:tc>
          <w:tcPr>
            <w:tcW w:w="1170" w:type="dxa"/>
          </w:tcPr>
          <w:p w14:paraId="3BA0384D" w14:textId="1390ACA5" w:rsidR="00A506B1" w:rsidRPr="00D850DC" w:rsidRDefault="00A506B1" w:rsidP="00A506B1">
            <w:pPr>
              <w:keepLines/>
              <w:rPr>
                <w:sz w:val="21"/>
                <w:szCs w:val="21"/>
              </w:rPr>
            </w:pPr>
            <w:r>
              <w:rPr>
                <w:sz w:val="21"/>
                <w:szCs w:val="21"/>
              </w:rPr>
              <w:t>25</w:t>
            </w:r>
          </w:p>
        </w:tc>
        <w:tc>
          <w:tcPr>
            <w:tcW w:w="3330" w:type="dxa"/>
          </w:tcPr>
          <w:p w14:paraId="0C9CB359" w14:textId="303BEC6A" w:rsidR="00A506B1" w:rsidRPr="00D850DC" w:rsidRDefault="00A506B1" w:rsidP="00A506B1">
            <w:pPr>
              <w:keepLines/>
              <w:rPr>
                <w:sz w:val="21"/>
                <w:szCs w:val="21"/>
              </w:rPr>
            </w:pPr>
            <w:r w:rsidRPr="00D850DC">
              <w:rPr>
                <w:sz w:val="21"/>
                <w:szCs w:val="21"/>
              </w:rPr>
              <w:t>ControlNumber_LeadOrganization_</w:t>
            </w:r>
            <w:r>
              <w:rPr>
                <w:sz w:val="21"/>
                <w:szCs w:val="21"/>
              </w:rPr>
              <w:t>BFD</w:t>
            </w:r>
          </w:p>
        </w:tc>
      </w:tr>
      <w:tr w:rsidR="00A506B1" w14:paraId="6DD30173" w14:textId="77777777" w:rsidTr="75CD31D0">
        <w:tc>
          <w:tcPr>
            <w:tcW w:w="2970" w:type="dxa"/>
          </w:tcPr>
          <w:p w14:paraId="560B30B8" w14:textId="53A79F55" w:rsidR="00A506B1" w:rsidRPr="00D850DC" w:rsidRDefault="00A506B1" w:rsidP="00A506B1">
            <w:pPr>
              <w:keepLines/>
              <w:rPr>
                <w:sz w:val="21"/>
                <w:szCs w:val="21"/>
              </w:rPr>
            </w:pPr>
            <w:r w:rsidRPr="008858B4">
              <w:rPr>
                <w:sz w:val="21"/>
                <w:szCs w:val="21"/>
              </w:rPr>
              <w:t>Proforma Cash Flow Analysis</w:t>
            </w:r>
            <w:r>
              <w:rPr>
                <w:sz w:val="21"/>
                <w:szCs w:val="21"/>
              </w:rPr>
              <w:t>*</w:t>
            </w:r>
          </w:p>
        </w:tc>
        <w:tc>
          <w:tcPr>
            <w:tcW w:w="1080" w:type="dxa"/>
          </w:tcPr>
          <w:p w14:paraId="0658EDD8" w14:textId="60985D3D" w:rsidR="00A506B1" w:rsidRPr="00D850DC" w:rsidRDefault="00A506B1" w:rsidP="00A506B1">
            <w:pPr>
              <w:keepLines/>
              <w:rPr>
                <w:sz w:val="21"/>
                <w:szCs w:val="21"/>
              </w:rPr>
            </w:pPr>
            <w:r w:rsidRPr="008858B4">
              <w:rPr>
                <w:sz w:val="21"/>
                <w:szCs w:val="21"/>
              </w:rPr>
              <w:t>MS Excel, MS Word, PDF</w:t>
            </w:r>
          </w:p>
        </w:tc>
        <w:tc>
          <w:tcPr>
            <w:tcW w:w="1170" w:type="dxa"/>
          </w:tcPr>
          <w:p w14:paraId="1CA939A2" w14:textId="503DD370" w:rsidR="00A506B1" w:rsidRPr="00D850DC" w:rsidRDefault="00A506B1" w:rsidP="00A506B1">
            <w:pPr>
              <w:keepLines/>
              <w:rPr>
                <w:sz w:val="21"/>
                <w:szCs w:val="21"/>
              </w:rPr>
            </w:pPr>
            <w:r w:rsidRPr="008858B4">
              <w:rPr>
                <w:sz w:val="21"/>
                <w:szCs w:val="21"/>
              </w:rPr>
              <w:t>5</w:t>
            </w:r>
          </w:p>
        </w:tc>
        <w:tc>
          <w:tcPr>
            <w:tcW w:w="3330" w:type="dxa"/>
          </w:tcPr>
          <w:p w14:paraId="2314BE3D" w14:textId="6EE54734" w:rsidR="00A506B1" w:rsidRPr="00D850DC" w:rsidRDefault="00A506B1" w:rsidP="00A506B1">
            <w:pPr>
              <w:keepLines/>
              <w:rPr>
                <w:sz w:val="21"/>
                <w:szCs w:val="21"/>
              </w:rPr>
            </w:pPr>
            <w:r w:rsidRPr="008015FD">
              <w:rPr>
                <w:sz w:val="21"/>
                <w:szCs w:val="21"/>
              </w:rPr>
              <w:t>ControlNumber_LeadOrganization_</w:t>
            </w:r>
            <w:r>
              <w:rPr>
                <w:sz w:val="21"/>
                <w:szCs w:val="21"/>
              </w:rPr>
              <w:t>TopicArea_Proforma</w:t>
            </w:r>
          </w:p>
        </w:tc>
      </w:tr>
      <w:tr w:rsidR="00A506B1" w14:paraId="680AC065" w14:textId="77777777" w:rsidTr="75CD31D0">
        <w:tc>
          <w:tcPr>
            <w:tcW w:w="2970" w:type="dxa"/>
          </w:tcPr>
          <w:p w14:paraId="4C4F6FA2" w14:textId="4B64E29F" w:rsidR="00A506B1" w:rsidRPr="00D850DC" w:rsidRDefault="00A506B1" w:rsidP="00A506B1">
            <w:pPr>
              <w:keepLines/>
              <w:rPr>
                <w:sz w:val="21"/>
                <w:szCs w:val="21"/>
              </w:rPr>
            </w:pPr>
            <w:r w:rsidRPr="008858B4">
              <w:rPr>
                <w:sz w:val="21"/>
                <w:szCs w:val="21"/>
              </w:rPr>
              <w:t>Life Cycle Assessment</w:t>
            </w:r>
            <w:r>
              <w:rPr>
                <w:sz w:val="21"/>
                <w:szCs w:val="21"/>
              </w:rPr>
              <w:t>*</w:t>
            </w:r>
          </w:p>
        </w:tc>
        <w:tc>
          <w:tcPr>
            <w:tcW w:w="1080" w:type="dxa"/>
          </w:tcPr>
          <w:p w14:paraId="1E7A7784" w14:textId="7856D5FC" w:rsidR="00A506B1" w:rsidRPr="00D850DC" w:rsidRDefault="00A506B1" w:rsidP="00A506B1">
            <w:pPr>
              <w:keepLines/>
              <w:rPr>
                <w:sz w:val="21"/>
                <w:szCs w:val="21"/>
              </w:rPr>
            </w:pPr>
            <w:r w:rsidRPr="008858B4">
              <w:rPr>
                <w:sz w:val="21"/>
                <w:szCs w:val="21"/>
              </w:rPr>
              <w:t>MS Word, PDF</w:t>
            </w:r>
          </w:p>
        </w:tc>
        <w:tc>
          <w:tcPr>
            <w:tcW w:w="1170" w:type="dxa"/>
          </w:tcPr>
          <w:p w14:paraId="5B47B860" w14:textId="365C17CA" w:rsidR="00A506B1" w:rsidRPr="00D850DC" w:rsidRDefault="00A506B1" w:rsidP="00A506B1">
            <w:pPr>
              <w:keepLines/>
              <w:rPr>
                <w:sz w:val="21"/>
                <w:szCs w:val="21"/>
              </w:rPr>
            </w:pPr>
            <w:r w:rsidRPr="008858B4">
              <w:rPr>
                <w:sz w:val="21"/>
                <w:szCs w:val="21"/>
              </w:rPr>
              <w:t>5</w:t>
            </w:r>
          </w:p>
        </w:tc>
        <w:tc>
          <w:tcPr>
            <w:tcW w:w="3330" w:type="dxa"/>
          </w:tcPr>
          <w:p w14:paraId="69792845" w14:textId="060961F3" w:rsidR="00A506B1" w:rsidRPr="00D850DC" w:rsidRDefault="00A506B1" w:rsidP="00A506B1">
            <w:pPr>
              <w:keepLines/>
              <w:rPr>
                <w:sz w:val="21"/>
                <w:szCs w:val="21"/>
              </w:rPr>
            </w:pPr>
            <w:r w:rsidRPr="008015FD">
              <w:rPr>
                <w:sz w:val="21"/>
                <w:szCs w:val="21"/>
              </w:rPr>
              <w:t>ControlNumber_LeadOrganization_</w:t>
            </w:r>
            <w:r>
              <w:rPr>
                <w:sz w:val="21"/>
                <w:szCs w:val="21"/>
              </w:rPr>
              <w:t>TopciArea_LCA</w:t>
            </w:r>
          </w:p>
        </w:tc>
      </w:tr>
    </w:tbl>
    <w:p w14:paraId="0ECBE50E" w14:textId="6218232C" w:rsidR="002C3FDD" w:rsidRDefault="002C3FDD" w:rsidP="008858B4">
      <w:r>
        <w:tab/>
        <w:t xml:space="preserve"> *Please reference Appendix H for additional details and guidance</w:t>
      </w:r>
    </w:p>
    <w:p w14:paraId="4FA66FA3" w14:textId="77777777" w:rsidR="002C3FDD" w:rsidRPr="008858B4" w:rsidRDefault="002C3FDD" w:rsidP="008858B4"/>
    <w:p w14:paraId="5D9ECD42" w14:textId="71136648" w:rsidR="00892B9E" w:rsidRPr="008858B4" w:rsidRDefault="004E672B" w:rsidP="00892B9E">
      <w:pPr>
        <w:ind w:left="1440"/>
      </w:pPr>
      <w:r w:rsidRPr="00120F39">
        <w:rPr>
          <w:b/>
        </w:rPr>
        <w:t>Note</w:t>
      </w:r>
      <w:r w:rsidRPr="008858B4">
        <w:t xml:space="preserve">: The maximum file size that can be uploaded to the </w:t>
      </w:r>
      <w:r w:rsidR="00A93673">
        <w:t xml:space="preserve">EERE </w:t>
      </w:r>
      <w:r w:rsidR="00D615E8">
        <w:t>eXCHANGE</w:t>
      </w:r>
      <w:r w:rsidRPr="008858B4">
        <w:t xml:space="preserve"> website is </w:t>
      </w:r>
      <w:r w:rsidR="00892B9E">
        <w:t>5</w:t>
      </w:r>
      <w:r w:rsidR="00892B9E" w:rsidRPr="008858B4">
        <w:t>0MB</w:t>
      </w:r>
      <w:r w:rsidRPr="008858B4">
        <w:t xml:space="preserve">. </w:t>
      </w:r>
      <w:r w:rsidR="00892B9E">
        <w:t xml:space="preserve">See </w:t>
      </w:r>
      <w:r w:rsidR="00892B9E" w:rsidRPr="008B0D95">
        <w:t>Section IV.B</w:t>
      </w:r>
      <w:r w:rsidR="00892B9E" w:rsidRPr="000A28AC">
        <w:t>.</w:t>
      </w:r>
    </w:p>
    <w:p w14:paraId="2CE0DA59" w14:textId="77777777" w:rsidR="006A24B8" w:rsidRPr="008858B4" w:rsidRDefault="006A24B8" w:rsidP="00CD718A">
      <w:pPr>
        <w:ind w:left="1440"/>
      </w:pPr>
    </w:p>
    <w:p w14:paraId="49254CF7" w14:textId="77777777" w:rsidR="006A24B8" w:rsidRPr="008858B4" w:rsidRDefault="004E672B" w:rsidP="00CD718A">
      <w:pPr>
        <w:ind w:left="1440"/>
      </w:pPr>
      <w:r w:rsidRPr="008858B4">
        <w:t>EERE provides detailed guidance on the content and form of each component below.</w:t>
      </w:r>
    </w:p>
    <w:p w14:paraId="37068842" w14:textId="79979E36" w:rsidR="0077764B" w:rsidRPr="008858B4" w:rsidRDefault="0077764B" w:rsidP="008858B4"/>
    <w:p w14:paraId="18E73905" w14:textId="77777777" w:rsidR="00393DA0" w:rsidRPr="00872882" w:rsidRDefault="00393DA0" w:rsidP="00393DA0">
      <w:pPr>
        <w:pStyle w:val="FOAHeading3"/>
        <w:numPr>
          <w:ilvl w:val="0"/>
          <w:numId w:val="41"/>
        </w:numPr>
        <w:ind w:left="1440"/>
        <w:outlineLvl w:val="2"/>
      </w:pPr>
      <w:bookmarkStart w:id="241" w:name="_Toc519602352"/>
      <w:bookmarkStart w:id="242" w:name="_Toc519602350"/>
      <w:bookmarkStart w:id="243" w:name="_Toc176864444"/>
      <w:r w:rsidRPr="00C72CE2">
        <w:t>SF-424: Application for Federal Assistance</w:t>
      </w:r>
      <w:bookmarkEnd w:id="241"/>
      <w:bookmarkEnd w:id="243"/>
    </w:p>
    <w:p w14:paraId="798320CC" w14:textId="02F3C9BE" w:rsidR="00393DA0" w:rsidRDefault="00393DA0" w:rsidP="00393DA0">
      <w:pPr>
        <w:ind w:left="1440"/>
      </w:pPr>
      <w:bookmarkStart w:id="244" w:name="_Hlk102485953"/>
      <w:r w:rsidRPr="002F657E">
        <w:t xml:space="preserve">Applicants </w:t>
      </w:r>
      <w:r>
        <w:t>must</w:t>
      </w:r>
      <w:r w:rsidRPr="002F657E">
        <w:t xml:space="preserve"> complete the </w:t>
      </w:r>
      <w:r>
        <w:t>SF-424 Application for Federal Assistance, which</w:t>
      </w:r>
      <w:r w:rsidRPr="002F657E">
        <w:t xml:space="preserve"> is available </w:t>
      </w:r>
      <w:r>
        <w:t xml:space="preserve">on </w:t>
      </w:r>
      <w:bookmarkStart w:id="245" w:name="_Hlk148095201"/>
      <w:r>
        <w:fldChar w:fldCharType="begin"/>
      </w:r>
      <w:r>
        <w:instrText>HYPERLINK "https://www.energy.gov/eere/funding/eere-funding-application-and-management-forms"</w:instrText>
      </w:r>
      <w:r>
        <w:fldChar w:fldCharType="separate"/>
      </w:r>
      <w:r>
        <w:rPr>
          <w:rStyle w:val="Hyperlink"/>
        </w:rPr>
        <w:t>EERE Funding Application and Management Forms</w:t>
      </w:r>
      <w:r>
        <w:fldChar w:fldCharType="end"/>
      </w:r>
      <w:bookmarkEnd w:id="245"/>
      <w:r>
        <w:t xml:space="preserve">. </w:t>
      </w:r>
    </w:p>
    <w:p w14:paraId="368E23DA" w14:textId="77777777" w:rsidR="00393DA0" w:rsidRDefault="00393DA0" w:rsidP="00393DA0">
      <w:pPr>
        <w:ind w:left="1440"/>
      </w:pPr>
    </w:p>
    <w:p w14:paraId="060231D9" w14:textId="5286348F" w:rsidR="00393DA0" w:rsidRDefault="00393DA0" w:rsidP="00393DA0">
      <w:pPr>
        <w:ind w:left="1440"/>
      </w:pPr>
      <w:bookmarkStart w:id="246" w:name="_Hlk148095271"/>
      <w:bookmarkEnd w:id="244"/>
      <w:r w:rsidRPr="00081A27">
        <w:t xml:space="preserve">Effective January 1, 2020, the System for Award Management (SAM) </w:t>
      </w:r>
      <w:r>
        <w:t>is</w:t>
      </w:r>
      <w:r w:rsidRPr="00081A27">
        <w:t xml:space="preserve"> the central repository for common government-wide certifications and representations required of Federal grants recipients. As registration in SAM is required for eligibility for a federal award and registration must be updated annually, Federal agencies use SAM information to comply with award requirements and avoid increased burden and costs of separate requests for such information, unless the recipient fails to meet a federal award requirement, or there is a need to make updates to their SAM registration for other purposes.</w:t>
      </w:r>
    </w:p>
    <w:p w14:paraId="1D3F0888" w14:textId="77777777" w:rsidR="00393DA0" w:rsidRDefault="00393DA0" w:rsidP="00393DA0">
      <w:pPr>
        <w:ind w:left="1440"/>
      </w:pPr>
    </w:p>
    <w:bookmarkEnd w:id="246"/>
    <w:p w14:paraId="163713D0" w14:textId="76A3AA11" w:rsidR="00393DA0" w:rsidRDefault="00393DA0" w:rsidP="00393DA0">
      <w:pPr>
        <w:ind w:left="1440"/>
      </w:pPr>
      <w:r w:rsidRPr="008858B4">
        <w:t>Note: The dates and dollar amounts on the SF-424 are for the complete project period and not just the first project year, first phase</w:t>
      </w:r>
      <w:r>
        <w:t>,</w:t>
      </w:r>
      <w:r w:rsidRPr="008858B4">
        <w:t xml:space="preserve"> or other subset of the project period.</w:t>
      </w:r>
    </w:p>
    <w:p w14:paraId="59FFD433" w14:textId="77777777" w:rsidR="00393DA0" w:rsidRDefault="00393DA0" w:rsidP="00393DA0">
      <w:pPr>
        <w:ind w:left="1440"/>
      </w:pPr>
    </w:p>
    <w:p w14:paraId="467C86DD" w14:textId="7478BCF8" w:rsidR="00393DA0" w:rsidRPr="008858B4" w:rsidRDefault="00393DA0" w:rsidP="00393DA0">
      <w:pPr>
        <w:ind w:left="1440"/>
      </w:pPr>
      <w:r>
        <w:t xml:space="preserve">Save the SF-424 in a single PDF file </w:t>
      </w:r>
      <w:r>
        <w:rPr>
          <w:rFonts w:ascii="Calibri" w:hAnsi="Calibri" w:cs="Calibri"/>
          <w:color w:val="000000"/>
          <w:szCs w:val="24"/>
        </w:rPr>
        <w:t>using the following convention for the title “ControlNumber_LeadOrganization_</w:t>
      </w:r>
      <w:r w:rsidR="006075AF">
        <w:rPr>
          <w:rFonts w:ascii="Calibri" w:hAnsi="Calibri" w:cs="Calibri"/>
          <w:color w:val="000000"/>
          <w:szCs w:val="24"/>
        </w:rPr>
        <w:t>App</w:t>
      </w:r>
      <w:r>
        <w:rPr>
          <w:rFonts w:ascii="Calibri" w:hAnsi="Calibri" w:cs="Calibri"/>
          <w:color w:val="000000"/>
          <w:szCs w:val="24"/>
        </w:rPr>
        <w:t>424”</w:t>
      </w:r>
      <w:r>
        <w:t>.</w:t>
      </w:r>
    </w:p>
    <w:p w14:paraId="324E9A10" w14:textId="77777777" w:rsidR="00393DA0" w:rsidRPr="008858B4" w:rsidRDefault="00393DA0" w:rsidP="00393DA0"/>
    <w:p w14:paraId="10A60E5E" w14:textId="77777777" w:rsidR="006A24B8" w:rsidRPr="00872882" w:rsidRDefault="004E672B" w:rsidP="004D5367">
      <w:pPr>
        <w:pStyle w:val="FOAHeading3"/>
        <w:numPr>
          <w:ilvl w:val="0"/>
          <w:numId w:val="41"/>
        </w:numPr>
        <w:ind w:left="1440"/>
        <w:outlineLvl w:val="2"/>
      </w:pPr>
      <w:bookmarkStart w:id="247" w:name="_Toc176864445"/>
      <w:r w:rsidRPr="00C72CE2">
        <w:t>Technical Volume</w:t>
      </w:r>
      <w:bookmarkEnd w:id="242"/>
      <w:bookmarkEnd w:id="247"/>
    </w:p>
    <w:p w14:paraId="3BD6C470" w14:textId="77777777" w:rsidR="00892B9E" w:rsidRDefault="00892B9E" w:rsidP="00892B9E">
      <w:pPr>
        <w:ind w:left="1440"/>
      </w:pPr>
      <w:r w:rsidRPr="00001D04">
        <w:t xml:space="preserve">The Technical Volume must conform to the following content and form requirements. This volume must address the technical review criteria as discussed in </w:t>
      </w:r>
      <w:r w:rsidRPr="008B0D95">
        <w:t>Section V.</w:t>
      </w:r>
      <w:r w:rsidRPr="00001D04">
        <w:t xml:space="preserve"> of the FOA. </w:t>
      </w:r>
    </w:p>
    <w:p w14:paraId="393AC5F8" w14:textId="77777777" w:rsidR="00892B9E" w:rsidRDefault="00892B9E" w:rsidP="00892B9E">
      <w:pPr>
        <w:ind w:left="1440"/>
      </w:pPr>
    </w:p>
    <w:p w14:paraId="1EC9874C" w14:textId="77777777" w:rsidR="00892B9E" w:rsidRPr="008858B4" w:rsidRDefault="00892B9E" w:rsidP="00892B9E">
      <w:pPr>
        <w:ind w:left="1440"/>
      </w:pPr>
      <w:r w:rsidRPr="00001D04">
        <w:t>Save the Technical Volume in a single PDF file using the following convention for the title “ControlNumber_LeadOrganization_TechnicalVolume”.</w:t>
      </w:r>
    </w:p>
    <w:p w14:paraId="71598BCF" w14:textId="77777777" w:rsidR="00EB3E33" w:rsidRPr="008858B4" w:rsidRDefault="00EB3E33" w:rsidP="00A53BBC">
      <w:pPr>
        <w:ind w:left="1440"/>
      </w:pPr>
    </w:p>
    <w:p w14:paraId="65EC3137" w14:textId="77777777" w:rsidR="006A24B8" w:rsidRPr="008858B4" w:rsidRDefault="004E672B" w:rsidP="00A53BBC">
      <w:pPr>
        <w:ind w:left="1440"/>
      </w:pPr>
      <w:r w:rsidRPr="008858B4">
        <w:lastRenderedPageBreak/>
        <w:t>Applicants must provide sufficient citations and references to the primary research literature to justify the claims and approaches made in the Technical Volume. However, EERE and reviewers are under no obligation to review cited sources.</w:t>
      </w:r>
    </w:p>
    <w:p w14:paraId="3128F2D5" w14:textId="77777777" w:rsidR="006A24B8" w:rsidRPr="008858B4" w:rsidRDefault="006A24B8" w:rsidP="00A53BBC">
      <w:pPr>
        <w:ind w:left="1440"/>
      </w:pPr>
    </w:p>
    <w:p w14:paraId="7FFC994F" w14:textId="5B5F0A7D" w:rsidR="009B03E1" w:rsidRDefault="004E672B" w:rsidP="00A53BBC">
      <w:pPr>
        <w:ind w:left="1440"/>
      </w:pPr>
      <w:r w:rsidRPr="008858B4">
        <w:t>The Technical Volume to the Full Application may not be more than</w:t>
      </w:r>
      <w:r w:rsidR="00253464">
        <w:rPr>
          <w:rStyle w:val="Style1"/>
          <w:color w:val="0000FF"/>
        </w:rPr>
        <w:t xml:space="preserve"> </w:t>
      </w:r>
      <w:r w:rsidR="00253464" w:rsidRPr="008B0D95">
        <w:rPr>
          <w:rStyle w:val="Style1"/>
        </w:rPr>
        <w:t>40</w:t>
      </w:r>
      <w:r w:rsidR="00253464">
        <w:rPr>
          <w:rStyle w:val="Style1"/>
          <w:color w:val="0000FF"/>
        </w:rPr>
        <w:t xml:space="preserve"> </w:t>
      </w:r>
      <w:bookmarkStart w:id="248" w:name="_Toc519602317"/>
      <w:bookmarkStart w:id="249" w:name="_Toc519602229"/>
      <w:bookmarkStart w:id="250" w:name="_Toc517798901"/>
      <w:bookmarkStart w:id="251" w:name="_Toc517798904"/>
      <w:bookmarkStart w:id="252" w:name="_Toc519602232"/>
      <w:bookmarkStart w:id="253" w:name="_Toc519602325"/>
      <w:bookmarkEnd w:id="237"/>
      <w:bookmarkEnd w:id="248"/>
      <w:bookmarkEnd w:id="249"/>
      <w:bookmarkEnd w:id="250"/>
      <w:bookmarkEnd w:id="251"/>
      <w:bookmarkEnd w:id="252"/>
      <w:bookmarkEnd w:id="253"/>
      <w:r w:rsidR="00ED1B21" w:rsidRPr="00ED1B21">
        <w:t>pages</w:t>
      </w:r>
      <w:r w:rsidR="009C6087">
        <w:t>, i</w:t>
      </w:r>
      <w:r w:rsidRPr="008858B4">
        <w:t>ncluding the</w:t>
      </w:r>
      <w:r w:rsidR="000F5689">
        <w:t xml:space="preserve"> cover page,</w:t>
      </w:r>
      <w:r w:rsidRPr="008858B4">
        <w:t xml:space="preserve"> table of contents, and all citations, charts, graphs, maps, photos, or other graphics, and must include all information in the table below. The applicant should consider the weighting of each of the </w:t>
      </w:r>
      <w:r w:rsidR="00EB3E33">
        <w:t>technical review</w:t>
      </w:r>
      <w:r w:rsidR="00EB3E33" w:rsidRPr="008858B4">
        <w:t xml:space="preserve"> </w:t>
      </w:r>
      <w:r w:rsidRPr="008858B4">
        <w:t xml:space="preserve">criteria (see </w:t>
      </w:r>
      <w:r w:rsidRPr="008B0D95">
        <w:t>Section V.A.</w:t>
      </w:r>
      <w:r w:rsidR="00376783" w:rsidRPr="008B0D95">
        <w:t>ii</w:t>
      </w:r>
      <w:r w:rsidR="005B20D6">
        <w:t>.</w:t>
      </w:r>
      <w:r w:rsidR="00376783" w:rsidRPr="008858B4">
        <w:t xml:space="preserve"> </w:t>
      </w:r>
      <w:r w:rsidRPr="008858B4">
        <w:t>of the FOA) when preparing the Technical Volume.</w:t>
      </w:r>
    </w:p>
    <w:p w14:paraId="6C2892EF" w14:textId="77777777" w:rsidR="00B97E49" w:rsidRDefault="00B97E49" w:rsidP="00A53BBC">
      <w:pPr>
        <w:ind w:left="1440"/>
      </w:pPr>
    </w:p>
    <w:p w14:paraId="1CB54F18" w14:textId="1DBD2CEB" w:rsidR="008D2989" w:rsidRDefault="009B03E1" w:rsidP="00FC7727">
      <w:pPr>
        <w:ind w:left="1440"/>
      </w:pPr>
      <w:r>
        <w:t>The Technical Volume should clearly describe and expand upon information provided in the Concept Paper.</w:t>
      </w:r>
      <w:r w:rsidR="00ED3591">
        <w:t xml:space="preserve"> </w:t>
      </w:r>
    </w:p>
    <w:p w14:paraId="1BF141C2" w14:textId="740884C3" w:rsidR="0091680F" w:rsidRDefault="0091680F"/>
    <w:tbl>
      <w:tblPr>
        <w:tblStyle w:val="TableGrid"/>
        <w:tblW w:w="9000" w:type="dxa"/>
        <w:tblInd w:w="720" w:type="dxa"/>
        <w:tblLook w:val="04A0" w:firstRow="1" w:lastRow="0" w:firstColumn="1" w:lastColumn="0" w:noHBand="0" w:noVBand="1"/>
      </w:tblPr>
      <w:tblGrid>
        <w:gridCol w:w="2319"/>
        <w:gridCol w:w="6681"/>
      </w:tblGrid>
      <w:tr w:rsidR="00F07968" w14:paraId="4CEA1A6D" w14:textId="77777777" w:rsidTr="00F07968">
        <w:tc>
          <w:tcPr>
            <w:tcW w:w="9000" w:type="dxa"/>
            <w:gridSpan w:val="2"/>
          </w:tcPr>
          <w:p w14:paraId="0436FF3B" w14:textId="77777777" w:rsidR="00F07968" w:rsidRPr="00D600AA" w:rsidRDefault="00F07968">
            <w:pPr>
              <w:spacing w:before="120" w:after="120"/>
              <w:jc w:val="center"/>
              <w:rPr>
                <w:b/>
                <w:color w:val="000000" w:themeColor="text1"/>
                <w:sz w:val="28"/>
                <w:szCs w:val="28"/>
              </w:rPr>
            </w:pPr>
            <w:r w:rsidRPr="00D600AA">
              <w:rPr>
                <w:b/>
                <w:color w:val="000000" w:themeColor="text1"/>
                <w:sz w:val="28"/>
                <w:szCs w:val="28"/>
              </w:rPr>
              <w:t xml:space="preserve">Technical Volume </w:t>
            </w:r>
            <w:r>
              <w:rPr>
                <w:b/>
                <w:color w:val="000000" w:themeColor="text1"/>
                <w:sz w:val="28"/>
                <w:szCs w:val="28"/>
              </w:rPr>
              <w:t>C</w:t>
            </w:r>
            <w:r w:rsidRPr="00D600AA">
              <w:rPr>
                <w:b/>
                <w:color w:val="000000" w:themeColor="text1"/>
                <w:sz w:val="28"/>
                <w:szCs w:val="28"/>
              </w:rPr>
              <w:t>onten</w:t>
            </w:r>
            <w:r>
              <w:rPr>
                <w:b/>
                <w:color w:val="000000" w:themeColor="text1"/>
                <w:sz w:val="28"/>
                <w:szCs w:val="28"/>
              </w:rPr>
              <w:t xml:space="preserve">t </w:t>
            </w:r>
            <w:r w:rsidRPr="00D600AA">
              <w:rPr>
                <w:b/>
                <w:color w:val="000000" w:themeColor="text1"/>
                <w:sz w:val="28"/>
                <w:szCs w:val="28"/>
              </w:rPr>
              <w:t xml:space="preserve">Requirements </w:t>
            </w:r>
          </w:p>
        </w:tc>
      </w:tr>
      <w:tr w:rsidR="00BF65D1" w14:paraId="63A76174" w14:textId="77777777" w:rsidTr="00F07968">
        <w:tc>
          <w:tcPr>
            <w:tcW w:w="2319" w:type="dxa"/>
            <w:tcBorders>
              <w:bottom w:val="single" w:sz="4" w:space="0" w:color="auto"/>
            </w:tcBorders>
            <w:shd w:val="clear" w:color="auto" w:fill="C6D9F1" w:themeFill="text2" w:themeFillTint="33"/>
          </w:tcPr>
          <w:p w14:paraId="23B3C2CC" w14:textId="77777777" w:rsidR="006A24B8" w:rsidRPr="008858B4" w:rsidRDefault="004E672B" w:rsidP="00120F39">
            <w:pPr>
              <w:spacing w:before="120" w:after="120"/>
              <w:rPr>
                <w:b/>
                <w:color w:val="000000" w:themeColor="text1"/>
                <w:sz w:val="21"/>
                <w:szCs w:val="21"/>
              </w:rPr>
            </w:pPr>
            <w:r w:rsidRPr="00120F39">
              <w:rPr>
                <w:b/>
                <w:color w:val="000000" w:themeColor="text1"/>
                <w:sz w:val="21"/>
                <w:szCs w:val="21"/>
              </w:rPr>
              <w:t>SECTION/PAGE LIMIT</w:t>
            </w:r>
          </w:p>
        </w:tc>
        <w:tc>
          <w:tcPr>
            <w:tcW w:w="6681" w:type="dxa"/>
            <w:shd w:val="clear" w:color="auto" w:fill="C6D9F1" w:themeFill="text2" w:themeFillTint="33"/>
          </w:tcPr>
          <w:p w14:paraId="4244C787" w14:textId="77777777" w:rsidR="006A24B8" w:rsidRPr="008858B4" w:rsidRDefault="004E672B">
            <w:pPr>
              <w:spacing w:before="120" w:after="120"/>
              <w:rPr>
                <w:b/>
                <w:color w:val="000000" w:themeColor="text1"/>
                <w:sz w:val="21"/>
                <w:szCs w:val="21"/>
              </w:rPr>
            </w:pPr>
            <w:r w:rsidRPr="6BB432CC">
              <w:rPr>
                <w:b/>
                <w:color w:val="000000" w:themeColor="text1"/>
                <w:sz w:val="21"/>
                <w:szCs w:val="21"/>
              </w:rPr>
              <w:t>DESCRIPTION</w:t>
            </w:r>
          </w:p>
        </w:tc>
      </w:tr>
      <w:tr w:rsidR="00BF65D1" w14:paraId="6FE33F45" w14:textId="77777777" w:rsidTr="00F07968">
        <w:tc>
          <w:tcPr>
            <w:tcW w:w="2319" w:type="dxa"/>
            <w:shd w:val="clear" w:color="auto" w:fill="EAF1DD" w:themeFill="accent3" w:themeFillTint="33"/>
          </w:tcPr>
          <w:p w14:paraId="2752900F" w14:textId="77777777" w:rsidR="00283227" w:rsidRPr="008858B4" w:rsidRDefault="004E672B" w:rsidP="009A02DB">
            <w:pPr>
              <w:spacing w:before="120" w:after="120"/>
              <w:rPr>
                <w:b/>
                <w:color w:val="000000" w:themeColor="text1"/>
                <w:sz w:val="21"/>
                <w:szCs w:val="21"/>
              </w:rPr>
            </w:pPr>
            <w:r>
              <w:rPr>
                <w:b/>
                <w:color w:val="000000" w:themeColor="text1"/>
                <w:sz w:val="21"/>
                <w:szCs w:val="21"/>
              </w:rPr>
              <w:t>Cover Page</w:t>
            </w:r>
          </w:p>
        </w:tc>
        <w:tc>
          <w:tcPr>
            <w:tcW w:w="6681" w:type="dxa"/>
          </w:tcPr>
          <w:p w14:paraId="256D5F06" w14:textId="0EB709A9" w:rsidR="006A24B8" w:rsidRPr="008858B4" w:rsidRDefault="004E672B" w:rsidP="00FF6EAF">
            <w:pPr>
              <w:spacing w:before="120" w:after="120"/>
              <w:rPr>
                <w:color w:val="000000" w:themeColor="text1"/>
                <w:sz w:val="21"/>
                <w:szCs w:val="21"/>
              </w:rPr>
            </w:pPr>
            <w:r w:rsidRPr="008858B4">
              <w:rPr>
                <w:rFonts w:ascii="Calibri" w:eastAsia="Calibri" w:hAnsi="Calibri" w:cs="Calibri"/>
                <w:color w:val="000000" w:themeColor="text1"/>
                <w:sz w:val="21"/>
                <w:szCs w:val="21"/>
              </w:rPr>
              <w:t>The cover page should include the project title, the specific FOA Topic Area being addressed</w:t>
            </w:r>
            <w:r w:rsidR="005E2146">
              <w:rPr>
                <w:rFonts w:ascii="Calibri" w:eastAsia="Calibri" w:hAnsi="Calibri" w:cs="Calibri"/>
                <w:color w:val="000000" w:themeColor="text1"/>
                <w:sz w:val="21"/>
                <w:szCs w:val="21"/>
              </w:rPr>
              <w:t xml:space="preserve"> (if applicable)</w:t>
            </w:r>
            <w:r w:rsidRPr="008858B4">
              <w:rPr>
                <w:rFonts w:ascii="Calibri" w:eastAsia="Calibri" w:hAnsi="Calibri" w:cs="Calibri"/>
                <w:color w:val="000000" w:themeColor="text1"/>
                <w:sz w:val="21"/>
                <w:szCs w:val="21"/>
              </w:rPr>
              <w:t xml:space="preserve">, both the technical and business points of contact, names of all team member organizations, </w:t>
            </w:r>
            <w:bookmarkStart w:id="254" w:name="_Hlk89356570"/>
            <w:r w:rsidR="00C127EF">
              <w:rPr>
                <w:rFonts w:ascii="Calibri" w:eastAsia="Calibri" w:hAnsi="Calibri" w:cs="Calibri"/>
                <w:color w:val="000000" w:themeColor="text1"/>
                <w:sz w:val="21"/>
                <w:szCs w:val="21"/>
              </w:rPr>
              <w:t xml:space="preserve">names of the </w:t>
            </w:r>
            <w:r w:rsidR="00892B9E">
              <w:rPr>
                <w:rFonts w:ascii="Calibri" w:eastAsia="Calibri" w:hAnsi="Calibri" w:cs="Calibri"/>
                <w:color w:val="000000" w:themeColor="text1"/>
                <w:sz w:val="21"/>
                <w:szCs w:val="21"/>
              </w:rPr>
              <w:t>PI, S</w:t>
            </w:r>
            <w:r w:rsidR="007E6E0D">
              <w:rPr>
                <w:rFonts w:ascii="Calibri" w:eastAsia="Calibri" w:hAnsi="Calibri" w:cs="Calibri"/>
                <w:color w:val="000000" w:themeColor="text1"/>
                <w:sz w:val="21"/>
                <w:szCs w:val="21"/>
              </w:rPr>
              <w:t>enior/</w:t>
            </w:r>
            <w:r w:rsidR="00892B9E">
              <w:rPr>
                <w:rFonts w:ascii="Calibri" w:eastAsia="Calibri" w:hAnsi="Calibri" w:cs="Calibri"/>
                <w:color w:val="000000" w:themeColor="text1"/>
                <w:sz w:val="21"/>
                <w:szCs w:val="21"/>
              </w:rPr>
              <w:t>K</w:t>
            </w:r>
            <w:r w:rsidR="007E6E0D">
              <w:rPr>
                <w:rFonts w:ascii="Calibri" w:eastAsia="Calibri" w:hAnsi="Calibri" w:cs="Calibri"/>
                <w:color w:val="000000" w:themeColor="text1"/>
                <w:sz w:val="21"/>
                <w:szCs w:val="21"/>
              </w:rPr>
              <w:t xml:space="preserve">ey </w:t>
            </w:r>
            <w:r w:rsidR="00892B9E">
              <w:rPr>
                <w:rFonts w:ascii="Calibri" w:eastAsia="Calibri" w:hAnsi="Calibri" w:cs="Calibri"/>
                <w:color w:val="000000" w:themeColor="text1"/>
                <w:sz w:val="21"/>
                <w:szCs w:val="21"/>
              </w:rPr>
              <w:t>P</w:t>
            </w:r>
            <w:r w:rsidR="007E6E0D">
              <w:rPr>
                <w:rFonts w:ascii="Calibri" w:eastAsia="Calibri" w:hAnsi="Calibri" w:cs="Calibri"/>
                <w:color w:val="000000" w:themeColor="text1"/>
                <w:sz w:val="21"/>
                <w:szCs w:val="21"/>
              </w:rPr>
              <w:t>ersonnel</w:t>
            </w:r>
            <w:r w:rsidR="00C127EF">
              <w:rPr>
                <w:rFonts w:ascii="Calibri" w:eastAsia="Calibri" w:hAnsi="Calibri" w:cs="Calibri"/>
                <w:color w:val="000000" w:themeColor="text1"/>
                <w:sz w:val="21"/>
                <w:szCs w:val="21"/>
              </w:rPr>
              <w:t xml:space="preserve"> and their organizations</w:t>
            </w:r>
            <w:bookmarkEnd w:id="254"/>
            <w:r w:rsidR="00C127EF">
              <w:rPr>
                <w:rFonts w:ascii="Calibri" w:eastAsia="Calibri" w:hAnsi="Calibri" w:cs="Calibri"/>
                <w:color w:val="000000" w:themeColor="text1"/>
                <w:sz w:val="21"/>
                <w:szCs w:val="21"/>
              </w:rPr>
              <w:t xml:space="preserve">, </w:t>
            </w:r>
            <w:r w:rsidR="00892B9E" w:rsidRPr="00CE7956">
              <w:rPr>
                <w:rFonts w:ascii="Calibri" w:eastAsia="Calibri" w:hAnsi="Calibri" w:cs="Calibri"/>
                <w:color w:val="000000" w:themeColor="text1"/>
                <w:sz w:val="21"/>
                <w:szCs w:val="21"/>
              </w:rPr>
              <w:t>the project location(s)</w:t>
            </w:r>
            <w:r w:rsidR="00892B9E">
              <w:rPr>
                <w:rFonts w:ascii="Calibri" w:eastAsia="Calibri" w:hAnsi="Calibri" w:cs="Calibri"/>
                <w:color w:val="000000" w:themeColor="text1"/>
                <w:sz w:val="21"/>
                <w:szCs w:val="21"/>
              </w:rPr>
              <w:t xml:space="preserve">, </w:t>
            </w:r>
            <w:r w:rsidRPr="008858B4">
              <w:rPr>
                <w:rFonts w:ascii="Calibri" w:eastAsia="Calibri" w:hAnsi="Calibri" w:cs="Calibri"/>
                <w:color w:val="000000" w:themeColor="text1"/>
                <w:sz w:val="21"/>
                <w:szCs w:val="21"/>
              </w:rPr>
              <w:t>and any statements regarding confidentiality.</w:t>
            </w:r>
          </w:p>
        </w:tc>
      </w:tr>
      <w:tr w:rsidR="00BF65D1" w14:paraId="565728F9" w14:textId="77777777" w:rsidTr="00F07968">
        <w:trPr>
          <w:trHeight w:val="3759"/>
        </w:trPr>
        <w:tc>
          <w:tcPr>
            <w:tcW w:w="2319" w:type="dxa"/>
            <w:tcBorders>
              <w:bottom w:val="single" w:sz="4" w:space="0" w:color="auto"/>
            </w:tcBorders>
            <w:shd w:val="clear" w:color="auto" w:fill="EAF1DD" w:themeFill="accent3" w:themeFillTint="33"/>
          </w:tcPr>
          <w:p w14:paraId="07B92E45" w14:textId="38004F9E" w:rsidR="006A24B8" w:rsidRPr="00D4476D" w:rsidRDefault="004E672B" w:rsidP="00D4476D">
            <w:pPr>
              <w:spacing w:before="120" w:after="120"/>
              <w:rPr>
                <w:b/>
                <w:color w:val="000000" w:themeColor="text1"/>
                <w:sz w:val="21"/>
                <w:szCs w:val="21"/>
              </w:rPr>
            </w:pPr>
            <w:r w:rsidRPr="00120F39">
              <w:rPr>
                <w:b/>
                <w:color w:val="000000" w:themeColor="text1"/>
                <w:sz w:val="21"/>
                <w:szCs w:val="21"/>
              </w:rPr>
              <w:t>Project Overview</w:t>
            </w:r>
            <w:r w:rsidRPr="00120F39">
              <w:rPr>
                <w:color w:val="000000" w:themeColor="text1"/>
                <w:sz w:val="21"/>
                <w:szCs w:val="21"/>
              </w:rPr>
              <w:t xml:space="preserve"> </w:t>
            </w:r>
            <w:r w:rsidRPr="008858B4">
              <w:rPr>
                <w:color w:val="000000" w:themeColor="text1"/>
                <w:sz w:val="21"/>
                <w:szCs w:val="21"/>
              </w:rPr>
              <w:t>(</w:t>
            </w:r>
            <w:r w:rsidR="00ED3591">
              <w:rPr>
                <w:color w:val="000000" w:themeColor="text1"/>
                <w:sz w:val="21"/>
                <w:szCs w:val="21"/>
              </w:rPr>
              <w:t>A</w:t>
            </w:r>
            <w:r w:rsidRPr="008858B4">
              <w:rPr>
                <w:color w:val="000000" w:themeColor="text1"/>
                <w:sz w:val="21"/>
                <w:szCs w:val="21"/>
              </w:rPr>
              <w:t>pproximately 10% of the Technical Volume)</w:t>
            </w:r>
          </w:p>
        </w:tc>
        <w:tc>
          <w:tcPr>
            <w:tcW w:w="6681" w:type="dxa"/>
            <w:tcBorders>
              <w:bottom w:val="single" w:sz="4" w:space="0" w:color="auto"/>
            </w:tcBorders>
          </w:tcPr>
          <w:p w14:paraId="6630C8A2" w14:textId="77777777" w:rsidR="006A24B8" w:rsidRPr="00AF2304" w:rsidRDefault="004E672B" w:rsidP="00120F39">
            <w:p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Project Overview should contain the following information:</w:t>
            </w:r>
          </w:p>
          <w:p w14:paraId="788DD833" w14:textId="418CD544" w:rsidR="006A24B8" w:rsidRPr="00AF2304" w:rsidRDefault="004E672B" w:rsidP="00AC77FA">
            <w:pPr>
              <w:numPr>
                <w:ilvl w:val="0"/>
                <w:numId w:val="75"/>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Background:</w:t>
            </w:r>
            <w:r w:rsidR="001A3502">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 xml:space="preserve">The applicant should discuss the background of </w:t>
            </w:r>
            <w:r w:rsidR="00F07968">
              <w:rPr>
                <w:rFonts w:ascii="Calibri" w:eastAsia="Calibri" w:hAnsi="Calibri" w:cs="Calibri"/>
                <w:color w:val="000000" w:themeColor="text1"/>
                <w:sz w:val="21"/>
                <w:szCs w:val="21"/>
              </w:rPr>
              <w:t>its</w:t>
            </w:r>
            <w:r w:rsidR="00F07968" w:rsidRPr="00AF2304">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organization, including the history, successes, and current research and development status (i.e., the technical baseline) relevant to the technical topic being addressed in the Full Application.</w:t>
            </w:r>
          </w:p>
          <w:p w14:paraId="74AC0533" w14:textId="77777777" w:rsidR="006A24B8" w:rsidRPr="00AF2304" w:rsidRDefault="004E672B" w:rsidP="00AC77FA">
            <w:pPr>
              <w:numPr>
                <w:ilvl w:val="0"/>
                <w:numId w:val="74"/>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Project Goal:</w:t>
            </w:r>
            <w:r w:rsidR="001A3502">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The applicant should explicitly identify the targeted improvements to the baseline technology and the critical success factors in achieving that goal.</w:t>
            </w:r>
          </w:p>
          <w:p w14:paraId="06506C4B" w14:textId="1D7830EF" w:rsidR="00725466" w:rsidRPr="007646C9" w:rsidRDefault="004E672B" w:rsidP="00AC77FA">
            <w:pPr>
              <w:numPr>
                <w:ilvl w:val="0"/>
                <w:numId w:val="74"/>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DOE Impact: The applicant should discuss the impact that DOE funding would have on the proposed project. Applicants should specifically explain how DOE funding, relative to prior, current, or anticipated funding from other public and private sources, is necessary to achieve the project objectives.</w:t>
            </w:r>
          </w:p>
        </w:tc>
      </w:tr>
      <w:tr w:rsidR="00BF65D1" w14:paraId="6949025E" w14:textId="77777777" w:rsidTr="00F07968">
        <w:trPr>
          <w:trHeight w:val="3759"/>
        </w:trPr>
        <w:tc>
          <w:tcPr>
            <w:tcW w:w="2319" w:type="dxa"/>
            <w:tcBorders>
              <w:bottom w:val="single" w:sz="4" w:space="0" w:color="auto"/>
            </w:tcBorders>
            <w:shd w:val="clear" w:color="auto" w:fill="EAF1DD" w:themeFill="accent3" w:themeFillTint="33"/>
          </w:tcPr>
          <w:p w14:paraId="68CBCD58" w14:textId="7150F601" w:rsidR="006A24B8" w:rsidRPr="00120F39" w:rsidRDefault="004E672B" w:rsidP="00ED3591">
            <w:pPr>
              <w:spacing w:before="120" w:after="120"/>
              <w:rPr>
                <w:b/>
                <w:color w:val="000000" w:themeColor="text1"/>
                <w:sz w:val="21"/>
                <w:szCs w:val="21"/>
              </w:rPr>
            </w:pPr>
            <w:r w:rsidRPr="00120F39">
              <w:rPr>
                <w:b/>
                <w:color w:val="000000" w:themeColor="text1"/>
                <w:sz w:val="21"/>
                <w:szCs w:val="21"/>
              </w:rPr>
              <w:lastRenderedPageBreak/>
              <w:t>Technical Description, Innovation, and Impact</w:t>
            </w:r>
            <w:r w:rsidRPr="00120F39">
              <w:rPr>
                <w:color w:val="000000" w:themeColor="text1"/>
                <w:sz w:val="21"/>
                <w:szCs w:val="21"/>
              </w:rPr>
              <w:t xml:space="preserve"> </w:t>
            </w:r>
            <w:r w:rsidRPr="008858B4">
              <w:rPr>
                <w:color w:val="000000" w:themeColor="text1"/>
                <w:sz w:val="21"/>
                <w:szCs w:val="21"/>
              </w:rPr>
              <w:t>(</w:t>
            </w:r>
            <w:r w:rsidR="00ED3591">
              <w:rPr>
                <w:color w:val="000000" w:themeColor="text1"/>
                <w:sz w:val="21"/>
                <w:szCs w:val="21"/>
              </w:rPr>
              <w:t>A</w:t>
            </w:r>
            <w:r w:rsidRPr="008858B4">
              <w:rPr>
                <w:color w:val="000000" w:themeColor="text1"/>
                <w:sz w:val="21"/>
                <w:szCs w:val="21"/>
              </w:rPr>
              <w:t>pproximately 30% of the Technical Volume)</w:t>
            </w:r>
          </w:p>
        </w:tc>
        <w:tc>
          <w:tcPr>
            <w:tcW w:w="6681" w:type="dxa"/>
            <w:tcBorders>
              <w:bottom w:val="single" w:sz="4" w:space="0" w:color="auto"/>
            </w:tcBorders>
          </w:tcPr>
          <w:p w14:paraId="6D919098" w14:textId="77777777" w:rsidR="006A24B8" w:rsidRPr="00AF2304" w:rsidRDefault="004E672B">
            <w:p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Technical Description should contain the following information:</w:t>
            </w:r>
          </w:p>
          <w:p w14:paraId="0464F914" w14:textId="77777777" w:rsidR="006A24B8" w:rsidRPr="00AF2304" w:rsidRDefault="004E672B" w:rsidP="00AC77FA">
            <w:pPr>
              <w:numPr>
                <w:ilvl w:val="0"/>
                <w:numId w:val="77"/>
              </w:numPr>
              <w:spacing w:after="120"/>
              <w:rPr>
                <w:rFonts w:eastAsia="Times New Roman"/>
                <w:color w:val="000000" w:themeColor="text1"/>
                <w:sz w:val="21"/>
                <w:szCs w:val="21"/>
              </w:rPr>
            </w:pPr>
            <w:r w:rsidRPr="00027284">
              <w:rPr>
                <w:rFonts w:ascii="Calibri" w:eastAsia="Calibri" w:hAnsi="Calibri" w:cs="Calibri"/>
                <w:color w:val="000000" w:themeColor="text1"/>
                <w:sz w:val="21"/>
                <w:szCs w:val="21"/>
              </w:rPr>
              <w:t>Relevance and Outcomes:</w:t>
            </w:r>
            <w:r w:rsidR="001A3502">
              <w:rPr>
                <w:rFonts w:ascii="Calibri" w:eastAsia="Calibri" w:hAnsi="Calibri" w:cs="Calibri"/>
                <w:color w:val="000000" w:themeColor="text1"/>
                <w:sz w:val="21"/>
                <w:szCs w:val="21"/>
              </w:rPr>
              <w:t xml:space="preserve"> </w:t>
            </w:r>
            <w:r w:rsidRPr="00027284">
              <w:rPr>
                <w:rFonts w:ascii="Calibri" w:eastAsia="Calibri" w:hAnsi="Calibri" w:cs="Calibri"/>
                <w:color w:val="000000" w:themeColor="text1"/>
                <w:sz w:val="21"/>
                <w:szCs w:val="21"/>
              </w:rPr>
              <w:t>The applicant should provide a detailed description of the technology, including the scientific and other principles and objectives that will be pursued during the project. This section should describe the relevance of the proposed project to the goals and objectives of the FOA, including the potential to meet specific DOE technical targets or other relevant performance targets.</w:t>
            </w:r>
            <w:r w:rsidR="001A3502">
              <w:rPr>
                <w:rFonts w:ascii="Calibri" w:eastAsia="Calibri" w:hAnsi="Calibri" w:cs="Calibri"/>
                <w:color w:val="000000" w:themeColor="text1"/>
                <w:sz w:val="21"/>
                <w:szCs w:val="21"/>
              </w:rPr>
              <w:t xml:space="preserve"> </w:t>
            </w:r>
            <w:r w:rsidRPr="00027284">
              <w:rPr>
                <w:rFonts w:ascii="Calibri" w:eastAsia="Calibri" w:hAnsi="Calibri" w:cs="Calibri"/>
                <w:color w:val="000000" w:themeColor="text1"/>
                <w:sz w:val="21"/>
                <w:szCs w:val="21"/>
              </w:rPr>
              <w:t>The applicant should clearly specify the expected outcomes of the project.</w:t>
            </w:r>
          </w:p>
          <w:p w14:paraId="30B4306F" w14:textId="77777777" w:rsidR="00794EA2" w:rsidRDefault="004E672B" w:rsidP="00AC77FA">
            <w:pPr>
              <w:numPr>
                <w:ilvl w:val="0"/>
                <w:numId w:val="76"/>
              </w:numPr>
              <w:spacing w:after="120"/>
              <w:rPr>
                <w:color w:val="000000" w:themeColor="text1"/>
                <w:sz w:val="21"/>
                <w:szCs w:val="21"/>
              </w:rPr>
            </w:pPr>
            <w:r w:rsidRPr="00027284">
              <w:rPr>
                <w:rFonts w:ascii="Calibri" w:eastAsia="Calibri" w:hAnsi="Calibri" w:cs="Calibri"/>
                <w:color w:val="000000" w:themeColor="text1"/>
                <w:sz w:val="21"/>
                <w:szCs w:val="21"/>
              </w:rPr>
              <w:t>Feasibility:</w:t>
            </w:r>
            <w:r w:rsidR="001A3502">
              <w:rPr>
                <w:rFonts w:ascii="Calibri" w:eastAsia="Calibri" w:hAnsi="Calibri" w:cs="Calibri"/>
                <w:color w:val="000000" w:themeColor="text1"/>
                <w:sz w:val="21"/>
                <w:szCs w:val="21"/>
              </w:rPr>
              <w:t xml:space="preserve"> </w:t>
            </w:r>
            <w:r w:rsidRPr="00027284">
              <w:rPr>
                <w:rFonts w:ascii="Calibri" w:eastAsia="Calibri" w:hAnsi="Calibri" w:cs="Calibri"/>
                <w:color w:val="000000" w:themeColor="text1"/>
                <w:sz w:val="21"/>
                <w:szCs w:val="21"/>
              </w:rPr>
              <w:t>The applicant should demonstrate the technical feasibility of the proposed technology and capability of achieving the anticipated performance targets, including a description of previous work done and prior results.</w:t>
            </w:r>
          </w:p>
          <w:p w14:paraId="0BB2E6B2" w14:textId="0B68BD6B" w:rsidR="00725466" w:rsidRPr="007646C9" w:rsidRDefault="004E672B" w:rsidP="00AC77FA">
            <w:pPr>
              <w:numPr>
                <w:ilvl w:val="0"/>
                <w:numId w:val="76"/>
              </w:numPr>
              <w:spacing w:after="120"/>
              <w:rPr>
                <w:color w:val="000000" w:themeColor="text1"/>
                <w:sz w:val="21"/>
                <w:szCs w:val="21"/>
              </w:rPr>
            </w:pPr>
            <w:r w:rsidRPr="00027284">
              <w:rPr>
                <w:rFonts w:ascii="Calibri" w:eastAsia="Calibri" w:hAnsi="Calibri" w:cs="Calibri"/>
                <w:color w:val="000000" w:themeColor="text1"/>
                <w:sz w:val="21"/>
                <w:szCs w:val="21"/>
              </w:rPr>
              <w:t>Innovation and Impacts:</w:t>
            </w:r>
            <w:r w:rsidR="001A3502">
              <w:rPr>
                <w:rFonts w:ascii="Calibri" w:eastAsia="Calibri" w:hAnsi="Calibri" w:cs="Calibri"/>
                <w:color w:val="000000" w:themeColor="text1"/>
                <w:sz w:val="21"/>
                <w:szCs w:val="21"/>
              </w:rPr>
              <w:t xml:space="preserve"> </w:t>
            </w:r>
            <w:r w:rsidRPr="00027284">
              <w:rPr>
                <w:rFonts w:ascii="Calibri" w:eastAsia="Calibri" w:hAnsi="Calibri" w:cs="Calibri"/>
                <w:color w:val="000000" w:themeColor="text1"/>
                <w:sz w:val="21"/>
                <w:szCs w:val="21"/>
              </w:rPr>
              <w:t>The applicant should de</w:t>
            </w:r>
            <w:r w:rsidR="007A2D21">
              <w:rPr>
                <w:rFonts w:ascii="Calibri" w:eastAsia="Calibri" w:hAnsi="Calibri" w:cs="Calibri"/>
                <w:color w:val="000000" w:themeColor="text1"/>
                <w:sz w:val="21"/>
                <w:szCs w:val="21"/>
              </w:rPr>
              <w:t>scribe the current state-of-the-</w:t>
            </w:r>
            <w:r w:rsidRPr="00027284">
              <w:rPr>
                <w:rFonts w:ascii="Calibri" w:eastAsia="Calibri" w:hAnsi="Calibri" w:cs="Calibri"/>
                <w:color w:val="000000" w:themeColor="text1"/>
                <w:sz w:val="21"/>
                <w:szCs w:val="21"/>
              </w:rPr>
              <w:t>art in the applicable field, the specific innovation of the proposed technology, the advantages of proposed technology over current and emerging technologies, and the overall impact on advancing the state</w:t>
            </w:r>
            <w:r w:rsidR="00082423">
              <w:rPr>
                <w:rFonts w:ascii="Calibri" w:eastAsia="Calibri" w:hAnsi="Calibri" w:cs="Calibri"/>
                <w:color w:val="000000" w:themeColor="text1"/>
                <w:sz w:val="21"/>
                <w:szCs w:val="21"/>
              </w:rPr>
              <w:t>-</w:t>
            </w:r>
            <w:r w:rsidRPr="00027284">
              <w:rPr>
                <w:rFonts w:ascii="Calibri" w:eastAsia="Calibri" w:hAnsi="Calibri" w:cs="Calibri"/>
                <w:color w:val="000000" w:themeColor="text1"/>
                <w:sz w:val="21"/>
                <w:szCs w:val="21"/>
              </w:rPr>
              <w:t>of</w:t>
            </w:r>
            <w:r w:rsidR="00082423">
              <w:rPr>
                <w:rFonts w:ascii="Calibri" w:eastAsia="Calibri" w:hAnsi="Calibri" w:cs="Calibri"/>
                <w:color w:val="000000" w:themeColor="text1"/>
                <w:sz w:val="21"/>
                <w:szCs w:val="21"/>
              </w:rPr>
              <w:t>-</w:t>
            </w:r>
            <w:r w:rsidRPr="00027284">
              <w:rPr>
                <w:rFonts w:ascii="Calibri" w:eastAsia="Calibri" w:hAnsi="Calibri" w:cs="Calibri"/>
                <w:color w:val="000000" w:themeColor="text1"/>
                <w:sz w:val="21"/>
                <w:szCs w:val="21"/>
              </w:rPr>
              <w:t>the</w:t>
            </w:r>
            <w:r w:rsidR="00082423">
              <w:rPr>
                <w:rFonts w:ascii="Calibri" w:eastAsia="Calibri" w:hAnsi="Calibri" w:cs="Calibri"/>
                <w:color w:val="000000" w:themeColor="text1"/>
                <w:sz w:val="21"/>
                <w:szCs w:val="21"/>
              </w:rPr>
              <w:t>-</w:t>
            </w:r>
            <w:r w:rsidRPr="00027284">
              <w:rPr>
                <w:rFonts w:ascii="Calibri" w:eastAsia="Calibri" w:hAnsi="Calibri" w:cs="Calibri"/>
                <w:color w:val="000000" w:themeColor="text1"/>
                <w:sz w:val="21"/>
                <w:szCs w:val="21"/>
              </w:rPr>
              <w:t>art/technical baseline if the project is successful.</w:t>
            </w:r>
          </w:p>
        </w:tc>
      </w:tr>
      <w:tr w:rsidR="00BF65D1" w14:paraId="544E0176" w14:textId="77777777" w:rsidTr="00F07968">
        <w:tc>
          <w:tcPr>
            <w:tcW w:w="2319" w:type="dxa"/>
            <w:tcBorders>
              <w:bottom w:val="single" w:sz="4" w:space="0" w:color="auto"/>
            </w:tcBorders>
            <w:shd w:val="clear" w:color="auto" w:fill="EAF1DD" w:themeFill="accent3" w:themeFillTint="33"/>
          </w:tcPr>
          <w:p w14:paraId="0707C99F" w14:textId="5876BC36" w:rsidR="006A24B8" w:rsidRPr="00D4476D" w:rsidRDefault="004E672B" w:rsidP="008858B4">
            <w:pPr>
              <w:rPr>
                <w:rFonts w:eastAsia="Times New Roman"/>
                <w:color w:val="000000" w:themeColor="text1"/>
                <w:sz w:val="21"/>
                <w:szCs w:val="21"/>
              </w:rPr>
            </w:pPr>
            <w:r w:rsidRPr="00120F39">
              <w:rPr>
                <w:b/>
                <w:color w:val="000000" w:themeColor="text1"/>
                <w:sz w:val="21"/>
                <w:szCs w:val="21"/>
              </w:rPr>
              <w:t>Workplan</w:t>
            </w:r>
            <w:r w:rsidRPr="00AF2304">
              <w:rPr>
                <w:b/>
                <w:bCs/>
                <w:color w:val="000000" w:themeColor="text1"/>
                <w:sz w:val="21"/>
                <w:szCs w:val="21"/>
              </w:rPr>
              <w:t xml:space="preserve"> and Market Transformation Plan</w:t>
            </w:r>
            <w:r w:rsidRPr="00120F39">
              <w:rPr>
                <w:bCs/>
                <w:color w:val="000000" w:themeColor="text1"/>
                <w:sz w:val="21"/>
                <w:szCs w:val="21"/>
              </w:rPr>
              <w:t xml:space="preserve"> </w:t>
            </w:r>
            <w:r w:rsidRPr="00AF2304">
              <w:rPr>
                <w:color w:val="000000" w:themeColor="text1"/>
                <w:sz w:val="21"/>
                <w:szCs w:val="21"/>
              </w:rPr>
              <w:t>(</w:t>
            </w:r>
            <w:r w:rsidR="00ED3591">
              <w:rPr>
                <w:color w:val="000000" w:themeColor="text1"/>
                <w:sz w:val="21"/>
                <w:szCs w:val="21"/>
              </w:rPr>
              <w:t>A</w:t>
            </w:r>
            <w:r w:rsidRPr="00283227">
              <w:rPr>
                <w:color w:val="000000" w:themeColor="text1"/>
                <w:sz w:val="21"/>
                <w:szCs w:val="21"/>
              </w:rPr>
              <w:t>pproximately</w:t>
            </w:r>
            <w:r w:rsidRPr="00AF2304">
              <w:rPr>
                <w:color w:val="000000" w:themeColor="text1"/>
                <w:sz w:val="21"/>
                <w:szCs w:val="21"/>
              </w:rPr>
              <w:t xml:space="preserve"> 40% of the Technical Volume)</w:t>
            </w:r>
          </w:p>
        </w:tc>
        <w:tc>
          <w:tcPr>
            <w:tcW w:w="6681" w:type="dxa"/>
            <w:tcBorders>
              <w:bottom w:val="single" w:sz="4" w:space="0" w:color="auto"/>
            </w:tcBorders>
          </w:tcPr>
          <w:p w14:paraId="50CE990D" w14:textId="607BE978" w:rsidR="006A24B8" w:rsidRPr="00AF2304" w:rsidRDefault="004E672B" w:rsidP="00120F39">
            <w:p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Workplan should include a summary of the Project Objectives, Technical Scope, Work Breakdown Structure</w:t>
            </w:r>
            <w:r w:rsidR="009F1B00">
              <w:rPr>
                <w:rFonts w:ascii="Calibri" w:eastAsia="Calibri" w:hAnsi="Calibri" w:cs="Calibri"/>
                <w:color w:val="000000" w:themeColor="text1"/>
                <w:sz w:val="21"/>
                <w:szCs w:val="21"/>
              </w:rPr>
              <w:t xml:space="preserve"> (WBS)</w:t>
            </w:r>
            <w:r w:rsidRPr="00AF2304">
              <w:rPr>
                <w:rFonts w:ascii="Calibri" w:eastAsia="Calibri" w:hAnsi="Calibri" w:cs="Calibri"/>
                <w:color w:val="000000" w:themeColor="text1"/>
                <w:sz w:val="21"/>
                <w:szCs w:val="21"/>
              </w:rPr>
              <w:t xml:space="preserve">, Milestones, Go/No-Go </w:t>
            </w:r>
            <w:r w:rsidR="00F07968">
              <w:rPr>
                <w:rFonts w:ascii="Calibri" w:eastAsia="Calibri" w:hAnsi="Calibri" w:cs="Calibri"/>
                <w:color w:val="000000" w:themeColor="text1"/>
                <w:sz w:val="21"/>
                <w:szCs w:val="21"/>
              </w:rPr>
              <w:t>d</w:t>
            </w:r>
            <w:r w:rsidRPr="00AF2304">
              <w:rPr>
                <w:rFonts w:ascii="Calibri" w:eastAsia="Calibri" w:hAnsi="Calibri" w:cs="Calibri"/>
                <w:color w:val="000000" w:themeColor="text1"/>
                <w:sz w:val="21"/>
                <w:szCs w:val="21"/>
              </w:rPr>
              <w:t xml:space="preserve">ecision </w:t>
            </w:r>
            <w:r w:rsidR="00F07968">
              <w:rPr>
                <w:rFonts w:ascii="Calibri" w:eastAsia="Calibri" w:hAnsi="Calibri" w:cs="Calibri"/>
                <w:color w:val="000000" w:themeColor="text1"/>
                <w:sz w:val="21"/>
                <w:szCs w:val="21"/>
              </w:rPr>
              <w:t>p</w:t>
            </w:r>
            <w:r w:rsidRPr="00AF2304">
              <w:rPr>
                <w:rFonts w:ascii="Calibri" w:eastAsia="Calibri" w:hAnsi="Calibri" w:cs="Calibri"/>
                <w:color w:val="000000" w:themeColor="text1"/>
                <w:sz w:val="21"/>
                <w:szCs w:val="21"/>
              </w:rPr>
              <w:t>oints, and Project Schedule.</w:t>
            </w:r>
            <w:r w:rsidR="001A3502">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A detailed SOPO is separately requested.</w:t>
            </w:r>
            <w:r w:rsidR="001A3502">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The Workplan should contain the following information:</w:t>
            </w:r>
          </w:p>
          <w:p w14:paraId="20D25BB8" w14:textId="77777777" w:rsidR="00BF65D1" w:rsidRPr="00AF2304" w:rsidRDefault="004E672B" w:rsidP="00AC77FA">
            <w:pPr>
              <w:numPr>
                <w:ilvl w:val="0"/>
                <w:numId w:val="80"/>
              </w:numPr>
              <w:spacing w:after="120"/>
              <w:rPr>
                <w:color w:val="000000" w:themeColor="text1"/>
                <w:sz w:val="21"/>
                <w:szCs w:val="21"/>
              </w:rPr>
            </w:pPr>
            <w:r w:rsidRPr="00AF2304">
              <w:rPr>
                <w:rFonts w:ascii="Calibri" w:eastAsia="Calibri" w:hAnsi="Calibri" w:cs="Calibri"/>
                <w:color w:val="000000" w:themeColor="text1"/>
                <w:sz w:val="21"/>
                <w:szCs w:val="21"/>
              </w:rPr>
              <w:t>Project Objectives: The applicant should provide a clear and concise (high-level) statement of the goals and objectives of the project as well as the expected outcomes.</w:t>
            </w:r>
          </w:p>
          <w:p w14:paraId="41156D12" w14:textId="2989D5E7"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Technical Scope Summary: The applicant should provide a summary description of the overall work scope and approach to achieve the objective(s). The overall work scope is to be divided by performance periods that are separated by discrete, approximately annual decision points (see below for more information on Go/No-Go decision points). The applicant should describe the specific expected end result of each performance period</w:t>
            </w:r>
            <w:r w:rsidR="00892B9E">
              <w:rPr>
                <w:rFonts w:ascii="Calibri" w:eastAsia="Calibri" w:hAnsi="Calibri" w:cs="Calibri"/>
                <w:color w:val="000000" w:themeColor="text1"/>
                <w:sz w:val="21"/>
                <w:szCs w:val="21"/>
              </w:rPr>
              <w:t xml:space="preserve"> </w:t>
            </w:r>
          </w:p>
          <w:p w14:paraId="6E063376" w14:textId="5FA587A9"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 xml:space="preserve">WBS and Task Description Summary: The Workplan should describe the work to be accomplished and how the applicant will achieve the milestones, will accomplish the final project goal(s), and will produce all deliverables. The Workplan is to be structured with a hierarchy of performance period (approximately annual), task and subtasks, which is typical of a standard WBS for any project. The Workplan shall contain a concise description of the specific activities to be conducted over the life of the project. The description shall be a full explanation and disclosure of the project being proposed (i.e., a statement such as “we will then complete a proprietary process” is unacceptable). It is the applicant’s responsibility to prepare an adequately detailed task plan to </w:t>
            </w:r>
            <w:r w:rsidRPr="00AF2304">
              <w:rPr>
                <w:rFonts w:ascii="Calibri" w:eastAsia="Calibri" w:hAnsi="Calibri" w:cs="Calibri"/>
                <w:color w:val="000000" w:themeColor="text1"/>
                <w:sz w:val="21"/>
                <w:szCs w:val="21"/>
              </w:rPr>
              <w:lastRenderedPageBreak/>
              <w:t>describe the proposed project and the plan for addressing the objectives of this FOA. The summary provided should be consistent with the SOPO.</w:t>
            </w:r>
            <w:r w:rsidR="001A3502">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The SOPO will contain a more detailed description of the WBS and tasks.</w:t>
            </w:r>
          </w:p>
          <w:p w14:paraId="7EF13398" w14:textId="6EC7EA59"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 xml:space="preserve">Milestone Summary: The applicant should provide a summary of appropriate milestones throughout the project to demonstrate success. A milestone may be either a progress measure (which can be activity based) or a </w:t>
            </w:r>
            <w:r w:rsidR="00892B9E" w:rsidRPr="00CD26CA">
              <w:rPr>
                <w:rFonts w:ascii="Calibri" w:eastAsia="Calibri" w:hAnsi="Calibri" w:cs="Calibri"/>
                <w:color w:val="000000" w:themeColor="text1"/>
                <w:sz w:val="21"/>
                <w:szCs w:val="21"/>
              </w:rPr>
              <w:t xml:space="preserve">Specific, Measurable, Attainable, Realistic, and Timely </w:t>
            </w:r>
            <w:r w:rsidR="00892B9E">
              <w:rPr>
                <w:rFonts w:ascii="Calibri" w:eastAsia="Calibri" w:hAnsi="Calibri" w:cs="Calibri"/>
                <w:color w:val="000000" w:themeColor="text1"/>
                <w:sz w:val="21"/>
                <w:szCs w:val="21"/>
              </w:rPr>
              <w:t>(</w:t>
            </w:r>
            <w:r w:rsidR="00892B9E" w:rsidRPr="00AF2304">
              <w:rPr>
                <w:rFonts w:ascii="Calibri" w:eastAsia="Calibri" w:hAnsi="Calibri" w:cs="Calibri"/>
                <w:color w:val="000000" w:themeColor="text1"/>
                <w:sz w:val="21"/>
                <w:szCs w:val="21"/>
              </w:rPr>
              <w:t>SMART</w:t>
            </w:r>
            <w:r w:rsidR="00892B9E">
              <w:rPr>
                <w:rFonts w:ascii="Calibri" w:eastAsia="Calibri" w:hAnsi="Calibri" w:cs="Calibri"/>
                <w:color w:val="000000" w:themeColor="text1"/>
                <w:sz w:val="21"/>
                <w:szCs w:val="21"/>
              </w:rPr>
              <w:t>)</w:t>
            </w:r>
            <w:r w:rsidR="00892B9E" w:rsidRPr="00AF2304">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technical milestone. SMART milestones should be Specific, Measurable, Achievable, Relevant, and Timely, and must demonstrate a technical achievement rather than simply completing a task. Unless otherwise specified in the FOA, the minimum requirement is that each project must have at least one milestone per quarter for the duration of the project with at least one SMART technical milestone per year (depending on the project, more milestones may be necessary to comprehensively demonstrate progress). The applicant should also provide the means by which the milestone will be verified. The summary provided should be consistent with the Milestone Summary Table in the SOPO.</w:t>
            </w:r>
          </w:p>
          <w:p w14:paraId="065546A2" w14:textId="2671BC3C"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Go/No-Go Decision Points</w:t>
            </w:r>
            <w:r w:rsidR="00892B9E">
              <w:rPr>
                <w:rFonts w:ascii="Calibri" w:eastAsia="Calibri" w:hAnsi="Calibri" w:cs="Calibri"/>
                <w:color w:val="000000" w:themeColor="text1"/>
                <w:sz w:val="21"/>
                <w:szCs w:val="21"/>
              </w:rPr>
              <w:t xml:space="preserve"> (See </w:t>
            </w:r>
            <w:r w:rsidR="00892B9E" w:rsidRPr="008B0D95">
              <w:rPr>
                <w:rFonts w:ascii="Calibri" w:eastAsia="Calibri" w:hAnsi="Calibri" w:cs="Calibri"/>
                <w:color w:val="000000" w:themeColor="text1"/>
                <w:sz w:val="21"/>
                <w:szCs w:val="21"/>
              </w:rPr>
              <w:t>Section VI.B.xv</w:t>
            </w:r>
            <w:r w:rsidR="00892B9E">
              <w:rPr>
                <w:rFonts w:ascii="Calibri" w:eastAsia="Calibri" w:hAnsi="Calibri" w:cs="Calibri"/>
                <w:color w:val="000000" w:themeColor="text1"/>
                <w:sz w:val="21"/>
                <w:szCs w:val="21"/>
              </w:rPr>
              <w:t>. for more information on the Go/No-Go Review)</w:t>
            </w:r>
            <w:r w:rsidRPr="00AF2304">
              <w:rPr>
                <w:rFonts w:ascii="Calibri" w:eastAsia="Calibri" w:hAnsi="Calibri" w:cs="Calibri"/>
                <w:color w:val="000000" w:themeColor="text1"/>
                <w:sz w:val="21"/>
                <w:szCs w:val="21"/>
              </w:rPr>
              <w:t xml:space="preserve">: The applicant should provide a summary of project-wide Go/No-Go decision points at appropriate points in the Workplan. At a minimum, each project must have at least one project-wide Go/No-Go decision point for each budget period (12 to 18-month period) of the project. The applicant should also provide the specific technical </w:t>
            </w:r>
            <w:r w:rsidR="0089154F">
              <w:rPr>
                <w:rFonts w:ascii="Calibri" w:eastAsia="Calibri" w:hAnsi="Calibri" w:cs="Calibri"/>
                <w:color w:val="000000" w:themeColor="text1"/>
                <w:sz w:val="21"/>
                <w:szCs w:val="21"/>
              </w:rPr>
              <w:t xml:space="preserve"> </w:t>
            </w:r>
            <w:r w:rsidRPr="00AF2304">
              <w:rPr>
                <w:rFonts w:ascii="Calibri" w:eastAsia="Calibri" w:hAnsi="Calibri" w:cs="Calibri"/>
                <w:color w:val="000000" w:themeColor="text1"/>
                <w:sz w:val="21"/>
                <w:szCs w:val="21"/>
              </w:rPr>
              <w:t>criteria to be used to evaluate the project at the Go/No-Go decision point. The summary provided should be consistent with the SOPO. Go/No-Go decision points are considered “SMART” and can fulfill the requirement for an annual SMART milestone.</w:t>
            </w:r>
          </w:p>
          <w:p w14:paraId="1083646F" w14:textId="7D573901"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End of Project Goal: The applicant should provide a summary of the end of project goal(s). At a minimum, each project must have one SMART end of project goal. The summary provided should be consistent with the SOPO.</w:t>
            </w:r>
          </w:p>
          <w:p w14:paraId="7FB1531E" w14:textId="77777777" w:rsidR="00885488" w:rsidRDefault="004E672B" w:rsidP="00885488">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 xml:space="preserve">Project Schedule (Gantt Chart or similar): The applicant should provide a schedule for the entire project, including task and </w:t>
            </w:r>
            <w:r w:rsidRPr="00885488">
              <w:rPr>
                <w:rFonts w:ascii="Calibri" w:eastAsia="Calibri" w:hAnsi="Calibri" w:cs="Calibri"/>
                <w:color w:val="000000" w:themeColor="text1"/>
                <w:sz w:val="21"/>
                <w:szCs w:val="21"/>
              </w:rPr>
              <w:t>subtask durations, milestones, and Go/No-Go decision points.</w:t>
            </w:r>
          </w:p>
          <w:p w14:paraId="35C48319" w14:textId="0E62CF24" w:rsidR="0089154F" w:rsidRPr="00885488" w:rsidRDefault="0089154F" w:rsidP="00885488">
            <w:pPr>
              <w:numPr>
                <w:ilvl w:val="0"/>
                <w:numId w:val="78"/>
              </w:numPr>
              <w:spacing w:after="120"/>
              <w:rPr>
                <w:color w:val="000000" w:themeColor="text1"/>
                <w:sz w:val="21"/>
                <w:szCs w:val="21"/>
              </w:rPr>
            </w:pPr>
            <w:r w:rsidRPr="00885488">
              <w:rPr>
                <w:rFonts w:eastAsia="TT13Et00"/>
                <w:color w:val="000000" w:themeColor="text1"/>
                <w:sz w:val="21"/>
                <w:szCs w:val="21"/>
              </w:rPr>
              <w:t>Buy America Requirements for Infrastructure Projects: Within the first two pages of the Workplan, include a</w:t>
            </w:r>
            <w:r w:rsidRPr="00885488">
              <w:rPr>
                <w:rFonts w:eastAsia="Times New Roman"/>
                <w:color w:val="000000" w:themeColor="text1"/>
                <w:sz w:val="21"/>
                <w:szCs w:val="21"/>
              </w:rPr>
              <w:t xml:space="preserve"> short statement on whether the project will involve the construction, alteration, and/or repair of infrastructure in the United States. See Appendix D for applicable definitions and other information to inform this statement.</w:t>
            </w:r>
          </w:p>
          <w:p w14:paraId="6565F883" w14:textId="386931DB" w:rsidR="00BF65D1" w:rsidRPr="00AF2304" w:rsidRDefault="004E672B" w:rsidP="00AC77FA">
            <w:pPr>
              <w:numPr>
                <w:ilvl w:val="0"/>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Project Management: The applicant should discuss the team’s proposed management plan, including the following:</w:t>
            </w:r>
          </w:p>
          <w:p w14:paraId="13FB9AB3" w14:textId="50204863" w:rsidR="00BF65D1" w:rsidRPr="00AF2304" w:rsidRDefault="004E672B" w:rsidP="00AC77FA">
            <w:pPr>
              <w:numPr>
                <w:ilvl w:val="1"/>
                <w:numId w:val="81"/>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lastRenderedPageBreak/>
              <w:t>The overall approach to and organization for managing the work</w:t>
            </w:r>
            <w:r w:rsidR="00920ECB">
              <w:rPr>
                <w:rFonts w:ascii="Calibri" w:eastAsia="Calibri" w:hAnsi="Calibri" w:cs="Calibri"/>
                <w:color w:val="000000" w:themeColor="text1"/>
                <w:sz w:val="21"/>
                <w:szCs w:val="21"/>
              </w:rPr>
              <w:t>;</w:t>
            </w:r>
          </w:p>
          <w:p w14:paraId="366A8817" w14:textId="673C4B86"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roles of each project team member</w:t>
            </w:r>
            <w:r w:rsidR="00920ECB">
              <w:rPr>
                <w:rFonts w:ascii="Calibri" w:eastAsia="Calibri" w:hAnsi="Calibri" w:cs="Calibri"/>
                <w:color w:val="000000" w:themeColor="text1"/>
                <w:sz w:val="21"/>
                <w:szCs w:val="21"/>
              </w:rPr>
              <w:t>;</w:t>
            </w:r>
          </w:p>
          <w:p w14:paraId="2FF3A3A3" w14:textId="26555E45"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Any critical handoffs/interdependencies among project team members</w:t>
            </w:r>
            <w:r w:rsidR="00920ECB">
              <w:rPr>
                <w:rFonts w:ascii="Calibri" w:eastAsia="Calibri" w:hAnsi="Calibri" w:cs="Calibri"/>
                <w:color w:val="000000" w:themeColor="text1"/>
                <w:sz w:val="21"/>
                <w:szCs w:val="21"/>
              </w:rPr>
              <w:t>;</w:t>
            </w:r>
          </w:p>
          <w:p w14:paraId="30D9706B" w14:textId="1BF8C3F9"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technical and management aspects of the management plan, including systems and practices, such as financial and project management practices</w:t>
            </w:r>
            <w:r w:rsidR="00920ECB">
              <w:rPr>
                <w:rFonts w:ascii="Calibri" w:eastAsia="Calibri" w:hAnsi="Calibri" w:cs="Calibri"/>
                <w:color w:val="000000" w:themeColor="text1"/>
                <w:sz w:val="21"/>
                <w:szCs w:val="21"/>
              </w:rPr>
              <w:t>;</w:t>
            </w:r>
          </w:p>
          <w:p w14:paraId="20BA884C" w14:textId="1807105B"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approach to project risk management</w:t>
            </w:r>
            <w:r w:rsidR="00920ECB">
              <w:rPr>
                <w:rFonts w:ascii="Calibri" w:eastAsia="Calibri" w:hAnsi="Calibri" w:cs="Calibri"/>
                <w:color w:val="000000" w:themeColor="text1"/>
                <w:sz w:val="21"/>
                <w:szCs w:val="21"/>
              </w:rPr>
              <w:t>;</w:t>
            </w:r>
          </w:p>
          <w:p w14:paraId="2F0B93C4" w14:textId="115770E4"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A description of how project changes will be handled</w:t>
            </w:r>
            <w:r w:rsidR="00920ECB">
              <w:rPr>
                <w:rFonts w:ascii="Calibri" w:eastAsia="Calibri" w:hAnsi="Calibri" w:cs="Calibri"/>
                <w:color w:val="000000" w:themeColor="text1"/>
                <w:sz w:val="21"/>
                <w:szCs w:val="21"/>
              </w:rPr>
              <w:t>;</w:t>
            </w:r>
          </w:p>
          <w:p w14:paraId="6A309CF8" w14:textId="6FDECA67"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If applicable, the approach to Quality Assurance/Control</w:t>
            </w:r>
            <w:r w:rsidR="00920ECB">
              <w:rPr>
                <w:rFonts w:ascii="Calibri" w:eastAsia="Calibri" w:hAnsi="Calibri" w:cs="Calibri"/>
                <w:color w:val="000000" w:themeColor="text1"/>
                <w:sz w:val="21"/>
                <w:szCs w:val="21"/>
              </w:rPr>
              <w:t>;</w:t>
            </w:r>
          </w:p>
          <w:p w14:paraId="12185EFF" w14:textId="429C5705" w:rsidR="00BF65D1" w:rsidRPr="00AF2304" w:rsidRDefault="004E672B" w:rsidP="00AC77FA">
            <w:pPr>
              <w:numPr>
                <w:ilvl w:val="1"/>
                <w:numId w:val="78"/>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How communications will be maintained among project team members</w:t>
            </w:r>
            <w:r w:rsidR="00920ECB">
              <w:rPr>
                <w:rFonts w:ascii="Calibri" w:eastAsia="Calibri" w:hAnsi="Calibri" w:cs="Calibri"/>
                <w:color w:val="000000" w:themeColor="text1"/>
                <w:sz w:val="21"/>
                <w:szCs w:val="21"/>
              </w:rPr>
              <w:t>.</w:t>
            </w:r>
          </w:p>
          <w:p w14:paraId="4C011B80" w14:textId="36AA83A3" w:rsidR="00BF65D1" w:rsidRPr="00AF2304" w:rsidRDefault="004E672B" w:rsidP="00AC77FA">
            <w:pPr>
              <w:numPr>
                <w:ilvl w:val="0"/>
                <w:numId w:val="78"/>
              </w:numPr>
              <w:spacing w:after="120"/>
              <w:rPr>
                <w:color w:val="000000" w:themeColor="text1"/>
                <w:sz w:val="21"/>
                <w:szCs w:val="21"/>
              </w:rPr>
            </w:pPr>
            <w:r w:rsidRPr="00AF2304">
              <w:rPr>
                <w:rFonts w:ascii="Calibri" w:eastAsia="Calibri" w:hAnsi="Calibri" w:cs="Calibri"/>
                <w:color w:val="000000" w:themeColor="text1"/>
                <w:sz w:val="21"/>
                <w:szCs w:val="21"/>
              </w:rPr>
              <w:t>Market Transformation Plan: The applicant should provide a market transformation plan, including the following:</w:t>
            </w:r>
          </w:p>
          <w:p w14:paraId="6188E68C" w14:textId="3EE55A79" w:rsidR="00BF65D1" w:rsidRPr="00AF2304" w:rsidRDefault="004E672B" w:rsidP="00AC77FA">
            <w:pPr>
              <w:numPr>
                <w:ilvl w:val="1"/>
                <w:numId w:val="82"/>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Identification of target market, competitors, and distribution channels for proposed technology along with known or perceived barriers to market penetration, including a mitigation plan</w:t>
            </w:r>
            <w:r w:rsidR="00920ECB">
              <w:rPr>
                <w:rFonts w:ascii="Calibri" w:eastAsia="Calibri" w:hAnsi="Calibri" w:cs="Calibri"/>
                <w:color w:val="000000" w:themeColor="text1"/>
                <w:sz w:val="21"/>
                <w:szCs w:val="21"/>
              </w:rPr>
              <w:t>;</w:t>
            </w:r>
          </w:p>
          <w:p w14:paraId="3FFFD2FD" w14:textId="105F8ADC" w:rsidR="00BF65D1" w:rsidRPr="00AF2304" w:rsidRDefault="004E672B" w:rsidP="00AC77FA">
            <w:pPr>
              <w:numPr>
                <w:ilvl w:val="1"/>
                <w:numId w:val="79"/>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Identification of a product development and/or service plan, commercialization timeline, financing, product marketing, legal/regulatory considerations including intellectual property, infrastructure requirements, data dissemination, and product distribution.</w:t>
            </w:r>
          </w:p>
        </w:tc>
      </w:tr>
      <w:tr w:rsidR="00BF65D1" w14:paraId="57108594" w14:textId="77777777" w:rsidTr="00F07968">
        <w:tc>
          <w:tcPr>
            <w:tcW w:w="2319" w:type="dxa"/>
            <w:shd w:val="clear" w:color="auto" w:fill="EAF1DD" w:themeFill="accent3" w:themeFillTint="33"/>
          </w:tcPr>
          <w:p w14:paraId="0468428F" w14:textId="28F1C5D7" w:rsidR="006A24B8" w:rsidRPr="00D4476D" w:rsidRDefault="004E672B" w:rsidP="00D4476D">
            <w:pPr>
              <w:rPr>
                <w:rFonts w:eastAsia="Times New Roman"/>
                <w:color w:val="000000" w:themeColor="text1"/>
                <w:sz w:val="21"/>
                <w:szCs w:val="21"/>
              </w:rPr>
            </w:pPr>
            <w:r w:rsidRPr="00AF2304">
              <w:rPr>
                <w:b/>
                <w:bCs/>
                <w:color w:val="000000" w:themeColor="text1"/>
                <w:sz w:val="21"/>
                <w:szCs w:val="21"/>
              </w:rPr>
              <w:lastRenderedPageBreak/>
              <w:t>Technical Qualifications and Resources</w:t>
            </w:r>
            <w:r w:rsidRPr="00AF2304">
              <w:rPr>
                <w:color w:val="000000" w:themeColor="text1"/>
                <w:sz w:val="21"/>
                <w:szCs w:val="21"/>
              </w:rPr>
              <w:t xml:space="preserve"> (Approximately 20% of the Technical Volume)</w:t>
            </w:r>
          </w:p>
        </w:tc>
        <w:tc>
          <w:tcPr>
            <w:tcW w:w="6681" w:type="dxa"/>
          </w:tcPr>
          <w:p w14:paraId="2ECE1F19" w14:textId="77777777" w:rsidR="006A24B8" w:rsidRPr="00AF2304" w:rsidRDefault="004E672B" w:rsidP="00120F39">
            <w:p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The Technical Qualifications and Resources should contain the following information:</w:t>
            </w:r>
          </w:p>
          <w:p w14:paraId="6DBF8A60" w14:textId="77777777" w:rsidR="0089154F" w:rsidRPr="00AF2304" w:rsidRDefault="0089154F" w:rsidP="0089154F">
            <w:pPr>
              <w:numPr>
                <w:ilvl w:val="0"/>
                <w:numId w:val="84"/>
              </w:numPr>
              <w:spacing w:after="120"/>
              <w:rPr>
                <w:rFonts w:eastAsia="Times New Roman"/>
                <w:color w:val="000000" w:themeColor="text1"/>
                <w:sz w:val="21"/>
                <w:szCs w:val="21"/>
              </w:rPr>
            </w:pPr>
            <w:r>
              <w:rPr>
                <w:rFonts w:ascii="Calibri" w:eastAsia="Calibri" w:hAnsi="Calibri" w:cs="Calibri"/>
                <w:color w:val="000000" w:themeColor="text1"/>
                <w:sz w:val="21"/>
                <w:szCs w:val="21"/>
              </w:rPr>
              <w:t>A description of the p</w:t>
            </w:r>
            <w:r w:rsidRPr="00AF2304">
              <w:rPr>
                <w:rFonts w:ascii="Calibri" w:eastAsia="Calibri" w:hAnsi="Calibri" w:cs="Calibri"/>
                <w:color w:val="000000" w:themeColor="text1"/>
                <w:sz w:val="21"/>
                <w:szCs w:val="21"/>
              </w:rPr>
              <w:t xml:space="preserve">roject </w:t>
            </w:r>
            <w:r>
              <w:rPr>
                <w:rFonts w:ascii="Calibri" w:eastAsia="Calibri" w:hAnsi="Calibri" w:cs="Calibri"/>
                <w:color w:val="000000" w:themeColor="text1"/>
                <w:sz w:val="21"/>
                <w:szCs w:val="21"/>
              </w:rPr>
              <w:t>t</w:t>
            </w:r>
            <w:r w:rsidRPr="00AF2304">
              <w:rPr>
                <w:rFonts w:ascii="Calibri" w:eastAsia="Calibri" w:hAnsi="Calibri" w:cs="Calibri"/>
                <w:color w:val="000000" w:themeColor="text1"/>
                <w:sz w:val="21"/>
                <w:szCs w:val="21"/>
              </w:rPr>
              <w:t xml:space="preserve">eam’s unique qualifications and expertise, including those of key </w:t>
            </w:r>
            <w:r>
              <w:rPr>
                <w:rFonts w:ascii="Calibri" w:eastAsia="Calibri" w:hAnsi="Calibri" w:cs="Calibri"/>
                <w:color w:val="000000" w:themeColor="text1"/>
                <w:sz w:val="21"/>
                <w:szCs w:val="21"/>
              </w:rPr>
              <w:t>s</w:t>
            </w:r>
            <w:r w:rsidRPr="00AF2304">
              <w:rPr>
                <w:rFonts w:ascii="Calibri" w:eastAsia="Calibri" w:hAnsi="Calibri" w:cs="Calibri"/>
                <w:color w:val="000000" w:themeColor="text1"/>
                <w:sz w:val="21"/>
                <w:szCs w:val="21"/>
              </w:rPr>
              <w:t>ubrecipients</w:t>
            </w:r>
            <w:r>
              <w:rPr>
                <w:rFonts w:ascii="Calibri" w:eastAsia="Calibri" w:hAnsi="Calibri" w:cs="Calibri"/>
                <w:color w:val="000000" w:themeColor="text1"/>
                <w:sz w:val="21"/>
                <w:szCs w:val="21"/>
              </w:rPr>
              <w:t>;</w:t>
            </w:r>
          </w:p>
          <w:p w14:paraId="682C824E" w14:textId="77777777" w:rsidR="0089154F" w:rsidRPr="00AF2304" w:rsidRDefault="0089154F" w:rsidP="0089154F">
            <w:pPr>
              <w:numPr>
                <w:ilvl w:val="0"/>
                <w:numId w:val="83"/>
              </w:numPr>
              <w:spacing w:after="120"/>
              <w:rPr>
                <w:rFonts w:eastAsia="Times New Roman"/>
                <w:color w:val="000000" w:themeColor="text1"/>
                <w:sz w:val="21"/>
                <w:szCs w:val="21"/>
              </w:rPr>
            </w:pPr>
            <w:r>
              <w:rPr>
                <w:rFonts w:ascii="Calibri" w:eastAsia="Calibri" w:hAnsi="Calibri" w:cs="Calibri"/>
                <w:color w:val="000000" w:themeColor="text1"/>
                <w:sz w:val="21"/>
                <w:szCs w:val="21"/>
              </w:rPr>
              <w:t>A description of the project t</w:t>
            </w:r>
            <w:r w:rsidRPr="00AF2304">
              <w:rPr>
                <w:rFonts w:ascii="Calibri" w:eastAsia="Calibri" w:hAnsi="Calibri" w:cs="Calibri"/>
                <w:color w:val="000000" w:themeColor="text1"/>
                <w:sz w:val="21"/>
                <w:szCs w:val="21"/>
              </w:rPr>
              <w:t>eam’s existing equipment and facilities</w:t>
            </w:r>
            <w:r>
              <w:rPr>
                <w:rFonts w:ascii="Calibri" w:eastAsia="Calibri" w:hAnsi="Calibri" w:cs="Calibri"/>
                <w:color w:val="000000" w:themeColor="text1"/>
                <w:sz w:val="21"/>
                <w:szCs w:val="21"/>
              </w:rPr>
              <w:t>, or equipment or facilities already in place on the proposed project site,</w:t>
            </w:r>
            <w:r w:rsidRPr="00AF2304">
              <w:rPr>
                <w:rFonts w:ascii="Calibri" w:eastAsia="Calibri" w:hAnsi="Calibri" w:cs="Calibri"/>
                <w:color w:val="000000" w:themeColor="text1"/>
                <w:sz w:val="21"/>
                <w:szCs w:val="21"/>
              </w:rPr>
              <w:t xml:space="preserve"> that will facilitate the successful completion of the proposed project; include a justification of any new equipment or facilities requested as part of the project</w:t>
            </w:r>
            <w:r>
              <w:rPr>
                <w:rFonts w:ascii="Calibri" w:eastAsia="Calibri" w:hAnsi="Calibri" w:cs="Calibri"/>
                <w:color w:val="000000" w:themeColor="text1"/>
                <w:sz w:val="21"/>
                <w:szCs w:val="21"/>
              </w:rPr>
              <w:t>;</w:t>
            </w:r>
          </w:p>
          <w:p w14:paraId="0E8FC6E0" w14:textId="77777777" w:rsidR="0089154F" w:rsidRPr="00AF2304" w:rsidRDefault="0089154F" w:rsidP="0089154F">
            <w:pPr>
              <w:numPr>
                <w:ilvl w:val="0"/>
                <w:numId w:val="83"/>
              </w:numPr>
              <w:spacing w:after="120"/>
              <w:rPr>
                <w:rFonts w:eastAsia="Times New Roman"/>
                <w:color w:val="000000" w:themeColor="text1"/>
                <w:sz w:val="21"/>
                <w:szCs w:val="21"/>
              </w:rPr>
            </w:pPr>
            <w:r>
              <w:rPr>
                <w:rFonts w:ascii="Calibri" w:eastAsia="Calibri" w:hAnsi="Calibri" w:cs="Calibri"/>
                <w:color w:val="000000" w:themeColor="text1"/>
                <w:sz w:val="21"/>
                <w:szCs w:val="21"/>
              </w:rPr>
              <w:t>R</w:t>
            </w:r>
            <w:r w:rsidRPr="00AF2304">
              <w:rPr>
                <w:rFonts w:ascii="Calibri" w:eastAsia="Calibri" w:hAnsi="Calibri" w:cs="Calibri"/>
                <w:color w:val="000000" w:themeColor="text1"/>
                <w:sz w:val="21"/>
                <w:szCs w:val="21"/>
              </w:rPr>
              <w:t>elevant, previous work efforts, demonstrated innovations, and how these enable the applicant to achieve the project objectives</w:t>
            </w:r>
            <w:r>
              <w:rPr>
                <w:rFonts w:ascii="Calibri" w:eastAsia="Calibri" w:hAnsi="Calibri" w:cs="Calibri"/>
                <w:color w:val="000000" w:themeColor="text1"/>
                <w:sz w:val="21"/>
                <w:szCs w:val="21"/>
              </w:rPr>
              <w:t>;</w:t>
            </w:r>
          </w:p>
          <w:p w14:paraId="3CCD3F5D" w14:textId="77777777" w:rsidR="0089154F" w:rsidRPr="00AF2304" w:rsidRDefault="0089154F" w:rsidP="0089154F">
            <w:pPr>
              <w:numPr>
                <w:ilvl w:val="0"/>
                <w:numId w:val="83"/>
              </w:numPr>
              <w:spacing w:after="120"/>
              <w:rPr>
                <w:rFonts w:eastAsia="Times New Roman"/>
                <w:color w:val="000000" w:themeColor="text1"/>
                <w:sz w:val="21"/>
                <w:szCs w:val="21"/>
              </w:rPr>
            </w:pPr>
            <w:r>
              <w:rPr>
                <w:rFonts w:ascii="Calibri" w:eastAsia="Calibri" w:hAnsi="Calibri" w:cs="Calibri"/>
                <w:color w:val="000000" w:themeColor="text1"/>
                <w:sz w:val="21"/>
                <w:szCs w:val="21"/>
              </w:rPr>
              <w:t>T</w:t>
            </w:r>
            <w:r w:rsidRPr="00AF2304">
              <w:rPr>
                <w:rFonts w:ascii="Calibri" w:eastAsia="Calibri" w:hAnsi="Calibri" w:cs="Calibri"/>
                <w:color w:val="000000" w:themeColor="text1"/>
                <w:sz w:val="21"/>
                <w:szCs w:val="21"/>
              </w:rPr>
              <w:t xml:space="preserve">he time commitment of the key team </w:t>
            </w:r>
            <w:r>
              <w:rPr>
                <w:rFonts w:ascii="Calibri" w:eastAsia="Calibri" w:hAnsi="Calibri" w:cs="Calibri"/>
                <w:color w:val="000000" w:themeColor="text1"/>
                <w:sz w:val="21"/>
                <w:szCs w:val="21"/>
              </w:rPr>
              <w:t>members to support the project;</w:t>
            </w:r>
          </w:p>
          <w:p w14:paraId="2904B145" w14:textId="77777777" w:rsidR="0089154F" w:rsidRPr="00AF2304" w:rsidRDefault="0089154F" w:rsidP="0089154F">
            <w:pPr>
              <w:numPr>
                <w:ilvl w:val="0"/>
                <w:numId w:val="83"/>
              </w:numPr>
              <w:spacing w:after="120"/>
              <w:rPr>
                <w:rFonts w:eastAsia="Times New Roman"/>
                <w:color w:val="000000" w:themeColor="text1"/>
                <w:sz w:val="21"/>
                <w:szCs w:val="21"/>
              </w:rPr>
            </w:pPr>
            <w:r>
              <w:rPr>
                <w:rFonts w:ascii="Calibri" w:eastAsia="Calibri" w:hAnsi="Calibri" w:cs="Calibri"/>
                <w:color w:val="000000" w:themeColor="text1"/>
                <w:sz w:val="21"/>
                <w:szCs w:val="21"/>
              </w:rPr>
              <w:t>A d</w:t>
            </w:r>
            <w:r w:rsidRPr="00AF2304">
              <w:rPr>
                <w:rFonts w:ascii="Calibri" w:eastAsia="Calibri" w:hAnsi="Calibri" w:cs="Calibri"/>
                <w:color w:val="000000" w:themeColor="text1"/>
                <w:sz w:val="21"/>
                <w:szCs w:val="21"/>
              </w:rPr>
              <w:t>escri</w:t>
            </w:r>
            <w:r>
              <w:rPr>
                <w:rFonts w:ascii="Calibri" w:eastAsia="Calibri" w:hAnsi="Calibri" w:cs="Calibri"/>
                <w:color w:val="000000" w:themeColor="text1"/>
                <w:sz w:val="21"/>
                <w:szCs w:val="21"/>
              </w:rPr>
              <w:t>ption</w:t>
            </w:r>
            <w:r w:rsidRPr="00AF2304">
              <w:rPr>
                <w:rFonts w:ascii="Calibri" w:eastAsia="Calibri" w:hAnsi="Calibri" w:cs="Calibri"/>
                <w:color w:val="000000" w:themeColor="text1"/>
                <w:sz w:val="21"/>
                <w:szCs w:val="21"/>
              </w:rPr>
              <w:t xml:space="preserve"> </w:t>
            </w:r>
            <w:r>
              <w:rPr>
                <w:rFonts w:ascii="Calibri" w:eastAsia="Calibri" w:hAnsi="Calibri" w:cs="Calibri"/>
                <w:color w:val="000000" w:themeColor="text1"/>
                <w:sz w:val="21"/>
                <w:szCs w:val="21"/>
              </w:rPr>
              <w:t xml:space="preserve">of </w:t>
            </w:r>
            <w:r w:rsidRPr="00AF2304">
              <w:rPr>
                <w:rFonts w:ascii="Calibri" w:eastAsia="Calibri" w:hAnsi="Calibri" w:cs="Calibri"/>
                <w:color w:val="000000" w:themeColor="text1"/>
                <w:sz w:val="21"/>
                <w:szCs w:val="21"/>
              </w:rPr>
              <w:t xml:space="preserve">the technical services to be provided by </w:t>
            </w:r>
            <w:r>
              <w:rPr>
                <w:rFonts w:ascii="Calibri" w:eastAsia="Calibri" w:hAnsi="Calibri" w:cs="Calibri"/>
                <w:color w:val="000000" w:themeColor="text1"/>
                <w:sz w:val="21"/>
                <w:szCs w:val="21"/>
              </w:rPr>
              <w:t>DOE/NNSA FFRDCs, if applicable;</w:t>
            </w:r>
          </w:p>
          <w:p w14:paraId="34117FC8" w14:textId="77777777" w:rsidR="0089154F" w:rsidRPr="00AF2304" w:rsidRDefault="0089154F" w:rsidP="0089154F">
            <w:pPr>
              <w:numPr>
                <w:ilvl w:val="0"/>
                <w:numId w:val="83"/>
              </w:numPr>
              <w:spacing w:after="120"/>
              <w:rPr>
                <w:rFonts w:eastAsia="Times New Roman"/>
                <w:color w:val="000000" w:themeColor="text1"/>
                <w:sz w:val="21"/>
                <w:szCs w:val="21"/>
              </w:rPr>
            </w:pPr>
            <w:r>
              <w:rPr>
                <w:rFonts w:ascii="Calibri" w:eastAsia="Calibri" w:hAnsi="Calibri" w:cs="Calibri"/>
                <w:color w:val="000000" w:themeColor="text1"/>
                <w:sz w:val="21"/>
                <w:szCs w:val="21"/>
              </w:rPr>
              <w:lastRenderedPageBreak/>
              <w:t>The skills, certifications, or other credentials of the construction and ongoing operations workforce;</w:t>
            </w:r>
          </w:p>
          <w:p w14:paraId="1E5FDBB9" w14:textId="77777777" w:rsidR="0089154F" w:rsidRPr="00AF2304" w:rsidRDefault="0089154F" w:rsidP="0089154F">
            <w:pPr>
              <w:numPr>
                <w:ilvl w:val="0"/>
                <w:numId w:val="83"/>
              </w:numPr>
              <w:spacing w:after="120"/>
              <w:rPr>
                <w:rFonts w:eastAsia="Times New Roman"/>
                <w:color w:val="000000" w:themeColor="text1"/>
                <w:sz w:val="21"/>
                <w:szCs w:val="21"/>
              </w:rPr>
            </w:pPr>
            <w:r w:rsidRPr="00027284">
              <w:rPr>
                <w:rFonts w:ascii="Calibri" w:eastAsia="Calibri" w:hAnsi="Calibri" w:cs="Calibri"/>
                <w:color w:val="000000" w:themeColor="text1"/>
                <w:sz w:val="21"/>
                <w:szCs w:val="21"/>
              </w:rPr>
              <w:t>For multi-organizational projects, describe succinctly:</w:t>
            </w:r>
          </w:p>
          <w:p w14:paraId="5E7D074C" w14:textId="77777777" w:rsidR="0089154F" w:rsidRPr="00AF2304" w:rsidRDefault="0089154F" w:rsidP="0089154F">
            <w:pPr>
              <w:numPr>
                <w:ilvl w:val="1"/>
                <w:numId w:val="85"/>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 xml:space="preserve">The roles and the work to be performed by </w:t>
            </w:r>
            <w:r>
              <w:rPr>
                <w:rFonts w:ascii="Calibri" w:eastAsia="Calibri" w:hAnsi="Calibri" w:cs="Calibri"/>
                <w:color w:val="000000" w:themeColor="text1"/>
                <w:sz w:val="21"/>
                <w:szCs w:val="21"/>
              </w:rPr>
              <w:t xml:space="preserve">the PI </w:t>
            </w:r>
            <w:r w:rsidRPr="00AF2304">
              <w:rPr>
                <w:rFonts w:ascii="Calibri" w:eastAsia="Calibri" w:hAnsi="Calibri" w:cs="Calibri"/>
                <w:color w:val="000000" w:themeColor="text1"/>
                <w:sz w:val="21"/>
                <w:szCs w:val="21"/>
              </w:rPr>
              <w:t xml:space="preserve">and </w:t>
            </w:r>
            <w:r>
              <w:rPr>
                <w:rFonts w:ascii="Calibri" w:eastAsia="Calibri" w:hAnsi="Calibri" w:cs="Calibri"/>
                <w:color w:val="000000" w:themeColor="text1"/>
                <w:sz w:val="21"/>
                <w:szCs w:val="21"/>
              </w:rPr>
              <w:t>Senior/Key Personnel at the prime and sub levels</w:t>
            </w:r>
            <w:r w:rsidRPr="00AF2304">
              <w:rPr>
                <w:rFonts w:ascii="Calibri" w:eastAsia="Calibri" w:hAnsi="Calibri" w:cs="Calibri"/>
                <w:color w:val="000000" w:themeColor="text1"/>
                <w:sz w:val="21"/>
                <w:szCs w:val="21"/>
              </w:rPr>
              <w:t>;</w:t>
            </w:r>
          </w:p>
          <w:p w14:paraId="7D8DC632" w14:textId="77777777" w:rsidR="0089154F" w:rsidRPr="00AF2304" w:rsidRDefault="0089154F" w:rsidP="0089154F">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 xml:space="preserve">Business agreements between the applicant and </w:t>
            </w:r>
            <w:r>
              <w:rPr>
                <w:rFonts w:ascii="Calibri" w:eastAsia="Calibri" w:hAnsi="Calibri" w:cs="Calibri"/>
                <w:color w:val="000000" w:themeColor="text1"/>
                <w:sz w:val="21"/>
                <w:szCs w:val="21"/>
              </w:rPr>
              <w:t>sub</w:t>
            </w:r>
            <w:r w:rsidRPr="00AF2304">
              <w:rPr>
                <w:rFonts w:ascii="Calibri" w:eastAsia="Calibri" w:hAnsi="Calibri" w:cs="Calibri"/>
                <w:color w:val="000000" w:themeColor="text1"/>
                <w:sz w:val="21"/>
                <w:szCs w:val="21"/>
              </w:rPr>
              <w:t>;</w:t>
            </w:r>
          </w:p>
          <w:p w14:paraId="42F97954" w14:textId="77777777" w:rsidR="0089154F" w:rsidRPr="00AF2304" w:rsidRDefault="0089154F" w:rsidP="0089154F">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How the various efforts will be integrated and managed;</w:t>
            </w:r>
          </w:p>
          <w:p w14:paraId="77B06D72" w14:textId="77777777" w:rsidR="0089154F" w:rsidRPr="00AF2304" w:rsidRDefault="0089154F" w:rsidP="0089154F">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Process for making decisions on technical direction;</w:t>
            </w:r>
          </w:p>
          <w:p w14:paraId="466397C3" w14:textId="77777777" w:rsidR="0089154F" w:rsidRPr="00AF2304" w:rsidRDefault="0089154F" w:rsidP="0089154F">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Publication arrangements;</w:t>
            </w:r>
          </w:p>
          <w:p w14:paraId="75C1FCA9" w14:textId="77777777" w:rsidR="0089154F" w:rsidRPr="00AF2304" w:rsidRDefault="0089154F" w:rsidP="0089154F">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 xml:space="preserve">Intellectual </w:t>
            </w:r>
            <w:r>
              <w:rPr>
                <w:rFonts w:ascii="Calibri" w:eastAsia="Calibri" w:hAnsi="Calibri" w:cs="Calibri"/>
                <w:color w:val="000000" w:themeColor="text1"/>
                <w:sz w:val="21"/>
                <w:szCs w:val="21"/>
              </w:rPr>
              <w:t>p</w:t>
            </w:r>
            <w:r w:rsidRPr="00AF2304">
              <w:rPr>
                <w:rFonts w:ascii="Calibri" w:eastAsia="Calibri" w:hAnsi="Calibri" w:cs="Calibri"/>
                <w:color w:val="000000" w:themeColor="text1"/>
                <w:sz w:val="21"/>
                <w:szCs w:val="21"/>
              </w:rPr>
              <w:t>roperty issues; and</w:t>
            </w:r>
          </w:p>
          <w:p w14:paraId="78D9D014" w14:textId="20F6C541" w:rsidR="006A24B8" w:rsidRPr="007646C9" w:rsidRDefault="0089154F" w:rsidP="00AC77FA">
            <w:pPr>
              <w:numPr>
                <w:ilvl w:val="1"/>
                <w:numId w:val="83"/>
              </w:numPr>
              <w:spacing w:after="120"/>
              <w:rPr>
                <w:rFonts w:eastAsia="Times New Roman"/>
                <w:color w:val="000000" w:themeColor="text1"/>
                <w:sz w:val="21"/>
                <w:szCs w:val="21"/>
              </w:rPr>
            </w:pPr>
            <w:r w:rsidRPr="00AF2304">
              <w:rPr>
                <w:rFonts w:ascii="Calibri" w:eastAsia="Calibri" w:hAnsi="Calibri" w:cs="Calibri"/>
                <w:color w:val="000000" w:themeColor="text1"/>
                <w:sz w:val="21"/>
                <w:szCs w:val="21"/>
              </w:rPr>
              <w:t>Communication plans</w:t>
            </w:r>
          </w:p>
        </w:tc>
      </w:tr>
    </w:tbl>
    <w:p w14:paraId="61EFFB3C" w14:textId="33F1ED5C" w:rsidR="006A24B8" w:rsidRPr="008858B4" w:rsidRDefault="006A24B8" w:rsidP="008858B4"/>
    <w:p w14:paraId="4E861EB0" w14:textId="77777777" w:rsidR="008C2429" w:rsidRDefault="004E672B" w:rsidP="004D5367">
      <w:pPr>
        <w:pStyle w:val="FOAHeading3"/>
        <w:numPr>
          <w:ilvl w:val="0"/>
          <w:numId w:val="41"/>
        </w:numPr>
        <w:ind w:left="1440"/>
        <w:outlineLvl w:val="2"/>
      </w:pPr>
      <w:bookmarkStart w:id="255" w:name="_Hlk87959336"/>
      <w:bookmarkStart w:id="256" w:name="_Toc519602351"/>
      <w:bookmarkStart w:id="257" w:name="_Toc176864446"/>
      <w:r>
        <w:t>Resumes</w:t>
      </w:r>
      <w:bookmarkEnd w:id="257"/>
    </w:p>
    <w:p w14:paraId="2B1DB448" w14:textId="16FC7FC8" w:rsidR="0089154F" w:rsidDel="00876B9F" w:rsidRDefault="0089154F" w:rsidP="0089154F">
      <w:pPr>
        <w:keepNext/>
        <w:ind w:left="1440"/>
      </w:pPr>
      <w:r w:rsidDel="00876B9F">
        <w:t xml:space="preserve">A resume provides information reviewers </w:t>
      </w:r>
      <w:r>
        <w:t xml:space="preserve">can use </w:t>
      </w:r>
      <w:r w:rsidDel="00876B9F">
        <w:t xml:space="preserve">to evaluate </w:t>
      </w:r>
      <w:r>
        <w:t>an</w:t>
      </w:r>
      <w:r w:rsidDel="00876B9F">
        <w:t xml:space="preserve"> individual’s relevant skills and </w:t>
      </w:r>
      <w:r>
        <w:t xml:space="preserve">the </w:t>
      </w:r>
      <w:r w:rsidDel="00876B9F">
        <w:t xml:space="preserve">experience of the key project personnel. Applicants must </w:t>
      </w:r>
      <w:r w:rsidRPr="00E42BDB" w:rsidDel="00876B9F">
        <w:t xml:space="preserve">submit </w:t>
      </w:r>
      <w:r w:rsidDel="00876B9F">
        <w:t xml:space="preserve">a </w:t>
      </w:r>
      <w:r w:rsidRPr="00E42BDB" w:rsidDel="00876B9F">
        <w:t>resume</w:t>
      </w:r>
      <w:r w:rsidDel="00876B9F">
        <w:t xml:space="preserve"> </w:t>
      </w:r>
      <w:r w:rsidR="00920ECB">
        <w:t>(l</w:t>
      </w:r>
      <w:r w:rsidDel="00876B9F">
        <w:t>imited to three page</w:t>
      </w:r>
      <w:r w:rsidR="00920ECB">
        <w:t>s)</w:t>
      </w:r>
      <w:r w:rsidDel="00876B9F">
        <w:t xml:space="preserve"> for each project manager and </w:t>
      </w:r>
      <w:r>
        <w:t>Senior/K</w:t>
      </w:r>
      <w:r w:rsidDel="00876B9F">
        <w:t xml:space="preserve">ey </w:t>
      </w:r>
      <w:r>
        <w:t>P</w:t>
      </w:r>
      <w:r w:rsidDel="00876B9F">
        <w:t>ersonnel that includes the following:</w:t>
      </w:r>
    </w:p>
    <w:p w14:paraId="2D99FF15" w14:textId="77777777" w:rsidR="0089154F" w:rsidDel="00876B9F" w:rsidRDefault="0089154F" w:rsidP="0089154F">
      <w:pPr>
        <w:ind w:left="1440"/>
      </w:pPr>
    </w:p>
    <w:p w14:paraId="07DB82B4" w14:textId="77777777" w:rsidR="0089154F" w:rsidDel="00876B9F" w:rsidRDefault="0089154F" w:rsidP="0089154F">
      <w:pPr>
        <w:pStyle w:val="ListParagraph"/>
        <w:numPr>
          <w:ilvl w:val="0"/>
          <w:numId w:val="105"/>
        </w:numPr>
        <w:ind w:left="1800"/>
      </w:pPr>
      <w:r w:rsidRPr="007854D2" w:rsidDel="00876B9F">
        <w:t xml:space="preserve">Contact </w:t>
      </w:r>
      <w:r>
        <w:t>i</w:t>
      </w:r>
      <w:r w:rsidRPr="007854D2" w:rsidDel="00876B9F">
        <w:t>nformation;</w:t>
      </w:r>
    </w:p>
    <w:p w14:paraId="0B31DE1A" w14:textId="77777777" w:rsidR="0089154F" w:rsidRPr="00DA7CC8" w:rsidDel="00876B9F" w:rsidRDefault="0089154F" w:rsidP="0089154F">
      <w:pPr>
        <w:pStyle w:val="ListParagraph"/>
        <w:numPr>
          <w:ilvl w:val="0"/>
          <w:numId w:val="105"/>
        </w:numPr>
        <w:ind w:left="1800"/>
      </w:pPr>
      <w:r w:rsidRPr="007854D2" w:rsidDel="00876B9F">
        <w:t xml:space="preserve">Education: </w:t>
      </w:r>
      <w:r>
        <w:t>A</w:t>
      </w:r>
      <w:r w:rsidDel="00876B9F">
        <w:t>ll</w:t>
      </w:r>
      <w:r w:rsidRPr="007854D2" w:rsidDel="00876B9F">
        <w:t xml:space="preserve"> </w:t>
      </w:r>
      <w:r w:rsidDel="00876B9F">
        <w:t xml:space="preserve">academic </w:t>
      </w:r>
      <w:r w:rsidRPr="007854D2" w:rsidDel="00876B9F">
        <w:t>institution</w:t>
      </w:r>
      <w:r w:rsidDel="00876B9F">
        <w:t>s attended</w:t>
      </w:r>
      <w:r w:rsidRPr="007854D2" w:rsidDel="00876B9F">
        <w:t>, major/area, degree;</w:t>
      </w:r>
    </w:p>
    <w:p w14:paraId="13225374" w14:textId="6A28AB55" w:rsidR="0089154F" w:rsidDel="00876B9F" w:rsidRDefault="0089154F" w:rsidP="0089154F">
      <w:pPr>
        <w:pStyle w:val="ListParagraph"/>
        <w:numPr>
          <w:ilvl w:val="0"/>
          <w:numId w:val="105"/>
        </w:numPr>
        <w:ind w:left="1800"/>
      </w:pPr>
      <w:r w:rsidDel="00876B9F">
        <w:t>T</w:t>
      </w:r>
      <w:r w:rsidRPr="007854D2" w:rsidDel="00876B9F">
        <w:t>raining</w:t>
      </w:r>
      <w:r w:rsidRPr="00801BFE" w:rsidDel="00876B9F">
        <w:t>: (e.g.,) certification or credential from a Registered Apprenticeship or Labor Management Partnership</w:t>
      </w:r>
      <w:r w:rsidR="00600FC7">
        <w:t>;</w:t>
      </w:r>
    </w:p>
    <w:p w14:paraId="26E851F9" w14:textId="77777777" w:rsidR="0089154F" w:rsidDel="00876B9F" w:rsidRDefault="0089154F" w:rsidP="0089154F">
      <w:pPr>
        <w:pStyle w:val="ListParagraph"/>
        <w:numPr>
          <w:ilvl w:val="0"/>
          <w:numId w:val="105"/>
        </w:numPr>
        <w:ind w:left="1800"/>
      </w:pPr>
      <w:r w:rsidDel="00876B9F">
        <w:t xml:space="preserve">Professional </w:t>
      </w:r>
      <w:r>
        <w:t>e</w:t>
      </w:r>
      <w:r w:rsidDel="00876B9F">
        <w:t xml:space="preserve">xperience: Beginning with the current position, list professional/academic positions in chronological order with a brief description; </w:t>
      </w:r>
    </w:p>
    <w:p w14:paraId="399D8637" w14:textId="77777777" w:rsidR="0089154F" w:rsidDel="00876B9F" w:rsidRDefault="0089154F" w:rsidP="0089154F">
      <w:pPr>
        <w:pStyle w:val="ListParagraph"/>
        <w:numPr>
          <w:ilvl w:val="0"/>
          <w:numId w:val="105"/>
        </w:numPr>
        <w:ind w:left="1800"/>
      </w:pPr>
      <w:r w:rsidDel="00876B9F">
        <w:t>List all current academic, professional, or institutional appointments, foreign or domestic, at the applicant institution or elsewhere, whether or not remuneration is received, and, whether full-time, part-time, or voluntary; and</w:t>
      </w:r>
    </w:p>
    <w:p w14:paraId="6B32ADC4" w14:textId="77777777" w:rsidR="0089154F" w:rsidDel="00876B9F" w:rsidRDefault="0089154F" w:rsidP="0089154F">
      <w:pPr>
        <w:pStyle w:val="ListParagraph"/>
        <w:numPr>
          <w:ilvl w:val="0"/>
          <w:numId w:val="105"/>
        </w:numPr>
        <w:ind w:left="1800"/>
      </w:pPr>
      <w:r w:rsidDel="00876B9F">
        <w:t xml:space="preserve">There should be no lapses in time over the past </w:t>
      </w:r>
      <w:r>
        <w:t>10</w:t>
      </w:r>
      <w:r w:rsidDel="00876B9F">
        <w:t xml:space="preserve"> years or since age 18, whichever period is shorter.</w:t>
      </w:r>
    </w:p>
    <w:p w14:paraId="6D3E9154" w14:textId="2DD36970" w:rsidR="0089154F" w:rsidRDefault="0089154F" w:rsidP="0089154F"/>
    <w:p w14:paraId="145A22AD" w14:textId="5B6EFC5B" w:rsidR="0089154F" w:rsidRDefault="0089154F" w:rsidP="0089154F">
      <w:pPr>
        <w:ind w:left="1440"/>
      </w:pPr>
      <w:r>
        <w:t xml:space="preserve">As an alternative to a resume, it is acceptable to use the biographical sketch format approved by the National Science Foundation (NSF). The biographical sketch format may be generated by the Science Experts Network Curriculum Vita (SciENcv), a cooperative venture maintained at </w:t>
      </w:r>
      <w:hyperlink r:id="rId29" w:history="1">
        <w:r w:rsidRPr="0032302A">
          <w:rPr>
            <w:rStyle w:val="Hyperlink"/>
          </w:rPr>
          <w:t>https://www.ncbi.nlm.nih.gov/sciencv/</w:t>
        </w:r>
      </w:hyperlink>
      <w:r>
        <w:t xml:space="preserve">, also available at </w:t>
      </w:r>
      <w:hyperlink r:id="rId30" w:history="1">
        <w:r w:rsidR="00BF17F1" w:rsidRPr="001E4964">
          <w:rPr>
            <w:rStyle w:val="Hyperlink"/>
          </w:rPr>
          <w:t>https://www.nsf.gov/bfa/dias/policy/researchprotection/commonform_biographicalsketch.pdf</w:t>
        </w:r>
      </w:hyperlink>
      <w:r>
        <w:t xml:space="preserve">. The use of a format required by another agency is intended to </w:t>
      </w:r>
      <w:r>
        <w:lastRenderedPageBreak/>
        <w:t>reduce the administrative burden to researchers by promoting the use of common formats.</w:t>
      </w:r>
    </w:p>
    <w:p w14:paraId="60F114B2" w14:textId="77777777" w:rsidR="0089154F" w:rsidRDefault="0089154F" w:rsidP="0089154F">
      <w:pPr>
        <w:ind w:left="1440"/>
      </w:pPr>
    </w:p>
    <w:p w14:paraId="1BB3E64E" w14:textId="77777777" w:rsidR="0089154F" w:rsidRDefault="0089154F" w:rsidP="0089154F">
      <w:pPr>
        <w:ind w:left="1440"/>
      </w:pPr>
      <w:r w:rsidRPr="008858B4">
        <w:t xml:space="preserve">Save the </w:t>
      </w:r>
      <w:r>
        <w:t>resumes</w:t>
      </w:r>
      <w:r w:rsidRPr="008858B4">
        <w:t xml:space="preserve"> in a single</w:t>
      </w:r>
      <w:r>
        <w:t xml:space="preserve"> PDF </w:t>
      </w:r>
      <w:r w:rsidRPr="008858B4">
        <w:t>file</w:t>
      </w:r>
      <w:r>
        <w:t xml:space="preserve"> </w:t>
      </w:r>
      <w:r w:rsidRPr="0003625A">
        <w:t>using the following convention for the title “ControlNumber_LeadOrganization_Resumes”</w:t>
      </w:r>
      <w:r>
        <w:t>.</w:t>
      </w:r>
    </w:p>
    <w:p w14:paraId="37F5977C" w14:textId="77777777" w:rsidR="0089154F" w:rsidRDefault="0089154F" w:rsidP="0089154F">
      <w:pPr>
        <w:ind w:left="1440"/>
        <w:rPr>
          <w:color w:val="0000FF"/>
        </w:rPr>
      </w:pPr>
    </w:p>
    <w:p w14:paraId="070059CD" w14:textId="58AD19A6" w:rsidR="0031205E" w:rsidRDefault="004E672B" w:rsidP="00D03069">
      <w:pPr>
        <w:pStyle w:val="FOAHeading3"/>
        <w:numPr>
          <w:ilvl w:val="0"/>
          <w:numId w:val="41"/>
        </w:numPr>
        <w:ind w:left="1440"/>
        <w:outlineLvl w:val="2"/>
      </w:pPr>
      <w:bookmarkStart w:id="258" w:name="_Toc176864447"/>
      <w:bookmarkEnd w:id="255"/>
      <w:r>
        <w:t>Letters of Commitment</w:t>
      </w:r>
      <w:bookmarkEnd w:id="258"/>
    </w:p>
    <w:p w14:paraId="479EF284" w14:textId="10904F28" w:rsidR="0089154F" w:rsidRDefault="004E672B" w:rsidP="002114F3">
      <w:pPr>
        <w:ind w:left="1440"/>
      </w:pPr>
      <w:r>
        <w:t>Submit letters of commitment from all subrecipient and third</w:t>
      </w:r>
      <w:r w:rsidR="0089154F">
        <w:t>-</w:t>
      </w:r>
      <w:r>
        <w:t xml:space="preserve">party cost share providers. If applicable, </w:t>
      </w:r>
      <w:r w:rsidR="0089154F">
        <w:t>the letter must state that the third party is committed to providing a specific minimum dollar amount or value of in-kind contributions allocated to cost sharing. The following information for each third party contributing to cost sharing should be identified: (1) the name of the organization; (2) the proposed dollar amount to be provided; and (3) the proposed cost sharing type (</w:t>
      </w:r>
      <w:r w:rsidR="0089154F" w:rsidRPr="00850FCE">
        <w:t>ca</w:t>
      </w:r>
      <w:r w:rsidR="0089154F">
        <w:t>sh</w:t>
      </w:r>
      <w:r w:rsidR="0089154F">
        <w:rPr>
          <w:strike/>
        </w:rPr>
        <w:t xml:space="preserve"> </w:t>
      </w:r>
      <w:r w:rsidR="0089154F">
        <w:t xml:space="preserve">or in-kind </w:t>
      </w:r>
      <w:r w:rsidR="0089154F" w:rsidRPr="004D7CFD">
        <w:t xml:space="preserve">contributions). Each letter must not exceed </w:t>
      </w:r>
      <w:r w:rsidR="0089154F">
        <w:t>one</w:t>
      </w:r>
      <w:r w:rsidR="0089154F" w:rsidRPr="004D7CFD">
        <w:t xml:space="preserve"> page.</w:t>
      </w:r>
    </w:p>
    <w:p w14:paraId="43AF716B" w14:textId="77777777" w:rsidR="0089154F" w:rsidRDefault="0089154F" w:rsidP="002114F3">
      <w:pPr>
        <w:ind w:left="1440"/>
      </w:pPr>
    </w:p>
    <w:p w14:paraId="11DDDB9A" w14:textId="0A539608" w:rsidR="002114F3" w:rsidRDefault="004E672B" w:rsidP="002114F3">
      <w:pPr>
        <w:ind w:left="1440"/>
      </w:pPr>
      <w:r>
        <w:t>Save the le</w:t>
      </w:r>
      <w:r w:rsidR="002C1B54">
        <w:t xml:space="preserve">tters of commitment in a single </w:t>
      </w:r>
      <w:r w:rsidR="00405796">
        <w:t xml:space="preserve">PDF </w:t>
      </w:r>
      <w:r>
        <w:t>file</w:t>
      </w:r>
      <w:r w:rsidR="00DB2B09">
        <w:t xml:space="preserve"> </w:t>
      </w:r>
      <w:r w:rsidR="00DB2B09">
        <w:rPr>
          <w:rFonts w:ascii="Calibri" w:hAnsi="Calibri" w:cs="Calibri"/>
          <w:color w:val="000000"/>
          <w:szCs w:val="24"/>
        </w:rPr>
        <w:t>using the following convention for the title “ControlNumber_LeadOrganization_LOC</w:t>
      </w:r>
      <w:r w:rsidR="005E2146">
        <w:rPr>
          <w:rFonts w:ascii="Calibri" w:hAnsi="Calibri" w:cs="Calibri"/>
          <w:color w:val="000000"/>
          <w:szCs w:val="24"/>
        </w:rPr>
        <w:t>s</w:t>
      </w:r>
      <w:r w:rsidR="00DB2B09">
        <w:rPr>
          <w:rFonts w:ascii="Calibri" w:hAnsi="Calibri" w:cs="Calibri"/>
          <w:color w:val="000000"/>
          <w:szCs w:val="24"/>
        </w:rPr>
        <w:t>”</w:t>
      </w:r>
      <w:r>
        <w:t>.</w:t>
      </w:r>
    </w:p>
    <w:p w14:paraId="3840E9FA" w14:textId="77777777" w:rsidR="008C5B2A" w:rsidRDefault="008C5B2A" w:rsidP="002114F3">
      <w:pPr>
        <w:ind w:left="1440"/>
      </w:pPr>
    </w:p>
    <w:p w14:paraId="3BA44D5F" w14:textId="0698D405" w:rsidR="008C5B2A" w:rsidRDefault="008C5B2A" w:rsidP="002114F3">
      <w:pPr>
        <w:ind w:left="1440"/>
      </w:pPr>
      <w:r w:rsidRPr="008C5B2A">
        <w:t xml:space="preserve">Letters of support or endorsement for the project from entities that do not have a substantive role </w:t>
      </w:r>
      <w:r w:rsidR="003C4BD4">
        <w:t>(</w:t>
      </w:r>
      <w:r w:rsidR="004C62FC">
        <w:t xml:space="preserve">a sub-recipient or cost-share contributor) </w:t>
      </w:r>
      <w:r w:rsidRPr="008C5B2A">
        <w:t>in the project will not be accepted.</w:t>
      </w:r>
    </w:p>
    <w:p w14:paraId="798A1414" w14:textId="48465CAA" w:rsidR="004C206D" w:rsidRPr="00872882" w:rsidRDefault="00537020" w:rsidP="004C206D">
      <w:pPr>
        <w:pStyle w:val="FOAHeading3"/>
        <w:numPr>
          <w:ilvl w:val="0"/>
          <w:numId w:val="41"/>
        </w:numPr>
        <w:ind w:left="1440"/>
        <w:outlineLvl w:val="2"/>
      </w:pPr>
      <w:bookmarkStart w:id="259" w:name="_Toc176864448"/>
      <w:r>
        <w:t>Impacted Indian Tribes Documentation</w:t>
      </w:r>
      <w:bookmarkEnd w:id="259"/>
    </w:p>
    <w:p w14:paraId="169A78F8" w14:textId="77777777" w:rsidR="00413E46" w:rsidRPr="00125B8B" w:rsidRDefault="00413E46" w:rsidP="00413E46">
      <w:pPr>
        <w:pStyle w:val="FOAHeading3"/>
        <w:numPr>
          <w:ilvl w:val="0"/>
          <w:numId w:val="0"/>
        </w:numPr>
        <w:ind w:left="1440"/>
        <w:rPr>
          <w:b w:val="0"/>
          <w:bCs/>
          <w:sz w:val="24"/>
          <w:szCs w:val="24"/>
        </w:rPr>
      </w:pPr>
      <w:r w:rsidRPr="00125B8B">
        <w:rPr>
          <w:b w:val="0"/>
          <w:bCs/>
          <w:sz w:val="24"/>
          <w:szCs w:val="24"/>
        </w:rPr>
        <w:t>For any application that potentially impacts Indian Tribes or is on Tribal land</w:t>
      </w:r>
      <w:r w:rsidRPr="00125B8B">
        <w:rPr>
          <w:rStyle w:val="FootnoteReference"/>
          <w:b w:val="0"/>
          <w:bCs/>
          <w:sz w:val="24"/>
          <w:szCs w:val="24"/>
        </w:rPr>
        <w:footnoteReference w:id="47"/>
      </w:r>
      <w:r w:rsidRPr="00125B8B">
        <w:rPr>
          <w:b w:val="0"/>
          <w:bCs/>
          <w:sz w:val="24"/>
          <w:szCs w:val="24"/>
        </w:rPr>
        <w:t>, including when the potentially impacted Indian Tribe is the applicant, applicants are required to submit additional documentation at the time of application, and possibly during negotiation and prior to award. For any project that potentially impacts Indian Tribes, applicants are required to submit documentation demonstrating that an authorized representative</w:t>
      </w:r>
      <w:r w:rsidRPr="00125B8B">
        <w:rPr>
          <w:rStyle w:val="FootnoteReference"/>
          <w:b w:val="0"/>
          <w:bCs/>
          <w:sz w:val="24"/>
          <w:szCs w:val="24"/>
        </w:rPr>
        <w:footnoteReference w:id="48"/>
      </w:r>
      <w:r w:rsidRPr="00125B8B">
        <w:rPr>
          <w:b w:val="0"/>
          <w:bCs/>
          <w:sz w:val="24"/>
          <w:szCs w:val="24"/>
        </w:rPr>
        <w:t xml:space="preserve"> of each potentially impacted Indian Tribe is, at a minimum, aware of the nature of the application and its potential impacts to the relevant Indian Tribes. The notified authorized representative must be holding their position while the award is open for applications, and documentation must demonstrate affirmative awareness of </w:t>
      </w:r>
      <w:r w:rsidRPr="00125B8B">
        <w:rPr>
          <w:b w:val="0"/>
          <w:bCs/>
          <w:sz w:val="24"/>
          <w:szCs w:val="24"/>
        </w:rPr>
        <w:lastRenderedPageBreak/>
        <w:t xml:space="preserve">the application (e.g. a delivery record from certified mail, a reply by the authorized representative). </w:t>
      </w:r>
    </w:p>
    <w:p w14:paraId="496DAB6A" w14:textId="77777777" w:rsidR="00413E46" w:rsidRPr="00125B8B" w:rsidRDefault="00413E46" w:rsidP="00413E46">
      <w:pPr>
        <w:pStyle w:val="FOAHeading3"/>
        <w:numPr>
          <w:ilvl w:val="0"/>
          <w:numId w:val="0"/>
        </w:numPr>
        <w:ind w:left="1440"/>
        <w:rPr>
          <w:b w:val="0"/>
          <w:bCs/>
          <w:sz w:val="24"/>
          <w:szCs w:val="24"/>
        </w:rPr>
      </w:pPr>
    </w:p>
    <w:p w14:paraId="0660CEE9" w14:textId="77777777" w:rsidR="008B0B33" w:rsidRPr="00125B8B" w:rsidRDefault="008B0B33" w:rsidP="008B0B33">
      <w:pPr>
        <w:ind w:left="1440"/>
      </w:pPr>
      <w:r w:rsidRPr="00125B8B">
        <w:t xml:space="preserve">For any project intended to be sited on Tribal land(s) or intersecting with Tribal subsurface rights, applicants are required to submit documentation demonstrating support from the relevant Indian Tribes at the time of application. Documentation of support submitted at the time of application will be considered to also demonstrate awareness of an Indian Tribe (specified above). Documentation may include either: </w:t>
      </w:r>
    </w:p>
    <w:p w14:paraId="4AEE7698" w14:textId="77777777" w:rsidR="008B0B33" w:rsidRPr="00125B8B" w:rsidRDefault="008B0B33" w:rsidP="008B0B33">
      <w:pPr>
        <w:ind w:left="2160"/>
      </w:pPr>
      <w:r w:rsidRPr="00125B8B">
        <w:t xml:space="preserve">• A letter of support from Tribal leadership. The letter must be signed by an authorized representative of the Indian Tribe. The signer(s) must be holding their position while the award is open for applications or negotiations. </w:t>
      </w:r>
    </w:p>
    <w:p w14:paraId="394876AB" w14:textId="77777777" w:rsidR="008B0B33" w:rsidRPr="00125B8B" w:rsidRDefault="008B0B33" w:rsidP="008B0B33">
      <w:pPr>
        <w:ind w:left="2160"/>
      </w:pPr>
      <w:r w:rsidRPr="00125B8B">
        <w:t xml:space="preserve">• A Tribal Council Resolution, Board resolution (including the Board of Directors of an Alaska Native Corporation (ANC)), or similar act passed by the legislative body of the Tribal government or Board of Directors of an ANC, expressing support for the project. </w:t>
      </w:r>
    </w:p>
    <w:p w14:paraId="2BFD429B" w14:textId="77777777" w:rsidR="008B0B33" w:rsidRPr="00125B8B" w:rsidRDefault="008B0B33" w:rsidP="008B0B33">
      <w:pPr>
        <w:ind w:left="2160"/>
      </w:pPr>
    </w:p>
    <w:p w14:paraId="1997E94D" w14:textId="77777777" w:rsidR="00B52C76" w:rsidRPr="00125B8B" w:rsidRDefault="008B0B33" w:rsidP="00B52C76">
      <w:pPr>
        <w:ind w:left="1440"/>
      </w:pPr>
      <w:r w:rsidRPr="00125B8B">
        <w:t xml:space="preserve"> </w:t>
      </w:r>
      <w:r w:rsidRPr="00125B8B">
        <w:rPr>
          <w:bCs/>
          <w:szCs w:val="24"/>
        </w:rPr>
        <w:t>Applicants are encouraged to reference or include any applicable community benefits agreements in the Tribal support documentation, and to integrate any Tribal support documentation in the community benefits plan as appropriate, For projects not intended to be sited on Tribal land(s) or intersecting with Tribal subsurface rights, but that may have other potential impacts on Tribal resources or reserved rights, letters of support or resolutions of support are strongly encouraged and, depending on the nature of the impact, may be required if</w:t>
      </w:r>
      <w:r w:rsidR="00B52C76" w:rsidRPr="00125B8B">
        <w:rPr>
          <w:b/>
          <w:bCs/>
          <w:szCs w:val="24"/>
        </w:rPr>
        <w:t xml:space="preserve"> </w:t>
      </w:r>
      <w:r w:rsidR="00B52C76" w:rsidRPr="00125B8B">
        <w:t xml:space="preserve">selected for negotiation of an agreement. Applicants are encouraged to reach out to Indian Tribes as early as possible in the application process to give Indian Tribes ample time to evaluate and respond. </w:t>
      </w:r>
    </w:p>
    <w:p w14:paraId="73DDDCD3" w14:textId="77777777" w:rsidR="00B52C76" w:rsidRPr="00125B8B" w:rsidRDefault="00B52C76" w:rsidP="00B52C76">
      <w:pPr>
        <w:ind w:left="1440"/>
      </w:pPr>
    </w:p>
    <w:p w14:paraId="216D9127" w14:textId="77777777" w:rsidR="00B52C76" w:rsidRPr="002F5A7B" w:rsidRDefault="00B52C76" w:rsidP="00B52C76">
      <w:pPr>
        <w:ind w:left="1440"/>
        <w:rPr>
          <w:highlight w:val="green"/>
        </w:rPr>
      </w:pPr>
      <w:r w:rsidRPr="00125B8B">
        <w:t xml:space="preserve">The following resources may be useful to help determine if a project may impact an Indian Tribe(s) resources or reserved rights and the appropriate contacts. These resources are not exhaustive, and many Indian Tribes have resources or reserved rights which extend beyond their Tribal lands, or are covered within treaties, statutes, or case-law. Applicants are encouraged to do additional research: </w:t>
      </w:r>
    </w:p>
    <w:p w14:paraId="03663A72" w14:textId="77777777" w:rsidR="00B52C76" w:rsidRPr="00125B8B" w:rsidRDefault="00B52C76" w:rsidP="00B52C76">
      <w:pPr>
        <w:ind w:left="2160"/>
      </w:pPr>
      <w:r w:rsidRPr="00125B8B">
        <w:t xml:space="preserve">• Map of Indian Lands: https://bia-geospatial- internal.geoplatform.gov/indianlands/     </w:t>
      </w:r>
    </w:p>
    <w:p w14:paraId="03DCE083" w14:textId="77777777" w:rsidR="00B52C76" w:rsidRPr="00125B8B" w:rsidRDefault="00B52C76" w:rsidP="00B52C76">
      <w:pPr>
        <w:ind w:left="2160"/>
      </w:pPr>
      <w:r w:rsidRPr="00125B8B">
        <w:t xml:space="preserve">• Tribal Treaties Database: https://treaties.okstate.edu/     </w:t>
      </w:r>
    </w:p>
    <w:p w14:paraId="4B9DC4CD" w14:textId="77777777" w:rsidR="00B52C76" w:rsidRPr="00125B8B" w:rsidRDefault="00B52C76" w:rsidP="00B52C76">
      <w:pPr>
        <w:ind w:left="2160"/>
      </w:pPr>
      <w:r w:rsidRPr="00125B8B">
        <w:t xml:space="preserve">• Directory of federally recognized Tribes and Tribal leaders: https://www.bia.gov/service/tribal-leaders-directory     </w:t>
      </w:r>
    </w:p>
    <w:p w14:paraId="7E93C3B0" w14:textId="77777777" w:rsidR="00B52C76" w:rsidRPr="00125B8B" w:rsidRDefault="00B52C76" w:rsidP="00B52C76">
      <w:pPr>
        <w:ind w:left="2160"/>
      </w:pPr>
      <w:r w:rsidRPr="00125B8B">
        <w:t xml:space="preserve">• Best Practices for Identifying and Protecting Tribal Treaty Rights, Reserved Rights, and other similar rights in federal regulatory actions: </w:t>
      </w:r>
      <w:r w:rsidRPr="00125B8B">
        <w:lastRenderedPageBreak/>
        <w:t>https://www.bia.gov/sites/default/files/dup/inline- files/best_practices_guide.pdf</w:t>
      </w:r>
    </w:p>
    <w:p w14:paraId="05C72144" w14:textId="77777777" w:rsidR="00B52C76" w:rsidRPr="002F5A7B" w:rsidRDefault="00B52C76" w:rsidP="00B52C76">
      <w:pPr>
        <w:ind w:left="1440"/>
        <w:rPr>
          <w:highlight w:val="green"/>
        </w:rPr>
      </w:pPr>
    </w:p>
    <w:p w14:paraId="4353D797" w14:textId="77777777" w:rsidR="00B52C76" w:rsidRPr="005D3B19" w:rsidRDefault="00B52C76" w:rsidP="00B52C76">
      <w:pPr>
        <w:ind w:left="1440"/>
      </w:pPr>
      <w:r w:rsidRPr="005D3B19">
        <w:t xml:space="preserve">To help determine if an Indian Tribe’s resources or reserved rights may be impacted by the project, applicants must address the following elements. If the applicant is an Indian Tribe, these elements should be addressed to ascertain impacts to Indian Tribes other than the applicant. Applicants do not need to reveal specific details about sacred sites such as specific location or specific ceremonies: </w:t>
      </w:r>
    </w:p>
    <w:p w14:paraId="0E08F647" w14:textId="5D4343A9" w:rsidR="00AA1024" w:rsidRPr="00F60DF3" w:rsidRDefault="00AA1024" w:rsidP="00F60DF3">
      <w:pPr>
        <w:ind w:left="2160"/>
      </w:pPr>
      <w:r w:rsidRPr="001B688E">
        <w:t xml:space="preserve">• Identify any elements of the project that will occur on or near Indian land, Tribal historic sites, or sacred sites and describe its potential impacts to Indian Tribes. Identify the potentially impacted Indian Tribe(s). </w:t>
      </w:r>
    </w:p>
    <w:p w14:paraId="08DCBC9E" w14:textId="77777777" w:rsidR="00AA1024" w:rsidRPr="00F60DF3" w:rsidRDefault="00AA1024" w:rsidP="00AA1024">
      <w:pPr>
        <w:ind w:left="2160"/>
      </w:pPr>
      <w:r w:rsidRPr="00F60DF3">
        <w:t xml:space="preserve">• Identify any [other] proposed actions which may impact an Indian Tribe(s) resources or reserved rights. Tribal resources and reserved rights include, and are not limited to, an Indian Reservation or Land (as defined in 25 U.S.C. § 3501) [or intersecting Tribal sub-surface rights], historic homelands from which they were removed, cultural sites, sacred sites, water rights, mineral and other subsurface rights, fishing rights, and hunting rights. Identify the Tribe(s) potentially impacted and any sources of uncertainty or confidentiality. </w:t>
      </w:r>
    </w:p>
    <w:p w14:paraId="173C9D11" w14:textId="77777777" w:rsidR="00AA1024" w:rsidRPr="00F60DF3" w:rsidRDefault="00AA1024" w:rsidP="00AA1024">
      <w:pPr>
        <w:ind w:left="2160"/>
      </w:pPr>
      <w:r w:rsidRPr="00F60DF3">
        <w:t xml:space="preserve">• Explain any actions taken by the applicant to mitigate or address any potential impacts identified above, including engaging with the potentially impacted Indian Tribe(s), in the application. </w:t>
      </w:r>
    </w:p>
    <w:p w14:paraId="0B625A57" w14:textId="77777777" w:rsidR="00AA1024" w:rsidRPr="002F5A7B" w:rsidRDefault="00AA1024" w:rsidP="00AA1024">
      <w:pPr>
        <w:ind w:left="1440"/>
        <w:rPr>
          <w:highlight w:val="green"/>
        </w:rPr>
      </w:pPr>
    </w:p>
    <w:p w14:paraId="573061D1" w14:textId="77777777" w:rsidR="00AA1024" w:rsidRPr="00F60DF3" w:rsidRDefault="00AA1024" w:rsidP="00AA1024">
      <w:pPr>
        <w:ind w:left="1440"/>
      </w:pPr>
      <w:r w:rsidRPr="00F60DF3">
        <w:t xml:space="preserve">Applicants are required to document any efforts taken to identify any potential impacts to Indian Tribes, Indian lands, Alaska Native regional and village land, traditional homelands, Tribal rights, or Tribal historic sites, or sacred sites. This includes any correspondence with Indian Tribes. These documents should be available on request to DOE. An applicant’s failure to submit documentation of an Indian Tribe’s awareness, or a letter of support, when required as described above, may constitute grounds for determining an application ineligible, non-responsive to the FOA/OT solicitation, not subject to further review and/or not otherwise subject to selection or award.      </w:t>
      </w:r>
    </w:p>
    <w:p w14:paraId="76258130" w14:textId="77777777" w:rsidR="00AA1024" w:rsidRPr="00F60DF3" w:rsidRDefault="00AA1024" w:rsidP="00AA1024">
      <w:pPr>
        <w:ind w:left="1440"/>
      </w:pPr>
    </w:p>
    <w:p w14:paraId="13C09108" w14:textId="17DA0EB8" w:rsidR="00BC0C8F" w:rsidRDefault="00AA1024" w:rsidP="008B0D95">
      <w:pPr>
        <w:pStyle w:val="FOAHeading3"/>
        <w:numPr>
          <w:ilvl w:val="0"/>
          <w:numId w:val="0"/>
        </w:numPr>
        <w:ind w:left="1440"/>
        <w:rPr>
          <w:b w:val="0"/>
          <w:bCs/>
          <w:sz w:val="24"/>
          <w:szCs w:val="24"/>
        </w:rPr>
      </w:pPr>
      <w:r w:rsidRPr="00F60DF3">
        <w:rPr>
          <w:b w:val="0"/>
          <w:bCs/>
          <w:sz w:val="24"/>
          <w:szCs w:val="24"/>
        </w:rPr>
        <w:t xml:space="preserve">Any application that may potentially impact Indian Tribe(s) may be shared with the potentially impacted Indian Tribe(s). Applicants should include a Notice of Restriction on Disclosure and Use of Data identifying any business sensitive, trade secrets, proprietary, or otherwise confidential information. Such information shall be used or disclosed only for evaluation of the application or to determine whether the proposed project affects an Indian Tribe(s). If an applicant determines an Indian Tribe(s) will be impacted, the applicant must provide information on the project location, potential impacts and how the applicant will engage with Indian Tribe(s), during the period of performance of </w:t>
      </w:r>
      <w:r w:rsidRPr="00F60DF3">
        <w:rPr>
          <w:b w:val="0"/>
          <w:bCs/>
          <w:sz w:val="24"/>
          <w:szCs w:val="24"/>
        </w:rPr>
        <w:lastRenderedPageBreak/>
        <w:t>the agreement, and, if necessary, after the end of the agreement. Approval by DOE must be obtained before any activities take place that could impact Tribal resources or reserved rights, including but not limited to lands, cultural sites, sacred sites, water rights, mineral rights, fishing rights, and hunting rights. DOE will determine if formal government-to-government consultation is needed, and DOE will conduct that consultation accordingly, in addition to any engagement by applicant.</w:t>
      </w:r>
    </w:p>
    <w:p w14:paraId="18549125" w14:textId="77777777" w:rsidR="00B71834" w:rsidRDefault="00B71834" w:rsidP="008B0D95">
      <w:pPr>
        <w:pStyle w:val="FOAHeading3"/>
        <w:numPr>
          <w:ilvl w:val="0"/>
          <w:numId w:val="0"/>
        </w:numPr>
        <w:ind w:left="1440"/>
        <w:rPr>
          <w:b w:val="0"/>
          <w:bCs/>
          <w:sz w:val="24"/>
          <w:szCs w:val="24"/>
        </w:rPr>
      </w:pPr>
    </w:p>
    <w:p w14:paraId="48B6E225" w14:textId="0C4ED639" w:rsidR="00B71834" w:rsidRDefault="00B71834" w:rsidP="00B71834">
      <w:pPr>
        <w:autoSpaceDE w:val="0"/>
        <w:autoSpaceDN w:val="0"/>
        <w:adjustRightInd w:val="0"/>
        <w:ind w:left="1440"/>
      </w:pPr>
      <w:r>
        <w:rPr>
          <w:rFonts w:ascii="Calibri" w:hAnsi="Calibri" w:cs="Calibri"/>
          <w:color w:val="000000"/>
          <w:szCs w:val="24"/>
        </w:rPr>
        <w:t>Save the Impacted Indian Tribes Documentation in a single PDF file using the following convention for the title “ControlNumber_LeadOrganization_ImpactedTribes”.</w:t>
      </w:r>
    </w:p>
    <w:p w14:paraId="27A3AC6A" w14:textId="7F22BCD5" w:rsidR="0037331C" w:rsidRDefault="0037331C" w:rsidP="008B0D95">
      <w:pPr>
        <w:pStyle w:val="FOAHeading3"/>
        <w:numPr>
          <w:ilvl w:val="0"/>
          <w:numId w:val="0"/>
        </w:numPr>
        <w:outlineLvl w:val="2"/>
      </w:pPr>
    </w:p>
    <w:p w14:paraId="68020FBE" w14:textId="578C890A" w:rsidR="006A24B8" w:rsidRPr="00872882" w:rsidRDefault="004E672B" w:rsidP="004D5367">
      <w:pPr>
        <w:pStyle w:val="FOAHeading3"/>
        <w:numPr>
          <w:ilvl w:val="0"/>
          <w:numId w:val="41"/>
        </w:numPr>
        <w:ind w:left="1440"/>
        <w:outlineLvl w:val="2"/>
      </w:pPr>
      <w:bookmarkStart w:id="260" w:name="_Toc176864449"/>
      <w:r w:rsidRPr="00C72CE2">
        <w:t>Statement of Project Objectives</w:t>
      </w:r>
      <w:bookmarkEnd w:id="256"/>
      <w:r w:rsidR="00D0390A">
        <w:t xml:space="preserve"> (SOPO)</w:t>
      </w:r>
      <w:bookmarkEnd w:id="260"/>
    </w:p>
    <w:p w14:paraId="11F00C29" w14:textId="2D348663" w:rsidR="00335AB3" w:rsidRDefault="00A93673" w:rsidP="00EC2698">
      <w:pPr>
        <w:autoSpaceDE w:val="0"/>
        <w:autoSpaceDN w:val="0"/>
        <w:adjustRightInd w:val="0"/>
        <w:ind w:left="1440"/>
        <w:rPr>
          <w:rFonts w:ascii="Calibri" w:hAnsi="Calibri" w:cs="Calibri"/>
          <w:color w:val="000000"/>
          <w:szCs w:val="24"/>
        </w:rPr>
      </w:pPr>
      <w:r>
        <w:rPr>
          <w:rFonts w:ascii="Calibri" w:hAnsi="Calibri" w:cs="Calibri"/>
          <w:color w:val="000000"/>
          <w:szCs w:val="24"/>
        </w:rPr>
        <w:t xml:space="preserve">Applicants </w:t>
      </w:r>
      <w:r w:rsidR="0089154F">
        <w:rPr>
          <w:rFonts w:ascii="Calibri" w:hAnsi="Calibri" w:cs="Calibri"/>
          <w:color w:val="000000"/>
          <w:szCs w:val="24"/>
        </w:rPr>
        <w:t>must</w:t>
      </w:r>
      <w:r>
        <w:rPr>
          <w:rFonts w:ascii="Calibri" w:hAnsi="Calibri" w:cs="Calibri"/>
          <w:color w:val="000000"/>
          <w:szCs w:val="24"/>
        </w:rPr>
        <w:t xml:space="preserve"> complete a SOPO. A SOPO template is </w:t>
      </w:r>
      <w:bookmarkStart w:id="261" w:name="_Hlk148095093"/>
      <w:r>
        <w:rPr>
          <w:rFonts w:ascii="Calibri" w:hAnsi="Calibri" w:cs="Calibri"/>
          <w:color w:val="000000"/>
          <w:szCs w:val="24"/>
        </w:rPr>
        <w:t>available</w:t>
      </w:r>
      <w:r w:rsidR="0089154F" w:rsidRPr="0089154F">
        <w:rPr>
          <w:rFonts w:ascii="Calibri" w:hAnsi="Calibri" w:cs="Calibri"/>
          <w:color w:val="000000"/>
        </w:rPr>
        <w:t xml:space="preserve"> </w:t>
      </w:r>
      <w:r w:rsidR="008C5B2A">
        <w:rPr>
          <w:rFonts w:ascii="Calibri" w:hAnsi="Calibri" w:cs="Calibri"/>
          <w:color w:val="000000"/>
        </w:rPr>
        <w:t>on</w:t>
      </w:r>
      <w:r w:rsidR="0089154F" w:rsidRPr="00F51A4A">
        <w:rPr>
          <w:rFonts w:ascii="Calibri" w:hAnsi="Calibri" w:cs="Calibri"/>
          <w:color w:val="000000"/>
        </w:rPr>
        <w:t xml:space="preserve"> </w:t>
      </w:r>
      <w:hyperlink r:id="rId31" w:history="1">
        <w:r w:rsidR="0089154F">
          <w:rPr>
            <w:rStyle w:val="Hyperlink"/>
          </w:rPr>
          <w:t>EERE Funding Application and Management Forms</w:t>
        </w:r>
      </w:hyperlink>
      <w:r w:rsidR="00B30F0A">
        <w:rPr>
          <w:rStyle w:val="Hyperlink"/>
        </w:rPr>
        <w:t xml:space="preserve"> and</w:t>
      </w:r>
      <w:r>
        <w:rPr>
          <w:rFonts w:ascii="Calibri" w:hAnsi="Calibri" w:cs="Calibri"/>
          <w:color w:val="000000"/>
          <w:szCs w:val="24"/>
        </w:rPr>
        <w:t xml:space="preserve"> </w:t>
      </w:r>
      <w:bookmarkEnd w:id="261"/>
      <w:r>
        <w:rPr>
          <w:rFonts w:ascii="Calibri" w:hAnsi="Calibri" w:cs="Calibri"/>
          <w:color w:val="000000"/>
          <w:szCs w:val="24"/>
        </w:rPr>
        <w:t>on</w:t>
      </w:r>
      <w:r w:rsidR="003E220B">
        <w:rPr>
          <w:rFonts w:ascii="Calibri" w:hAnsi="Calibri" w:cs="Calibri"/>
          <w:color w:val="000000"/>
          <w:szCs w:val="24"/>
        </w:rPr>
        <w:t xml:space="preserve"> </w:t>
      </w:r>
      <w:r>
        <w:rPr>
          <w:rFonts w:ascii="Calibri" w:hAnsi="Calibri" w:cs="Calibri"/>
          <w:color w:val="000000"/>
          <w:szCs w:val="24"/>
        </w:rPr>
        <w:t xml:space="preserve">EERE </w:t>
      </w:r>
      <w:r w:rsidR="00D615E8">
        <w:rPr>
          <w:rFonts w:ascii="Calibri" w:hAnsi="Calibri" w:cs="Calibri"/>
          <w:color w:val="000000"/>
          <w:szCs w:val="24"/>
        </w:rPr>
        <w:t>eXCHANGE</w:t>
      </w:r>
      <w:r>
        <w:rPr>
          <w:rFonts w:ascii="Calibri" w:hAnsi="Calibri" w:cs="Calibri"/>
          <w:color w:val="000000"/>
          <w:szCs w:val="24"/>
        </w:rPr>
        <w:t xml:space="preserve"> at </w:t>
      </w:r>
      <w:hyperlink r:id="rId32" w:history="1">
        <w:r w:rsidR="00D615E8">
          <w:rPr>
            <w:rStyle w:val="Hyperlink"/>
            <w:rFonts w:ascii="Calibri" w:hAnsi="Calibri" w:cs="Calibri"/>
            <w:szCs w:val="24"/>
          </w:rPr>
          <w:t>https://eere-eXCHANGE.energy.gov</w:t>
        </w:r>
        <w:r w:rsidRPr="00A93673">
          <w:rPr>
            <w:rStyle w:val="Hyperlink"/>
            <w:rFonts w:ascii="Calibri" w:hAnsi="Calibri" w:cs="Calibri"/>
            <w:szCs w:val="24"/>
          </w:rPr>
          <w:t>/</w:t>
        </w:r>
      </w:hyperlink>
      <w:r>
        <w:rPr>
          <w:rFonts w:ascii="Calibri" w:hAnsi="Calibri" w:cs="Calibri"/>
          <w:color w:val="000000"/>
          <w:szCs w:val="24"/>
        </w:rPr>
        <w:t>. The SOPO, including the</w:t>
      </w:r>
      <w:r w:rsidR="003E220B">
        <w:rPr>
          <w:rFonts w:ascii="Calibri" w:hAnsi="Calibri" w:cs="Calibri"/>
          <w:color w:val="000000"/>
          <w:szCs w:val="24"/>
        </w:rPr>
        <w:t xml:space="preserve"> </w:t>
      </w:r>
      <w:r>
        <w:rPr>
          <w:rFonts w:ascii="Calibri" w:hAnsi="Calibri" w:cs="Calibri"/>
          <w:color w:val="000000"/>
          <w:szCs w:val="24"/>
        </w:rPr>
        <w:t xml:space="preserve">Milestone Table, must not exceed </w:t>
      </w:r>
      <w:r w:rsidR="00287EC3">
        <w:rPr>
          <w:rFonts w:ascii="Calibri" w:hAnsi="Calibri" w:cs="Calibri"/>
          <w:color w:val="0000FF"/>
        </w:rPr>
        <w:t xml:space="preserve">10 </w:t>
      </w:r>
      <w:r w:rsidR="00DB2B09" w:rsidDel="00DB2B09">
        <w:rPr>
          <w:rFonts w:ascii="Calibri" w:hAnsi="Calibri" w:cs="Calibri"/>
          <w:color w:val="000000"/>
          <w:szCs w:val="24"/>
        </w:rPr>
        <w:t xml:space="preserve"> </w:t>
      </w:r>
      <w:r>
        <w:rPr>
          <w:rFonts w:ascii="Calibri" w:hAnsi="Calibri" w:cs="Calibri"/>
          <w:color w:val="000000"/>
          <w:szCs w:val="24"/>
        </w:rPr>
        <w:t>pages when printed using standard 8.5</w:t>
      </w:r>
      <w:r w:rsidR="00335AB3">
        <w:rPr>
          <w:rFonts w:ascii="Calibri" w:hAnsi="Calibri" w:cs="Calibri"/>
          <w:color w:val="000000"/>
          <w:szCs w:val="24"/>
        </w:rPr>
        <w:t>”</w:t>
      </w:r>
      <w:r>
        <w:rPr>
          <w:rFonts w:ascii="Calibri" w:hAnsi="Calibri" w:cs="Calibri"/>
          <w:color w:val="000000"/>
          <w:szCs w:val="24"/>
        </w:rPr>
        <w:t xml:space="preserve"> x 11</w:t>
      </w:r>
      <w:r w:rsidR="00335AB3">
        <w:rPr>
          <w:rFonts w:ascii="Calibri" w:hAnsi="Calibri" w:cs="Calibri"/>
          <w:color w:val="000000"/>
          <w:szCs w:val="24"/>
        </w:rPr>
        <w:t>”</w:t>
      </w:r>
      <w:r w:rsidR="003E220B">
        <w:rPr>
          <w:rFonts w:ascii="Calibri" w:hAnsi="Calibri" w:cs="Calibri"/>
          <w:color w:val="000000"/>
          <w:szCs w:val="24"/>
        </w:rPr>
        <w:t xml:space="preserve"> </w:t>
      </w:r>
      <w:r>
        <w:rPr>
          <w:rFonts w:ascii="Calibri" w:hAnsi="Calibri" w:cs="Calibri"/>
          <w:color w:val="000000"/>
          <w:szCs w:val="24"/>
        </w:rPr>
        <w:t>paper with 1” margins (top, bottom, left, and right) with font not smaller than 12</w:t>
      </w:r>
      <w:r w:rsidR="00335AB3">
        <w:rPr>
          <w:rFonts w:ascii="Calibri" w:hAnsi="Calibri" w:cs="Calibri"/>
          <w:color w:val="000000"/>
          <w:szCs w:val="24"/>
        </w:rPr>
        <w:t>-</w:t>
      </w:r>
      <w:r>
        <w:rPr>
          <w:rFonts w:ascii="Calibri" w:hAnsi="Calibri" w:cs="Calibri"/>
          <w:color w:val="000000"/>
          <w:szCs w:val="24"/>
        </w:rPr>
        <w:t>point</w:t>
      </w:r>
      <w:r w:rsidR="00DF2FE0">
        <w:rPr>
          <w:rFonts w:ascii="Calibri" w:hAnsi="Calibri" w:cs="Calibri"/>
          <w:color w:val="000000"/>
          <w:szCs w:val="24"/>
        </w:rPr>
        <w:t xml:space="preserve"> </w:t>
      </w:r>
      <w:r w:rsidR="00DE722E" w:rsidRPr="008858B4">
        <w:t>(except in figures or tables, which may be 10</w:t>
      </w:r>
      <w:r w:rsidR="00335AB3">
        <w:t>-</w:t>
      </w:r>
      <w:r w:rsidR="00DE722E" w:rsidRPr="008858B4">
        <w:t>point font)</w:t>
      </w:r>
      <w:r>
        <w:rPr>
          <w:rFonts w:ascii="Calibri" w:hAnsi="Calibri" w:cs="Calibri"/>
          <w:color w:val="000000"/>
          <w:szCs w:val="24"/>
        </w:rPr>
        <w:t>.</w:t>
      </w:r>
    </w:p>
    <w:p w14:paraId="6C18639F" w14:textId="77777777" w:rsidR="00335AB3" w:rsidRDefault="00335AB3" w:rsidP="00EC2698">
      <w:pPr>
        <w:autoSpaceDE w:val="0"/>
        <w:autoSpaceDN w:val="0"/>
        <w:adjustRightInd w:val="0"/>
        <w:ind w:left="1440"/>
        <w:rPr>
          <w:rFonts w:ascii="Calibri" w:hAnsi="Calibri" w:cs="Calibri"/>
          <w:color w:val="000000"/>
          <w:szCs w:val="24"/>
        </w:rPr>
      </w:pPr>
    </w:p>
    <w:p w14:paraId="0307A4A9" w14:textId="19A86431" w:rsidR="00A93673" w:rsidRDefault="00A93673" w:rsidP="00EC2698">
      <w:pPr>
        <w:autoSpaceDE w:val="0"/>
        <w:autoSpaceDN w:val="0"/>
        <w:adjustRightInd w:val="0"/>
        <w:ind w:left="1440"/>
      </w:pPr>
      <w:bookmarkStart w:id="262" w:name="_Hlk148095148"/>
      <w:r>
        <w:rPr>
          <w:rFonts w:ascii="Calibri" w:hAnsi="Calibri" w:cs="Calibri"/>
          <w:color w:val="000000"/>
          <w:szCs w:val="24"/>
        </w:rPr>
        <w:t>Save the SOPO in a single Microsoft Word file using the following convention for the title “ControlNumber_LeadOrganization_SOPO”.</w:t>
      </w:r>
    </w:p>
    <w:p w14:paraId="7E159E09" w14:textId="610D931D" w:rsidR="006A24B8" w:rsidRPr="008858B4" w:rsidRDefault="006A24B8" w:rsidP="008858B4">
      <w:pPr>
        <w:pStyle w:val="FOATemplateBody"/>
        <w:rPr>
          <w:rFonts w:asciiTheme="minorHAnsi" w:hAnsiTheme="minorHAnsi"/>
        </w:rPr>
      </w:pPr>
    </w:p>
    <w:p w14:paraId="56CD3864" w14:textId="6B52D191" w:rsidR="00360B18" w:rsidRPr="00DC42C4" w:rsidRDefault="00360B18" w:rsidP="00360B18">
      <w:pPr>
        <w:pStyle w:val="FOAHeading3"/>
        <w:numPr>
          <w:ilvl w:val="0"/>
          <w:numId w:val="41"/>
        </w:numPr>
        <w:ind w:left="1440"/>
        <w:outlineLvl w:val="2"/>
      </w:pPr>
      <w:bookmarkStart w:id="263" w:name="_Toc519602353"/>
      <w:bookmarkStart w:id="264" w:name="_Toc176864450"/>
      <w:bookmarkEnd w:id="262"/>
      <w:r w:rsidRPr="00DC42C4">
        <w:t>Diversity, Equity, and Inclusion Pla</w:t>
      </w:r>
      <w:r w:rsidR="003145CF" w:rsidRPr="00DC42C4">
        <w:t>n</w:t>
      </w:r>
      <w:bookmarkEnd w:id="264"/>
    </w:p>
    <w:p w14:paraId="19F936A3" w14:textId="26F89425" w:rsidR="00360B18" w:rsidRDefault="00360B18" w:rsidP="00360B18">
      <w:pPr>
        <w:pStyle w:val="FOATemplateBody"/>
        <w:ind w:left="1440"/>
      </w:pPr>
      <w:r w:rsidRPr="00F10574">
        <w:t xml:space="preserve">As part of the application, applicants are required to describe how diversity, equity, and inclusion objectives will be incorporated in the project. Specifically, applicants are required to submit a Diversity, Equity, and Inclusion Plan that describes the actions the applicant will take </w:t>
      </w:r>
      <w:r w:rsidRPr="00F10574">
        <w:rPr>
          <w:szCs w:val="24"/>
        </w:rPr>
        <w:t>to foster a welcoming and inclusive environment, support people from groups underrepresented in STEM, advance</w:t>
      </w:r>
      <w:r w:rsidRPr="00F10574">
        <w:t xml:space="preserve"> equity, and encourage the inclusion of individuals from these groups in the project; and the extent the project activities will be located in or benefit underserved communities (also see Section I.A.iii</w:t>
      </w:r>
      <w:r>
        <w:t>.</w:t>
      </w:r>
      <w:r w:rsidRPr="00F10574">
        <w:t xml:space="preserve">). The plan should include </w:t>
      </w:r>
      <w:r>
        <w:t xml:space="preserve">at least one </w:t>
      </w:r>
      <w:r w:rsidRPr="00F10574">
        <w:t>SMART milestone</w:t>
      </w:r>
      <w:r>
        <w:t xml:space="preserve"> per Budget Period</w:t>
      </w:r>
      <w:r w:rsidRPr="00F10574">
        <w:t xml:space="preserve"> supported by metrics to measure the success of the proposed actions</w:t>
      </w:r>
      <w:r>
        <w:t xml:space="preserve"> and will be incorporated into the award if selected</w:t>
      </w:r>
      <w:r w:rsidRPr="00F10574">
        <w:t xml:space="preserve">. </w:t>
      </w:r>
      <w:r>
        <w:t>The Diversity, Equity, and Inclusion Plan should contain the following information:</w:t>
      </w:r>
    </w:p>
    <w:p w14:paraId="08B1CAAF" w14:textId="77777777" w:rsidR="00360B18" w:rsidRDefault="00360B18" w:rsidP="00360B18">
      <w:pPr>
        <w:pStyle w:val="FOATemplateBody"/>
        <w:numPr>
          <w:ilvl w:val="2"/>
          <w:numId w:val="102"/>
        </w:numPr>
        <w:ind w:left="1800"/>
      </w:pPr>
      <w:r>
        <w:t>Equity Impacts: the impacts of the proposed project on underserved communities, including social and environmental impacts.</w:t>
      </w:r>
    </w:p>
    <w:p w14:paraId="27B94948" w14:textId="77777777" w:rsidR="00360B18" w:rsidRDefault="00360B18" w:rsidP="00360B18">
      <w:pPr>
        <w:pStyle w:val="FOATemplateBody"/>
        <w:numPr>
          <w:ilvl w:val="2"/>
          <w:numId w:val="102"/>
        </w:numPr>
        <w:ind w:left="1800"/>
      </w:pPr>
      <w:r>
        <w:t>Benefits: The overall benefits of the proposed project, if funded, to underserved communities; and</w:t>
      </w:r>
    </w:p>
    <w:p w14:paraId="0A3D215B" w14:textId="77777777" w:rsidR="00360B18" w:rsidRPr="00F10574" w:rsidRDefault="00360B18" w:rsidP="00360B18">
      <w:pPr>
        <w:pStyle w:val="FOATemplateBody"/>
        <w:numPr>
          <w:ilvl w:val="2"/>
          <w:numId w:val="102"/>
        </w:numPr>
        <w:ind w:left="1800"/>
      </w:pPr>
      <w:r>
        <w:t>How diversity, equity, and inclusion objectives will be incorporated in the project.</w:t>
      </w:r>
    </w:p>
    <w:p w14:paraId="66355D7F" w14:textId="77777777" w:rsidR="00360B18" w:rsidRPr="00F10574" w:rsidRDefault="00360B18" w:rsidP="00360B18"/>
    <w:p w14:paraId="2850CF3E" w14:textId="77777777" w:rsidR="00360B18" w:rsidRPr="00F10574" w:rsidRDefault="00360B18" w:rsidP="00360B18">
      <w:pPr>
        <w:ind w:left="1440"/>
        <w:rPr>
          <w:rFonts w:ascii="Calibri" w:eastAsiaTheme="minorHAnsi" w:hAnsi="Calibri" w:cstheme="minorBidi"/>
          <w:szCs w:val="22"/>
        </w:rPr>
      </w:pPr>
      <w:r w:rsidRPr="00F10574">
        <w:rPr>
          <w:rFonts w:ascii="Calibri" w:eastAsiaTheme="minorHAnsi" w:hAnsi="Calibri" w:cstheme="minorBidi"/>
          <w:szCs w:val="22"/>
        </w:rPr>
        <w:t>The following is a non-exhaustive list of actions that can serve as examples of ways the proposed project could incorporate diversity, equity, and inclusion elements. These examples should not be considered either comprehensive or prescriptive. Applicants may include appropriate actions not covered by these examples.</w:t>
      </w:r>
    </w:p>
    <w:p w14:paraId="3F2B4BE6" w14:textId="77777777" w:rsidR="00360B18" w:rsidRPr="00F10574" w:rsidRDefault="00360B18" w:rsidP="00360B18">
      <w:pPr>
        <w:ind w:left="1440"/>
        <w:rPr>
          <w:rFonts w:ascii="Calibri" w:eastAsiaTheme="minorHAnsi" w:hAnsi="Calibri" w:cstheme="minorBidi"/>
          <w:szCs w:val="22"/>
        </w:rPr>
      </w:pPr>
    </w:p>
    <w:p w14:paraId="7B0B903E"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Include persons from groups underrepresented in STEM as PI, co-PI, and/or other senior personnel;</w:t>
      </w:r>
    </w:p>
    <w:p w14:paraId="05A984A0"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Include persons from groups underrepresented in STEM as student researchers or post-doctoral researchers;</w:t>
      </w:r>
    </w:p>
    <w:p w14:paraId="5351A964"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Include faculty or students from Minority Serving Institutions as PI/co-PI, senior personnel, and/or student researchers, as applicable;</w:t>
      </w:r>
    </w:p>
    <w:p w14:paraId="7EDC552A"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 xml:space="preserve">Enhance or collaborate with existing diversity programs at your home organization and/or nearby organizations; </w:t>
      </w:r>
    </w:p>
    <w:p w14:paraId="65BC256A"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Collaborate with students, researchers, and staff in Minority Serving Institutions;</w:t>
      </w:r>
    </w:p>
    <w:p w14:paraId="7DF448C4"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Disseminate results of research and development in Minority Serving Institutions or other appropriate institutions serving underserved communities;</w:t>
      </w:r>
    </w:p>
    <w:p w14:paraId="1F9891AC"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Implement evidence-based, diversity-focused education programs (such as implicit bias training for staff) in your organization;</w:t>
      </w:r>
    </w:p>
    <w:p w14:paraId="3B1940BC" w14:textId="77777777" w:rsidR="00360B18" w:rsidRPr="00F10574" w:rsidRDefault="00360B18" w:rsidP="00360B18">
      <w:pPr>
        <w:numPr>
          <w:ilvl w:val="1"/>
          <w:numId w:val="30"/>
        </w:numPr>
        <w:ind w:left="1800"/>
        <w:rPr>
          <w:rFonts w:ascii="Calibri" w:eastAsiaTheme="minorHAnsi" w:hAnsi="Calibri" w:cstheme="minorBidi"/>
          <w:szCs w:val="22"/>
        </w:rPr>
      </w:pPr>
      <w:r w:rsidRPr="00F10574">
        <w:rPr>
          <w:rFonts w:ascii="Calibri" w:eastAsiaTheme="minorHAnsi" w:hAnsi="Calibri" w:cstheme="minorBidi"/>
          <w:szCs w:val="22"/>
        </w:rPr>
        <w:t>Identify Minority Business Enterprises, Minority Owned Businesses, Woman Owned Businesses and Veteran Owned Businesses to solicit as vendors and sub-contractors for bids on supplies, services and equipment.</w:t>
      </w:r>
    </w:p>
    <w:p w14:paraId="52D5508D" w14:textId="77777777" w:rsidR="00360B18" w:rsidRPr="00F10574" w:rsidRDefault="00360B18" w:rsidP="00360B18">
      <w:pPr>
        <w:rPr>
          <w:rFonts w:ascii="Calibri" w:eastAsiaTheme="minorHAnsi" w:hAnsi="Calibri" w:cstheme="minorBidi"/>
          <w:szCs w:val="22"/>
        </w:rPr>
      </w:pPr>
    </w:p>
    <w:p w14:paraId="5C800C69" w14:textId="573F5C9E" w:rsidR="00360B18" w:rsidRDefault="00360B18" w:rsidP="00360B18">
      <w:pPr>
        <w:autoSpaceDE w:val="0"/>
        <w:autoSpaceDN w:val="0"/>
        <w:adjustRightInd w:val="0"/>
        <w:ind w:left="1440"/>
        <w:rPr>
          <w:rFonts w:ascii="Calibri" w:eastAsiaTheme="minorHAnsi" w:hAnsi="Calibri" w:cstheme="minorBidi"/>
          <w:szCs w:val="22"/>
        </w:rPr>
      </w:pPr>
      <w:r>
        <w:rPr>
          <w:rFonts w:ascii="Calibri" w:hAnsi="Calibri" w:cs="Calibri"/>
          <w:color w:val="000000"/>
          <w:szCs w:val="24"/>
        </w:rPr>
        <w:t xml:space="preserve">The Diversity, Equity, and Inclusion Plan must not exceed </w:t>
      </w:r>
      <w:r w:rsidR="00433760" w:rsidRPr="008B0D95">
        <w:rPr>
          <w:rFonts w:ascii="Calibri" w:hAnsi="Calibri" w:cs="Calibri"/>
        </w:rPr>
        <w:t>5</w:t>
      </w:r>
      <w:r>
        <w:rPr>
          <w:rFonts w:ascii="Calibri" w:hAnsi="Calibri" w:cs="Calibri"/>
          <w:color w:val="000000"/>
          <w:szCs w:val="24"/>
        </w:rPr>
        <w:t xml:space="preserve"> pages. </w:t>
      </w:r>
      <w:r w:rsidRPr="00F10574">
        <w:rPr>
          <w:rFonts w:ascii="Calibri" w:eastAsiaTheme="minorHAnsi" w:hAnsi="Calibri" w:cstheme="minorBidi"/>
          <w:szCs w:val="22"/>
        </w:rPr>
        <w:t xml:space="preserve">Save the Diversity, Equity and Inclusion Plan in a single PDF file </w:t>
      </w:r>
      <w:r w:rsidRPr="00F10574">
        <w:rPr>
          <w:rFonts w:ascii="Calibri" w:eastAsiaTheme="minorHAnsi" w:hAnsi="Calibri"/>
          <w:color w:val="000000"/>
        </w:rPr>
        <w:t>using the following convention for the title “ControlNumber_LeadOrganization_DEIP”</w:t>
      </w:r>
      <w:r w:rsidRPr="00F10574">
        <w:rPr>
          <w:rFonts w:ascii="Calibri" w:eastAsiaTheme="minorHAnsi" w:hAnsi="Calibri" w:cstheme="minorBidi"/>
          <w:szCs w:val="22"/>
        </w:rPr>
        <w:t>.</w:t>
      </w:r>
    </w:p>
    <w:p w14:paraId="3768F428" w14:textId="77777777" w:rsidR="00360B18" w:rsidRDefault="00360B18" w:rsidP="00360B18">
      <w:pPr>
        <w:autoSpaceDE w:val="0"/>
        <w:autoSpaceDN w:val="0"/>
        <w:adjustRightInd w:val="0"/>
        <w:ind w:left="1440"/>
        <w:rPr>
          <w:rFonts w:ascii="Calibri" w:eastAsiaTheme="minorHAnsi" w:hAnsi="Calibri" w:cstheme="minorBidi"/>
          <w:szCs w:val="22"/>
        </w:rPr>
      </w:pPr>
    </w:p>
    <w:p w14:paraId="3432693C" w14:textId="77777777" w:rsidR="006A24B8" w:rsidRPr="00872882" w:rsidRDefault="004E672B" w:rsidP="004D5367">
      <w:pPr>
        <w:pStyle w:val="FOAHeading3"/>
        <w:numPr>
          <w:ilvl w:val="0"/>
          <w:numId w:val="41"/>
        </w:numPr>
        <w:ind w:left="1440"/>
        <w:outlineLvl w:val="2"/>
      </w:pPr>
      <w:bookmarkStart w:id="265" w:name="_Toc176864451"/>
      <w:r w:rsidRPr="00C72CE2">
        <w:t>Budget Justification Workbook</w:t>
      </w:r>
      <w:bookmarkEnd w:id="265"/>
      <w:r w:rsidRPr="00C72CE2">
        <w:t xml:space="preserve"> </w:t>
      </w:r>
      <w:bookmarkEnd w:id="263"/>
    </w:p>
    <w:p w14:paraId="2DC66198" w14:textId="04F2D6D5" w:rsidR="00335AB3" w:rsidRDefault="00B96293" w:rsidP="00AC3873">
      <w:pPr>
        <w:autoSpaceDE w:val="0"/>
        <w:autoSpaceDN w:val="0"/>
        <w:adjustRightInd w:val="0"/>
        <w:ind w:left="1440"/>
        <w:rPr>
          <w:rFonts w:ascii="Calibri" w:hAnsi="Calibri" w:cs="Calibri"/>
          <w:color w:val="000000"/>
          <w:szCs w:val="24"/>
        </w:rPr>
      </w:pPr>
      <w:r>
        <w:rPr>
          <w:rFonts w:ascii="Calibri" w:hAnsi="Calibri" w:cs="Calibri"/>
          <w:color w:val="000000"/>
          <w:szCs w:val="24"/>
        </w:rPr>
        <w:t xml:space="preserve">Applicants </w:t>
      </w:r>
      <w:r w:rsidR="00335AB3">
        <w:rPr>
          <w:rFonts w:ascii="Calibri" w:hAnsi="Calibri" w:cs="Calibri"/>
          <w:color w:val="000000"/>
          <w:szCs w:val="24"/>
        </w:rPr>
        <w:t>must</w:t>
      </w:r>
      <w:r>
        <w:rPr>
          <w:rFonts w:ascii="Calibri" w:hAnsi="Calibri" w:cs="Calibri"/>
          <w:color w:val="000000"/>
          <w:szCs w:val="24"/>
        </w:rPr>
        <w:t xml:space="preserve"> complete the Budget Justification Workbook</w:t>
      </w:r>
      <w:r w:rsidR="00335AB3">
        <w:rPr>
          <w:rFonts w:ascii="Calibri" w:hAnsi="Calibri" w:cs="Calibri"/>
          <w:color w:val="000000"/>
          <w:szCs w:val="24"/>
        </w:rPr>
        <w:t>,</w:t>
      </w:r>
      <w:r>
        <w:rPr>
          <w:rFonts w:ascii="Calibri" w:hAnsi="Calibri" w:cs="Calibri"/>
          <w:color w:val="000000"/>
          <w:szCs w:val="24"/>
        </w:rPr>
        <w:t xml:space="preserve"> </w:t>
      </w:r>
      <w:r w:rsidR="000E4202">
        <w:rPr>
          <w:rFonts w:ascii="Calibri" w:hAnsi="Calibri" w:cs="Calibri"/>
          <w:color w:val="000000"/>
          <w:szCs w:val="24"/>
        </w:rPr>
        <w:t xml:space="preserve">which is </w:t>
      </w:r>
      <w:r>
        <w:rPr>
          <w:rFonts w:ascii="Calibri" w:hAnsi="Calibri" w:cs="Calibri"/>
          <w:color w:val="000000"/>
          <w:szCs w:val="24"/>
        </w:rPr>
        <w:t xml:space="preserve">available </w:t>
      </w:r>
      <w:bookmarkStart w:id="266" w:name="_Hlk148095499"/>
      <w:r w:rsidR="008C5B2A">
        <w:t>on</w:t>
      </w:r>
      <w:r w:rsidR="00335AB3">
        <w:t xml:space="preserve"> </w:t>
      </w:r>
      <w:hyperlink r:id="rId33" w:history="1">
        <w:r w:rsidR="00335AB3">
          <w:rPr>
            <w:rStyle w:val="Hyperlink"/>
          </w:rPr>
          <w:t>EERE Funding Application and Management Forms</w:t>
        </w:r>
      </w:hyperlink>
      <w:r w:rsidR="00B30F0A">
        <w:rPr>
          <w:rStyle w:val="Hyperlink"/>
        </w:rPr>
        <w:t xml:space="preserve"> and </w:t>
      </w:r>
      <w:bookmarkEnd w:id="266"/>
      <w:r>
        <w:rPr>
          <w:rFonts w:ascii="Calibri" w:hAnsi="Calibri" w:cs="Calibri"/>
          <w:color w:val="000000"/>
          <w:szCs w:val="24"/>
        </w:rPr>
        <w:t xml:space="preserve">on EERE </w:t>
      </w:r>
      <w:r w:rsidR="00D615E8">
        <w:rPr>
          <w:rFonts w:ascii="Calibri" w:hAnsi="Calibri" w:cs="Calibri"/>
          <w:color w:val="000000"/>
          <w:szCs w:val="24"/>
        </w:rPr>
        <w:t>eXCHANGE</w:t>
      </w:r>
      <w:r>
        <w:rPr>
          <w:rFonts w:ascii="Calibri" w:hAnsi="Calibri" w:cs="Calibri"/>
          <w:color w:val="000000"/>
          <w:szCs w:val="24"/>
        </w:rPr>
        <w:t xml:space="preserve"> at </w:t>
      </w:r>
      <w:hyperlink r:id="rId34" w:history="1">
        <w:r w:rsidR="00D615E8">
          <w:rPr>
            <w:rStyle w:val="Hyperlink"/>
            <w:rFonts w:ascii="Calibri" w:hAnsi="Calibri" w:cs="Calibri"/>
            <w:szCs w:val="24"/>
          </w:rPr>
          <w:t>https://eere-eXCHANGE.energy.gov</w:t>
        </w:r>
        <w:r w:rsidRPr="00B96293">
          <w:rPr>
            <w:rStyle w:val="Hyperlink"/>
            <w:rFonts w:ascii="Calibri" w:hAnsi="Calibri" w:cs="Calibri"/>
            <w:szCs w:val="24"/>
          </w:rPr>
          <w:t>/</w:t>
        </w:r>
      </w:hyperlink>
      <w:r>
        <w:rPr>
          <w:rFonts w:ascii="Calibri" w:hAnsi="Calibri" w:cs="Calibri"/>
          <w:color w:val="000000"/>
          <w:szCs w:val="24"/>
        </w:rPr>
        <w:t xml:space="preserve">. </w:t>
      </w:r>
      <w:r w:rsidR="00335AB3">
        <w:rPr>
          <w:rFonts w:ascii="Calibri" w:hAnsi="Calibri" w:cs="Calibri"/>
          <w:color w:val="000000"/>
          <w:szCs w:val="24"/>
        </w:rPr>
        <w:t>Applicants</w:t>
      </w:r>
      <w:r>
        <w:rPr>
          <w:rFonts w:ascii="Calibri" w:hAnsi="Calibri" w:cs="Calibri"/>
          <w:color w:val="000000"/>
          <w:szCs w:val="24"/>
        </w:rPr>
        <w:t xml:space="preserve"> must complete each tab of the Budget Justification Workbook for the</w:t>
      </w:r>
      <w:r w:rsidR="003E220B">
        <w:rPr>
          <w:rFonts w:ascii="Calibri" w:hAnsi="Calibri" w:cs="Calibri"/>
          <w:color w:val="000000"/>
          <w:szCs w:val="24"/>
        </w:rPr>
        <w:t xml:space="preserve"> </w:t>
      </w:r>
      <w:r>
        <w:rPr>
          <w:rFonts w:ascii="Calibri" w:hAnsi="Calibri" w:cs="Calibri"/>
          <w:color w:val="000000"/>
          <w:szCs w:val="24"/>
        </w:rPr>
        <w:t>project, including all work to be performed by the prime recipient and</w:t>
      </w:r>
      <w:r w:rsidR="003E220B">
        <w:rPr>
          <w:rFonts w:ascii="Calibri" w:hAnsi="Calibri" w:cs="Calibri"/>
          <w:color w:val="000000"/>
          <w:szCs w:val="24"/>
        </w:rPr>
        <w:t xml:space="preserve"> </w:t>
      </w:r>
      <w:r>
        <w:rPr>
          <w:rFonts w:ascii="Calibri" w:hAnsi="Calibri" w:cs="Calibri"/>
          <w:color w:val="000000"/>
          <w:szCs w:val="24"/>
        </w:rPr>
        <w:t>its subrecipients and contractors. Applicants should include costs associated with</w:t>
      </w:r>
      <w:r w:rsidR="003E220B">
        <w:rPr>
          <w:rFonts w:ascii="Calibri" w:hAnsi="Calibri" w:cs="Calibri"/>
          <w:color w:val="000000"/>
          <w:szCs w:val="24"/>
        </w:rPr>
        <w:t xml:space="preserve"> </w:t>
      </w:r>
      <w:r>
        <w:rPr>
          <w:rFonts w:ascii="Calibri" w:hAnsi="Calibri" w:cs="Calibri"/>
          <w:color w:val="000000"/>
          <w:szCs w:val="24"/>
        </w:rPr>
        <w:t>required annual audits and incurred cost proposals in their proposed budget</w:t>
      </w:r>
      <w:r w:rsidR="003E220B">
        <w:rPr>
          <w:rFonts w:ascii="Calibri" w:hAnsi="Calibri" w:cs="Calibri"/>
          <w:color w:val="000000"/>
          <w:szCs w:val="24"/>
        </w:rPr>
        <w:t xml:space="preserve"> </w:t>
      </w:r>
      <w:r>
        <w:rPr>
          <w:rFonts w:ascii="Calibri" w:hAnsi="Calibri" w:cs="Calibri"/>
          <w:color w:val="000000"/>
          <w:szCs w:val="24"/>
        </w:rPr>
        <w:t>documents. The “Instructions and Summary” included with the Budget</w:t>
      </w:r>
      <w:r w:rsidR="003E220B">
        <w:rPr>
          <w:rFonts w:ascii="Calibri" w:hAnsi="Calibri" w:cs="Calibri"/>
          <w:color w:val="000000"/>
          <w:szCs w:val="24"/>
        </w:rPr>
        <w:t xml:space="preserve"> </w:t>
      </w:r>
      <w:r>
        <w:rPr>
          <w:rFonts w:ascii="Calibri" w:hAnsi="Calibri" w:cs="Calibri"/>
          <w:color w:val="000000"/>
          <w:szCs w:val="24"/>
        </w:rPr>
        <w:t>Justification Workbook will auto-populate as the applicant enters information</w:t>
      </w:r>
      <w:r w:rsidR="003E220B">
        <w:rPr>
          <w:rFonts w:ascii="Calibri" w:hAnsi="Calibri" w:cs="Calibri"/>
          <w:color w:val="000000"/>
          <w:szCs w:val="24"/>
        </w:rPr>
        <w:t xml:space="preserve"> </w:t>
      </w:r>
      <w:r>
        <w:rPr>
          <w:rFonts w:ascii="Calibri" w:hAnsi="Calibri" w:cs="Calibri"/>
          <w:color w:val="000000"/>
          <w:szCs w:val="24"/>
        </w:rPr>
        <w:t>into the Workbook. Applicants must carefully read the “Instructions and</w:t>
      </w:r>
      <w:r w:rsidR="003E220B">
        <w:rPr>
          <w:rFonts w:ascii="Calibri" w:hAnsi="Calibri" w:cs="Calibri"/>
          <w:color w:val="000000"/>
          <w:szCs w:val="24"/>
        </w:rPr>
        <w:t xml:space="preserve"> </w:t>
      </w:r>
      <w:r>
        <w:rPr>
          <w:rFonts w:ascii="Calibri" w:hAnsi="Calibri" w:cs="Calibri"/>
          <w:color w:val="000000"/>
          <w:szCs w:val="24"/>
        </w:rPr>
        <w:t>Summary” tab provided within the Budget Justification Workbook.</w:t>
      </w:r>
    </w:p>
    <w:p w14:paraId="6F58F9C0" w14:textId="77777777" w:rsidR="00335AB3" w:rsidRDefault="00335AB3" w:rsidP="00AC3873">
      <w:pPr>
        <w:autoSpaceDE w:val="0"/>
        <w:autoSpaceDN w:val="0"/>
        <w:adjustRightInd w:val="0"/>
        <w:ind w:left="1440"/>
        <w:rPr>
          <w:rFonts w:ascii="Calibri" w:hAnsi="Calibri" w:cs="Calibri"/>
          <w:color w:val="000000"/>
          <w:szCs w:val="24"/>
        </w:rPr>
      </w:pPr>
    </w:p>
    <w:p w14:paraId="35F081B7" w14:textId="31B106A7" w:rsidR="00B96293" w:rsidRDefault="00B96293" w:rsidP="00AC3873">
      <w:pPr>
        <w:autoSpaceDE w:val="0"/>
        <w:autoSpaceDN w:val="0"/>
        <w:adjustRightInd w:val="0"/>
        <w:ind w:left="1440"/>
      </w:pPr>
      <w:r>
        <w:rPr>
          <w:rFonts w:ascii="Calibri" w:hAnsi="Calibri" w:cs="Calibri"/>
          <w:color w:val="000000"/>
          <w:szCs w:val="24"/>
        </w:rPr>
        <w:lastRenderedPageBreak/>
        <w:t>Save the</w:t>
      </w:r>
      <w:r w:rsidR="003E220B">
        <w:rPr>
          <w:rFonts w:ascii="Calibri" w:hAnsi="Calibri" w:cs="Calibri"/>
          <w:color w:val="000000"/>
          <w:szCs w:val="24"/>
        </w:rPr>
        <w:t xml:space="preserve"> </w:t>
      </w:r>
      <w:r>
        <w:rPr>
          <w:rFonts w:ascii="Calibri" w:hAnsi="Calibri" w:cs="Calibri"/>
          <w:color w:val="000000"/>
          <w:szCs w:val="24"/>
        </w:rPr>
        <w:t>Budget Justification Workbook in a single Microsoft Excel file using the following</w:t>
      </w:r>
      <w:r w:rsidR="003E220B">
        <w:rPr>
          <w:rFonts w:ascii="Calibri" w:hAnsi="Calibri" w:cs="Calibri"/>
          <w:color w:val="000000"/>
          <w:szCs w:val="24"/>
        </w:rPr>
        <w:t xml:space="preserve"> </w:t>
      </w:r>
      <w:r>
        <w:rPr>
          <w:rFonts w:ascii="Calibri" w:hAnsi="Calibri" w:cs="Calibri"/>
          <w:color w:val="000000"/>
          <w:szCs w:val="24"/>
        </w:rPr>
        <w:t>convention for the title</w:t>
      </w:r>
      <w:r w:rsidR="003E220B">
        <w:rPr>
          <w:rFonts w:ascii="Calibri" w:hAnsi="Calibri" w:cs="Calibri"/>
          <w:color w:val="000000"/>
          <w:szCs w:val="24"/>
        </w:rPr>
        <w:t xml:space="preserve"> </w:t>
      </w:r>
      <w:r w:rsidRPr="00B96293">
        <w:rPr>
          <w:rFonts w:ascii="Calibri" w:hAnsi="Calibri" w:cs="Calibri"/>
          <w:color w:val="000000"/>
          <w:szCs w:val="24"/>
        </w:rPr>
        <w:t>“ControlNumber_LeadOrganization_Budget_Justification”.</w:t>
      </w:r>
    </w:p>
    <w:p w14:paraId="1AEF6FA9" w14:textId="5A34DE5C" w:rsidR="006A24B8" w:rsidRPr="008858B4" w:rsidRDefault="006A24B8" w:rsidP="008858B4"/>
    <w:p w14:paraId="6E9B730B" w14:textId="2002FA63" w:rsidR="006A24B8" w:rsidRPr="00872882" w:rsidRDefault="004E672B" w:rsidP="004D5367">
      <w:pPr>
        <w:pStyle w:val="FOAHeading3"/>
        <w:numPr>
          <w:ilvl w:val="0"/>
          <w:numId w:val="41"/>
        </w:numPr>
        <w:ind w:left="1440"/>
        <w:outlineLvl w:val="2"/>
      </w:pPr>
      <w:bookmarkStart w:id="267" w:name="_Toc519602354"/>
      <w:bookmarkStart w:id="268" w:name="_Toc176864452"/>
      <w:r w:rsidRPr="00C72CE2">
        <w:t>Summary for Public Release</w:t>
      </w:r>
      <w:bookmarkEnd w:id="267"/>
      <w:bookmarkEnd w:id="268"/>
    </w:p>
    <w:p w14:paraId="3B134DB1" w14:textId="36090EF0" w:rsidR="00335AB3" w:rsidRDefault="004E672B" w:rsidP="00A53BBC">
      <w:pPr>
        <w:ind w:left="1440"/>
      </w:pPr>
      <w:r w:rsidRPr="008858B4">
        <w:t xml:space="preserve">Applicants </w:t>
      </w:r>
      <w:r w:rsidR="00335AB3">
        <w:t>must</w:t>
      </w:r>
      <w:r w:rsidRPr="008858B4">
        <w:t xml:space="preserve"> submit a</w:t>
      </w:r>
      <w:r w:rsidR="001B772D">
        <w:t xml:space="preserve"> one-page</w:t>
      </w:r>
      <w:r w:rsidRPr="008858B4">
        <w:t xml:space="preserve"> summary of their project</w:t>
      </w:r>
      <w:r w:rsidR="00335AB3">
        <w:t xml:space="preserve"> that is</w:t>
      </w:r>
      <w:r w:rsidRPr="008858B4">
        <w:t xml:space="preserve"> suitable for dissemination to the public. It should be a self-contained document that identifies the name of the applicant, the project director/principal investigator(s), the project title, the objectives of the project, a description of the project, including methods to be employed, the potential impact of the project (e.g., benefits, outcomes), and major participants (for collaborative projects). This document must not include any proprietary or </w:t>
      </w:r>
      <w:r w:rsidR="00DA2AF3" w:rsidRPr="008858B4">
        <w:t>business</w:t>
      </w:r>
      <w:r w:rsidR="00DA2AF3">
        <w:t>-</w:t>
      </w:r>
      <w:r w:rsidRPr="008858B4">
        <w:t>sensitive information as DOE may make it available to the public after selections are made.</w:t>
      </w:r>
      <w:r w:rsidR="004D01F2">
        <w:t xml:space="preserve"> </w:t>
      </w:r>
      <w:r w:rsidRPr="008858B4">
        <w:t xml:space="preserve">The </w:t>
      </w:r>
      <w:r w:rsidR="004D01F2">
        <w:t>summary must not exceed</w:t>
      </w:r>
      <w:r w:rsidR="001B772D">
        <w:t xml:space="preserve"> </w:t>
      </w:r>
      <w:r w:rsidR="00DA2AF3">
        <w:t>one</w:t>
      </w:r>
      <w:r w:rsidR="001B772D">
        <w:t xml:space="preserve"> page </w:t>
      </w:r>
      <w:r w:rsidRPr="008858B4">
        <w:t>when printed using standard 8.5</w:t>
      </w:r>
      <w:r w:rsidR="00B30F0A">
        <w:t>”</w:t>
      </w:r>
      <w:r w:rsidRPr="008858B4">
        <w:t xml:space="preserve"> x 11</w:t>
      </w:r>
      <w:r w:rsidR="00B30F0A">
        <w:t>”</w:t>
      </w:r>
      <w:r w:rsidRPr="008858B4">
        <w:t xml:space="preserve"> paper with 1” margins (top, bottom, left, and right) with font not smaller than 12</w:t>
      </w:r>
      <w:r w:rsidR="00335AB3">
        <w:t>-</w:t>
      </w:r>
      <w:r w:rsidRPr="008858B4">
        <w:t>point.</w:t>
      </w:r>
    </w:p>
    <w:p w14:paraId="77D2CF23" w14:textId="77777777" w:rsidR="00335AB3" w:rsidRDefault="00335AB3" w:rsidP="00A53BBC">
      <w:pPr>
        <w:ind w:left="1440"/>
      </w:pPr>
    </w:p>
    <w:p w14:paraId="2FEA87AA" w14:textId="6AB9DFFD" w:rsidR="008626AF" w:rsidRDefault="004E672B" w:rsidP="00A53BBC">
      <w:pPr>
        <w:ind w:left="1440"/>
      </w:pPr>
      <w:r w:rsidRPr="008858B4">
        <w:t xml:space="preserve">Save the Summary for Public Release in a single </w:t>
      </w:r>
      <w:r w:rsidR="00405796">
        <w:t xml:space="preserve">PDF </w:t>
      </w:r>
      <w:r w:rsidRPr="008858B4">
        <w:t>file</w:t>
      </w:r>
      <w:r w:rsidR="00405796">
        <w:t xml:space="preserve"> </w:t>
      </w:r>
      <w:r w:rsidR="00405796">
        <w:rPr>
          <w:rFonts w:ascii="Calibri" w:hAnsi="Calibri" w:cs="Calibri"/>
          <w:color w:val="000000"/>
          <w:szCs w:val="24"/>
        </w:rPr>
        <w:t>using the following convention for the title “ControlNumber_LeadOrganization_</w:t>
      </w:r>
      <w:r w:rsidR="005E2146">
        <w:rPr>
          <w:rFonts w:ascii="Calibri" w:hAnsi="Calibri" w:cs="Calibri"/>
          <w:color w:val="000000"/>
          <w:szCs w:val="24"/>
        </w:rPr>
        <w:t>Summary</w:t>
      </w:r>
      <w:r w:rsidR="00405796">
        <w:rPr>
          <w:rFonts w:ascii="Calibri" w:hAnsi="Calibri" w:cs="Calibri"/>
          <w:color w:val="000000"/>
          <w:szCs w:val="24"/>
        </w:rPr>
        <w:t>”</w:t>
      </w:r>
      <w:r w:rsidR="00405796">
        <w:t>.</w:t>
      </w:r>
    </w:p>
    <w:p w14:paraId="03F3BB61" w14:textId="5CF21272" w:rsidR="00CC35E3" w:rsidRPr="008858B4" w:rsidRDefault="00CC35E3" w:rsidP="008858B4"/>
    <w:p w14:paraId="386838D4" w14:textId="77777777" w:rsidR="006A24B8" w:rsidRPr="00872882" w:rsidRDefault="004E672B" w:rsidP="004D5367">
      <w:pPr>
        <w:pStyle w:val="FOAHeading3"/>
        <w:numPr>
          <w:ilvl w:val="0"/>
          <w:numId w:val="41"/>
        </w:numPr>
        <w:ind w:left="1440"/>
        <w:outlineLvl w:val="2"/>
      </w:pPr>
      <w:bookmarkStart w:id="269" w:name="_Toc519602355"/>
      <w:bookmarkStart w:id="270" w:name="_Toc176864453"/>
      <w:r w:rsidRPr="00C72CE2">
        <w:t>Summary Slide</w:t>
      </w:r>
      <w:bookmarkEnd w:id="269"/>
      <w:bookmarkEnd w:id="270"/>
    </w:p>
    <w:p w14:paraId="1469D257" w14:textId="6D5FB327" w:rsidR="00335AB3" w:rsidRDefault="00335AB3" w:rsidP="00335AB3">
      <w:pPr>
        <w:ind w:left="1440"/>
      </w:pPr>
      <w:r>
        <w:t xml:space="preserve">Applicants must provide </w:t>
      </w:r>
      <w:r w:rsidRPr="009218EA">
        <w:t>a</w:t>
      </w:r>
      <w:r>
        <w:t xml:space="preserve"> single</w:t>
      </w:r>
      <w:r w:rsidRPr="009218EA">
        <w:t xml:space="preserve"> slide summarizing the proposed project. </w:t>
      </w:r>
      <w:r w:rsidRPr="008858B4">
        <w:t xml:space="preserve">The Summary Slide template </w:t>
      </w:r>
      <w:r>
        <w:t xml:space="preserve">is </w:t>
      </w:r>
      <w:r w:rsidRPr="00F51A4A">
        <w:rPr>
          <w:rFonts w:ascii="Calibri" w:hAnsi="Calibri" w:cs="Calibri"/>
          <w:color w:val="000000"/>
        </w:rPr>
        <w:t xml:space="preserve">available on EERE eXCHANGE at </w:t>
      </w:r>
      <w:hyperlink r:id="rId35" w:history="1">
        <w:r w:rsidRPr="00F51A4A">
          <w:rPr>
            <w:rStyle w:val="Hyperlink"/>
            <w:rFonts w:ascii="Calibri" w:hAnsi="Calibri" w:cs="Calibri"/>
          </w:rPr>
          <w:t>https://eere-eXCHANGE.energy.gov/</w:t>
        </w:r>
      </w:hyperlink>
      <w:r>
        <w:t xml:space="preserve"> and must include</w:t>
      </w:r>
      <w:r w:rsidRPr="008858B4">
        <w:t xml:space="preserve"> the following information:</w:t>
      </w:r>
    </w:p>
    <w:p w14:paraId="2E852146" w14:textId="77777777" w:rsidR="00335AB3" w:rsidRPr="008858B4" w:rsidRDefault="00335AB3" w:rsidP="00335AB3">
      <w:pPr>
        <w:ind w:left="1440"/>
      </w:pPr>
    </w:p>
    <w:p w14:paraId="1949D9AD" w14:textId="77777777" w:rsidR="006A24B8" w:rsidRDefault="004E672B" w:rsidP="00324F39">
      <w:pPr>
        <w:pStyle w:val="ListParagraph"/>
        <w:numPr>
          <w:ilvl w:val="0"/>
          <w:numId w:val="12"/>
        </w:numPr>
        <w:ind w:left="1800"/>
      </w:pPr>
      <w:r w:rsidRPr="008858B4">
        <w:t xml:space="preserve">A technology </w:t>
      </w:r>
      <w:r w:rsidR="00E2093D">
        <w:t>s</w:t>
      </w:r>
      <w:r w:rsidRPr="008858B4">
        <w:t>ummary;</w:t>
      </w:r>
    </w:p>
    <w:p w14:paraId="4233C9EE" w14:textId="4F7455B2" w:rsidR="00DF4767" w:rsidRPr="008858B4" w:rsidRDefault="00DF4767" w:rsidP="00324F39">
      <w:pPr>
        <w:pStyle w:val="ListParagraph"/>
        <w:numPr>
          <w:ilvl w:val="0"/>
          <w:numId w:val="12"/>
        </w:numPr>
        <w:ind w:left="1800"/>
      </w:pPr>
      <w:r>
        <w:t>Project location (location of work);</w:t>
      </w:r>
    </w:p>
    <w:p w14:paraId="41308E0D" w14:textId="77777777" w:rsidR="006A24B8" w:rsidRPr="008858B4" w:rsidRDefault="004E672B" w:rsidP="00324F39">
      <w:pPr>
        <w:pStyle w:val="ListParagraph"/>
        <w:numPr>
          <w:ilvl w:val="0"/>
          <w:numId w:val="12"/>
        </w:numPr>
        <w:ind w:left="1800"/>
      </w:pPr>
      <w:r w:rsidRPr="008858B4">
        <w:t>A description of the technology’s impact;</w:t>
      </w:r>
    </w:p>
    <w:p w14:paraId="7EC65825" w14:textId="77777777" w:rsidR="006A24B8" w:rsidRPr="008858B4" w:rsidRDefault="004E672B" w:rsidP="00324F39">
      <w:pPr>
        <w:pStyle w:val="ListParagraph"/>
        <w:numPr>
          <w:ilvl w:val="0"/>
          <w:numId w:val="12"/>
        </w:numPr>
        <w:ind w:left="1800"/>
      </w:pPr>
      <w:r w:rsidRPr="008858B4">
        <w:t>Proposed project goals;</w:t>
      </w:r>
    </w:p>
    <w:p w14:paraId="1A3071F7" w14:textId="77777777" w:rsidR="006A24B8" w:rsidRPr="008858B4" w:rsidRDefault="004E672B" w:rsidP="00324F39">
      <w:pPr>
        <w:pStyle w:val="ListParagraph"/>
        <w:numPr>
          <w:ilvl w:val="0"/>
          <w:numId w:val="12"/>
        </w:numPr>
        <w:ind w:left="1800"/>
      </w:pPr>
      <w:r w:rsidRPr="008858B4">
        <w:t>Any key graphics (illustrations, charts and/or tables);</w:t>
      </w:r>
    </w:p>
    <w:p w14:paraId="4F90C135" w14:textId="77777777" w:rsidR="006A24B8" w:rsidRPr="008858B4" w:rsidRDefault="004E672B" w:rsidP="00324F39">
      <w:pPr>
        <w:pStyle w:val="ListParagraph"/>
        <w:numPr>
          <w:ilvl w:val="0"/>
          <w:numId w:val="12"/>
        </w:numPr>
        <w:ind w:left="1800"/>
      </w:pPr>
      <w:r w:rsidRPr="008858B4">
        <w:t>The project’s key idea/takeaway;</w:t>
      </w:r>
    </w:p>
    <w:p w14:paraId="7F50FC18" w14:textId="44AA4CA7" w:rsidR="006A24B8" w:rsidRPr="008858B4" w:rsidRDefault="004E672B" w:rsidP="00324F39">
      <w:pPr>
        <w:pStyle w:val="ListParagraph"/>
        <w:numPr>
          <w:ilvl w:val="0"/>
          <w:numId w:val="12"/>
        </w:numPr>
        <w:ind w:left="1800"/>
      </w:pPr>
      <w:r w:rsidRPr="008858B4">
        <w:t xml:space="preserve">Project title, </w:t>
      </w:r>
      <w:r w:rsidR="00647D5B">
        <w:t>p</w:t>
      </w:r>
      <w:r w:rsidR="00647D5B" w:rsidRPr="008858B4">
        <w:t xml:space="preserve">rime </w:t>
      </w:r>
      <w:r w:rsidR="00647D5B">
        <w:t>r</w:t>
      </w:r>
      <w:r w:rsidR="00647D5B" w:rsidRPr="008858B4">
        <w:t>ecipient</w:t>
      </w:r>
      <w:r w:rsidRPr="008858B4">
        <w:t xml:space="preserve">, </w:t>
      </w:r>
      <w:r w:rsidR="00335AB3" w:rsidRPr="008858B4">
        <w:t xml:space="preserve">PI, and </w:t>
      </w:r>
      <w:r w:rsidR="00335AB3">
        <w:t>Senior/Key Personnel</w:t>
      </w:r>
      <w:r w:rsidR="00335AB3" w:rsidRPr="008858B4">
        <w:t xml:space="preserve"> information;</w:t>
      </w:r>
      <w:r w:rsidRPr="008858B4">
        <w:t xml:space="preserve"> and</w:t>
      </w:r>
    </w:p>
    <w:p w14:paraId="60E42FDC" w14:textId="41E2A2DC" w:rsidR="006A24B8" w:rsidRDefault="004E672B" w:rsidP="00324F39">
      <w:pPr>
        <w:pStyle w:val="ListParagraph"/>
        <w:numPr>
          <w:ilvl w:val="0"/>
          <w:numId w:val="12"/>
        </w:numPr>
        <w:ind w:left="1800"/>
      </w:pPr>
      <w:r w:rsidRPr="008858B4">
        <w:t>Requested EERE funds and proposed applicant cost share.</w:t>
      </w:r>
    </w:p>
    <w:p w14:paraId="2E8EB9D9" w14:textId="26DC5B54" w:rsidR="00405796" w:rsidRDefault="00405796" w:rsidP="00405796"/>
    <w:p w14:paraId="6EA86EF1" w14:textId="1D17D2C4" w:rsidR="00405796" w:rsidRDefault="00405796" w:rsidP="00E42B15">
      <w:pPr>
        <w:ind w:left="1440"/>
      </w:pPr>
      <w:r w:rsidRPr="008858B4">
        <w:t xml:space="preserve">Save the Summary </w:t>
      </w:r>
      <w:r>
        <w:t>Slide</w:t>
      </w:r>
      <w:r w:rsidRPr="008858B4">
        <w:t xml:space="preserve"> in a single </w:t>
      </w:r>
      <w:r>
        <w:t>Microsoft Power</w:t>
      </w:r>
      <w:r w:rsidR="00335AB3">
        <w:t>P</w:t>
      </w:r>
      <w:r>
        <w:t xml:space="preserve">oint </w:t>
      </w:r>
      <w:r w:rsidRPr="008858B4">
        <w:t>file</w:t>
      </w:r>
      <w:r>
        <w:t xml:space="preserve"> </w:t>
      </w:r>
      <w:r>
        <w:rPr>
          <w:rFonts w:ascii="Calibri" w:hAnsi="Calibri" w:cs="Calibri"/>
          <w:color w:val="000000"/>
          <w:szCs w:val="24"/>
        </w:rPr>
        <w:t>using the following convention for the title “ControlNumber_LeadOrganization_</w:t>
      </w:r>
      <w:r w:rsidR="005E2146">
        <w:rPr>
          <w:rFonts w:ascii="Calibri" w:hAnsi="Calibri" w:cs="Calibri"/>
          <w:color w:val="000000"/>
          <w:szCs w:val="24"/>
        </w:rPr>
        <w:t>Slide</w:t>
      </w:r>
      <w:r>
        <w:rPr>
          <w:rFonts w:ascii="Calibri" w:hAnsi="Calibri" w:cs="Calibri"/>
          <w:color w:val="000000"/>
          <w:szCs w:val="24"/>
        </w:rPr>
        <w:t>”</w:t>
      </w:r>
      <w:r>
        <w:t>.</w:t>
      </w:r>
    </w:p>
    <w:p w14:paraId="2D0CF09A" w14:textId="2C31F562" w:rsidR="00CE691C" w:rsidRPr="008858B4" w:rsidRDefault="00CE691C" w:rsidP="00A53BBC">
      <w:pPr>
        <w:pStyle w:val="ListParagraph"/>
        <w:ind w:left="0"/>
      </w:pPr>
    </w:p>
    <w:p w14:paraId="64770A14" w14:textId="77777777" w:rsidR="006A24B8" w:rsidRPr="00417FB4" w:rsidRDefault="004E672B" w:rsidP="004D5367">
      <w:pPr>
        <w:pStyle w:val="FOAHeading3"/>
        <w:numPr>
          <w:ilvl w:val="0"/>
          <w:numId w:val="41"/>
        </w:numPr>
        <w:ind w:left="1440"/>
        <w:outlineLvl w:val="2"/>
      </w:pPr>
      <w:bookmarkStart w:id="271" w:name="_Toc517799190"/>
      <w:bookmarkStart w:id="272" w:name="_Toc519602356"/>
      <w:bookmarkStart w:id="273" w:name="_Toc519602522"/>
      <w:bookmarkStart w:id="274" w:name="_Toc520382631"/>
      <w:bookmarkStart w:id="275" w:name="_Toc520455629"/>
      <w:bookmarkStart w:id="276" w:name="_Toc520455799"/>
      <w:bookmarkStart w:id="277" w:name="_Toc519602357"/>
      <w:bookmarkStart w:id="278" w:name="_Toc176864454"/>
      <w:bookmarkEnd w:id="271"/>
      <w:bookmarkEnd w:id="272"/>
      <w:bookmarkEnd w:id="273"/>
      <w:bookmarkEnd w:id="274"/>
      <w:bookmarkEnd w:id="275"/>
      <w:bookmarkEnd w:id="276"/>
      <w:r w:rsidRPr="00C72CE2">
        <w:t>Sub</w:t>
      </w:r>
      <w:r w:rsidR="00F54B39" w:rsidRPr="0022038E">
        <w:t>recipient</w:t>
      </w:r>
      <w:r w:rsidRPr="007B2B3A">
        <w:t xml:space="preserve"> Budget Justification</w:t>
      </w:r>
      <w:r w:rsidRPr="00593598">
        <w:t xml:space="preserve"> </w:t>
      </w:r>
      <w:r w:rsidR="00CC61BA" w:rsidRPr="00417FB4">
        <w:t>(if applicable)</w:t>
      </w:r>
      <w:bookmarkEnd w:id="277"/>
      <w:bookmarkEnd w:id="278"/>
    </w:p>
    <w:p w14:paraId="44B799E7" w14:textId="19FB725A" w:rsidR="00335AB3" w:rsidRDefault="00B96293" w:rsidP="009F07F7">
      <w:pPr>
        <w:autoSpaceDE w:val="0"/>
        <w:autoSpaceDN w:val="0"/>
        <w:adjustRightInd w:val="0"/>
        <w:ind w:left="1440"/>
        <w:rPr>
          <w:rFonts w:ascii="Calibri" w:hAnsi="Calibri" w:cs="Calibri"/>
          <w:szCs w:val="24"/>
        </w:rPr>
      </w:pPr>
      <w:r>
        <w:rPr>
          <w:rFonts w:ascii="Calibri" w:hAnsi="Calibri" w:cs="Calibri"/>
          <w:szCs w:val="24"/>
        </w:rPr>
        <w:t>Applicants must provide a separate budget justification for each subrecipient</w:t>
      </w:r>
      <w:r w:rsidR="003E220B">
        <w:rPr>
          <w:rFonts w:ascii="Calibri" w:hAnsi="Calibri" w:cs="Calibri"/>
          <w:szCs w:val="24"/>
        </w:rPr>
        <w:t xml:space="preserve"> </w:t>
      </w:r>
      <w:r>
        <w:rPr>
          <w:rFonts w:ascii="Calibri" w:hAnsi="Calibri" w:cs="Calibri"/>
          <w:szCs w:val="24"/>
        </w:rPr>
        <w:t>that is expected to perform work estimated to be more than $250,000 or 25</w:t>
      </w:r>
      <w:r w:rsidR="00335AB3">
        <w:rPr>
          <w:rFonts w:ascii="Calibri" w:hAnsi="Calibri" w:cs="Calibri"/>
          <w:szCs w:val="24"/>
        </w:rPr>
        <w:t>%</w:t>
      </w:r>
      <w:r w:rsidR="003E220B">
        <w:rPr>
          <w:rFonts w:ascii="Calibri" w:hAnsi="Calibri" w:cs="Calibri"/>
          <w:szCs w:val="24"/>
        </w:rPr>
        <w:t xml:space="preserve"> </w:t>
      </w:r>
      <w:r>
        <w:rPr>
          <w:rFonts w:ascii="Calibri" w:hAnsi="Calibri" w:cs="Calibri"/>
          <w:szCs w:val="24"/>
        </w:rPr>
        <w:t>of the total work effort</w:t>
      </w:r>
      <w:r w:rsidR="00335AB3">
        <w:rPr>
          <w:rFonts w:ascii="Calibri" w:hAnsi="Calibri" w:cs="Calibri"/>
          <w:szCs w:val="24"/>
        </w:rPr>
        <w:t>,</w:t>
      </w:r>
      <w:r>
        <w:rPr>
          <w:rFonts w:ascii="Calibri" w:hAnsi="Calibri" w:cs="Calibri"/>
          <w:szCs w:val="24"/>
        </w:rPr>
        <w:t xml:space="preserve"> whichever is less. The budget justification must</w:t>
      </w:r>
      <w:r w:rsidR="003E220B">
        <w:rPr>
          <w:rFonts w:ascii="Calibri" w:hAnsi="Calibri" w:cs="Calibri"/>
          <w:szCs w:val="24"/>
        </w:rPr>
        <w:t xml:space="preserve"> </w:t>
      </w:r>
      <w:r>
        <w:rPr>
          <w:rFonts w:ascii="Calibri" w:hAnsi="Calibri" w:cs="Calibri"/>
          <w:szCs w:val="24"/>
        </w:rPr>
        <w:t xml:space="preserve">include the </w:t>
      </w:r>
      <w:r>
        <w:rPr>
          <w:rFonts w:ascii="Calibri" w:hAnsi="Calibri" w:cs="Calibri"/>
          <w:szCs w:val="24"/>
        </w:rPr>
        <w:lastRenderedPageBreak/>
        <w:t>same justification information described in the “Budget Justification”</w:t>
      </w:r>
      <w:r w:rsidR="003E220B">
        <w:rPr>
          <w:rFonts w:ascii="Calibri" w:hAnsi="Calibri" w:cs="Calibri"/>
          <w:szCs w:val="24"/>
        </w:rPr>
        <w:t xml:space="preserve"> </w:t>
      </w:r>
      <w:r>
        <w:rPr>
          <w:rFonts w:ascii="Calibri" w:hAnsi="Calibri" w:cs="Calibri"/>
          <w:szCs w:val="24"/>
        </w:rPr>
        <w:t>section above.</w:t>
      </w:r>
    </w:p>
    <w:p w14:paraId="236E2390" w14:textId="77777777" w:rsidR="00335AB3" w:rsidRDefault="00335AB3" w:rsidP="009F07F7">
      <w:pPr>
        <w:autoSpaceDE w:val="0"/>
        <w:autoSpaceDN w:val="0"/>
        <w:adjustRightInd w:val="0"/>
        <w:ind w:left="1440"/>
        <w:rPr>
          <w:rFonts w:ascii="Calibri" w:hAnsi="Calibri" w:cs="Calibri"/>
          <w:szCs w:val="24"/>
        </w:rPr>
      </w:pPr>
    </w:p>
    <w:p w14:paraId="5E7D2C46" w14:textId="4CC91DDD" w:rsidR="00B74986" w:rsidRDefault="00B96293" w:rsidP="009F07F7">
      <w:pPr>
        <w:autoSpaceDE w:val="0"/>
        <w:autoSpaceDN w:val="0"/>
        <w:adjustRightInd w:val="0"/>
        <w:ind w:left="1440"/>
      </w:pPr>
      <w:r>
        <w:rPr>
          <w:rFonts w:ascii="Calibri" w:hAnsi="Calibri" w:cs="Calibri"/>
          <w:szCs w:val="24"/>
        </w:rPr>
        <w:t>Save each subrecipient budget justification in a Microsoft Excel</w:t>
      </w:r>
      <w:r w:rsidR="003E220B">
        <w:rPr>
          <w:rFonts w:ascii="Calibri" w:hAnsi="Calibri" w:cs="Calibri"/>
          <w:szCs w:val="24"/>
        </w:rPr>
        <w:t xml:space="preserve"> </w:t>
      </w:r>
      <w:r>
        <w:rPr>
          <w:rFonts w:ascii="Calibri" w:hAnsi="Calibri" w:cs="Calibri"/>
          <w:szCs w:val="24"/>
        </w:rPr>
        <w:t>file using the following convention for the titl</w:t>
      </w:r>
      <w:r w:rsidR="003E220B">
        <w:rPr>
          <w:rFonts w:ascii="Calibri" w:hAnsi="Calibri" w:cs="Calibri"/>
          <w:szCs w:val="24"/>
        </w:rPr>
        <w:t>e</w:t>
      </w:r>
      <w:r w:rsidR="00BA5901">
        <w:rPr>
          <w:rFonts w:ascii="Calibri" w:hAnsi="Calibri" w:cs="Calibri"/>
          <w:szCs w:val="24"/>
        </w:rPr>
        <w:t xml:space="preserve">: </w:t>
      </w:r>
      <w:r>
        <w:rPr>
          <w:rFonts w:ascii="Calibri" w:hAnsi="Calibri" w:cs="Calibri"/>
          <w:szCs w:val="24"/>
        </w:rPr>
        <w:t>“ControlNumber_LeadOrganization_Subrecipient_Budget_Justification”.</w:t>
      </w:r>
    </w:p>
    <w:p w14:paraId="03F88B73" w14:textId="26690A08" w:rsidR="006A24B8" w:rsidRPr="008858B4" w:rsidRDefault="006A24B8" w:rsidP="008858B4"/>
    <w:p w14:paraId="710A7332" w14:textId="77777777" w:rsidR="006A24B8" w:rsidRPr="00872882" w:rsidRDefault="004E672B" w:rsidP="004D5367">
      <w:pPr>
        <w:pStyle w:val="FOAHeading3"/>
        <w:numPr>
          <w:ilvl w:val="0"/>
          <w:numId w:val="41"/>
        </w:numPr>
        <w:ind w:left="1440"/>
        <w:outlineLvl w:val="2"/>
      </w:pPr>
      <w:bookmarkStart w:id="279" w:name="_Toc519602358"/>
      <w:bookmarkStart w:id="280" w:name="_Toc176864455"/>
      <w:r w:rsidRPr="00C72CE2">
        <w:t>Budget for DOE/NNSA FFRDC (if applicable)</w:t>
      </w:r>
      <w:bookmarkEnd w:id="279"/>
      <w:bookmarkEnd w:id="280"/>
    </w:p>
    <w:p w14:paraId="58F7EBC6" w14:textId="51DDCACB" w:rsidR="00BA5901" w:rsidRDefault="00B96293" w:rsidP="009F07F7">
      <w:pPr>
        <w:autoSpaceDE w:val="0"/>
        <w:autoSpaceDN w:val="0"/>
        <w:adjustRightInd w:val="0"/>
        <w:ind w:left="1440"/>
        <w:rPr>
          <w:rFonts w:ascii="Calibri" w:hAnsi="Calibri" w:cs="Calibri"/>
          <w:color w:val="000000"/>
          <w:szCs w:val="24"/>
        </w:rPr>
      </w:pPr>
      <w:r>
        <w:rPr>
          <w:rFonts w:ascii="Calibri" w:hAnsi="Calibri" w:cs="Calibri"/>
          <w:color w:val="000000"/>
          <w:szCs w:val="24"/>
        </w:rPr>
        <w:t>If a DOE/NNSA FFRDC is to perform a portion of the work, the</w:t>
      </w:r>
      <w:r w:rsidR="003E220B">
        <w:rPr>
          <w:rFonts w:ascii="Calibri" w:hAnsi="Calibri" w:cs="Calibri"/>
          <w:color w:val="000000"/>
          <w:szCs w:val="24"/>
        </w:rPr>
        <w:t xml:space="preserve"> </w:t>
      </w:r>
      <w:r>
        <w:rPr>
          <w:rFonts w:ascii="Calibri" w:hAnsi="Calibri" w:cs="Calibri"/>
          <w:color w:val="000000"/>
          <w:szCs w:val="24"/>
        </w:rPr>
        <w:t xml:space="preserve">applicant must provide a DOE </w:t>
      </w:r>
      <w:r w:rsidR="00BA5901" w:rsidRPr="00F51A4A">
        <w:rPr>
          <w:rFonts w:ascii="Calibri" w:hAnsi="Calibri" w:cs="Calibri"/>
          <w:color w:val="000000"/>
        </w:rPr>
        <w:t xml:space="preserve">work proposal (WP) </w:t>
      </w:r>
      <w:r>
        <w:rPr>
          <w:rFonts w:ascii="Calibri" w:hAnsi="Calibri" w:cs="Calibri"/>
          <w:color w:val="000000"/>
          <w:szCs w:val="24"/>
        </w:rPr>
        <w:t>in accordance with the requirements in DOE</w:t>
      </w:r>
      <w:r w:rsidR="003E220B">
        <w:rPr>
          <w:rFonts w:ascii="Calibri" w:hAnsi="Calibri" w:cs="Calibri"/>
          <w:color w:val="000000"/>
          <w:szCs w:val="24"/>
        </w:rPr>
        <w:t xml:space="preserve"> </w:t>
      </w:r>
      <w:r>
        <w:rPr>
          <w:rFonts w:ascii="Calibri" w:hAnsi="Calibri" w:cs="Calibri"/>
          <w:color w:val="000000"/>
          <w:szCs w:val="24"/>
        </w:rPr>
        <w:t xml:space="preserve">Order 412.1A, Work Authorization System, Attachment </w:t>
      </w:r>
      <w:r w:rsidR="00BA5901">
        <w:rPr>
          <w:rFonts w:ascii="Calibri" w:hAnsi="Calibri" w:cs="Calibri"/>
          <w:color w:val="000000"/>
          <w:szCs w:val="24"/>
        </w:rPr>
        <w:t>2</w:t>
      </w:r>
      <w:r>
        <w:rPr>
          <w:rFonts w:ascii="Calibri" w:hAnsi="Calibri" w:cs="Calibri"/>
          <w:color w:val="000000"/>
          <w:szCs w:val="24"/>
        </w:rPr>
        <w:t>, available at:</w:t>
      </w:r>
      <w:r w:rsidR="003E220B">
        <w:rPr>
          <w:rFonts w:ascii="Calibri" w:hAnsi="Calibri" w:cs="Calibri"/>
          <w:color w:val="0000FF"/>
          <w:szCs w:val="24"/>
        </w:rPr>
        <w:t xml:space="preserve"> </w:t>
      </w:r>
      <w:hyperlink r:id="rId36" w:history="1">
        <w:r w:rsidR="005E2146" w:rsidRPr="00E9746F">
          <w:rPr>
            <w:rStyle w:val="Hyperlink"/>
            <w:rFonts w:ascii="Calibri" w:hAnsi="Calibri" w:cs="Calibri"/>
            <w:szCs w:val="24"/>
          </w:rPr>
          <w:t>https://www.directives.doe.gov/directives-documents/400-series/0412.1-BOrder-a-chg1-AdmChg</w:t>
        </w:r>
      </w:hyperlink>
      <w:r w:rsidR="00BA5901">
        <w:rPr>
          <w:rStyle w:val="Hyperlink"/>
          <w:rFonts w:ascii="Calibri" w:hAnsi="Calibri" w:cs="Calibri"/>
          <w:szCs w:val="24"/>
        </w:rPr>
        <w:t>.</w:t>
      </w:r>
      <w:r>
        <w:rPr>
          <w:rFonts w:ascii="Calibri" w:hAnsi="Calibri" w:cs="Calibri"/>
          <w:color w:val="000000"/>
          <w:szCs w:val="24"/>
        </w:rPr>
        <w:t xml:space="preserve"> </w:t>
      </w:r>
    </w:p>
    <w:p w14:paraId="7E206D6B" w14:textId="77777777" w:rsidR="00BA5901" w:rsidRDefault="00BA5901" w:rsidP="009F07F7">
      <w:pPr>
        <w:autoSpaceDE w:val="0"/>
        <w:autoSpaceDN w:val="0"/>
        <w:adjustRightInd w:val="0"/>
        <w:ind w:left="1440"/>
        <w:rPr>
          <w:rFonts w:ascii="Calibri" w:hAnsi="Calibri" w:cs="Calibri"/>
          <w:color w:val="000000"/>
          <w:szCs w:val="24"/>
        </w:rPr>
      </w:pPr>
    </w:p>
    <w:p w14:paraId="5E0ADA3B" w14:textId="5EE7CFEC" w:rsidR="00B96293" w:rsidRDefault="00B96293" w:rsidP="009F07F7">
      <w:pPr>
        <w:autoSpaceDE w:val="0"/>
        <w:autoSpaceDN w:val="0"/>
        <w:adjustRightInd w:val="0"/>
        <w:ind w:left="1440"/>
      </w:pPr>
      <w:r>
        <w:rPr>
          <w:rFonts w:ascii="Calibri" w:hAnsi="Calibri" w:cs="Calibri"/>
          <w:color w:val="000000"/>
          <w:szCs w:val="24"/>
        </w:rPr>
        <w:t>Save the WP in a single PDF file using the following</w:t>
      </w:r>
      <w:r w:rsidR="003E220B">
        <w:rPr>
          <w:rFonts w:ascii="Calibri" w:hAnsi="Calibri" w:cs="Calibri"/>
          <w:color w:val="000000"/>
          <w:szCs w:val="24"/>
        </w:rPr>
        <w:t xml:space="preserve"> </w:t>
      </w:r>
      <w:r>
        <w:rPr>
          <w:rFonts w:ascii="Calibri" w:hAnsi="Calibri" w:cs="Calibri"/>
          <w:color w:val="000000"/>
          <w:szCs w:val="24"/>
        </w:rPr>
        <w:t>convention for the title “ControlNumber_LeadOrganization_WP”.</w:t>
      </w:r>
    </w:p>
    <w:p w14:paraId="401167B1" w14:textId="2E35909C" w:rsidR="006A24B8" w:rsidRPr="008858B4" w:rsidRDefault="006A24B8" w:rsidP="008858B4"/>
    <w:p w14:paraId="76C3D840" w14:textId="3F5BAC75" w:rsidR="006A24B8" w:rsidRPr="00872882" w:rsidRDefault="004E672B" w:rsidP="004D5367">
      <w:pPr>
        <w:pStyle w:val="FOAHeading3"/>
        <w:numPr>
          <w:ilvl w:val="0"/>
          <w:numId w:val="41"/>
        </w:numPr>
        <w:ind w:left="1440"/>
        <w:outlineLvl w:val="2"/>
      </w:pPr>
      <w:bookmarkStart w:id="281" w:name="_Toc519602359"/>
      <w:bookmarkStart w:id="282" w:name="_Toc176864456"/>
      <w:r w:rsidRPr="00C72CE2">
        <w:t xml:space="preserve">Authorization for </w:t>
      </w:r>
      <w:r w:rsidR="00DA2AF3">
        <w:t>N</w:t>
      </w:r>
      <w:r w:rsidRPr="00C72CE2">
        <w:t>on-DOE/N</w:t>
      </w:r>
      <w:r w:rsidRPr="0022038E">
        <w:t>NSA or DOE/NNSA FFRDCs (if applicable)</w:t>
      </w:r>
      <w:bookmarkEnd w:id="281"/>
      <w:bookmarkEnd w:id="282"/>
    </w:p>
    <w:p w14:paraId="7B70EC4A" w14:textId="419A04ED" w:rsidR="00BA5901" w:rsidRDefault="004E672B" w:rsidP="00A53BBC">
      <w:pPr>
        <w:ind w:left="1440"/>
      </w:pPr>
      <w:r w:rsidRPr="008858B4">
        <w:t xml:space="preserve">The </w:t>
      </w:r>
      <w:r w:rsidR="00710ED6">
        <w:t>f</w:t>
      </w:r>
      <w:r w:rsidR="00710ED6" w:rsidRPr="008858B4">
        <w:t xml:space="preserve">ederal </w:t>
      </w:r>
      <w:r w:rsidRPr="008858B4">
        <w:t>agency sponsoring the FFRDC must authorize in writing the use of the FFRDC on the proposed project and this authorization must be submitted with the application. The use of a FFRDC must be consistent with the contractor’s authority under its award.</w:t>
      </w:r>
    </w:p>
    <w:p w14:paraId="57060690" w14:textId="77777777" w:rsidR="00BA5901" w:rsidRDefault="00BA5901" w:rsidP="00A53BBC">
      <w:pPr>
        <w:ind w:left="1440"/>
      </w:pPr>
    </w:p>
    <w:p w14:paraId="524BFF1E" w14:textId="7342716B" w:rsidR="006A24B8" w:rsidRDefault="004E672B" w:rsidP="00A53BBC">
      <w:pPr>
        <w:ind w:left="1440"/>
      </w:pPr>
      <w:r w:rsidRPr="008858B4">
        <w:t xml:space="preserve">Save the Authorization in a single </w:t>
      </w:r>
      <w:r w:rsidR="00BD5BFB">
        <w:t>PDF</w:t>
      </w:r>
      <w:r w:rsidRPr="008858B4">
        <w:t xml:space="preserve"> file</w:t>
      </w:r>
      <w:r w:rsidR="00405796">
        <w:t xml:space="preserve"> </w:t>
      </w:r>
      <w:r w:rsidR="00405796">
        <w:rPr>
          <w:rFonts w:ascii="Calibri" w:hAnsi="Calibri" w:cs="Calibri"/>
          <w:color w:val="000000"/>
          <w:szCs w:val="24"/>
        </w:rPr>
        <w:t>using the following convention for the title “ControlNumber_LeadOrganization_</w:t>
      </w:r>
      <w:r w:rsidR="005E2146">
        <w:rPr>
          <w:rFonts w:ascii="Calibri" w:hAnsi="Calibri" w:cs="Calibri"/>
          <w:color w:val="000000"/>
          <w:szCs w:val="24"/>
        </w:rPr>
        <w:t>FFRDC</w:t>
      </w:r>
      <w:r w:rsidR="00405796">
        <w:rPr>
          <w:rFonts w:ascii="Calibri" w:hAnsi="Calibri" w:cs="Calibri"/>
          <w:color w:val="000000"/>
          <w:szCs w:val="24"/>
        </w:rPr>
        <w:t>Auth”</w:t>
      </w:r>
      <w:r w:rsidR="000251DF">
        <w:t>.</w:t>
      </w:r>
    </w:p>
    <w:p w14:paraId="48870315" w14:textId="27743EA1" w:rsidR="006A24B8" w:rsidRPr="008858B4" w:rsidRDefault="006A24B8" w:rsidP="008858B4"/>
    <w:p w14:paraId="7E8E06A8" w14:textId="5445A4D5" w:rsidR="006A24B8" w:rsidRPr="00872882" w:rsidRDefault="004E672B" w:rsidP="004D5367">
      <w:pPr>
        <w:pStyle w:val="FOAHeading3"/>
        <w:numPr>
          <w:ilvl w:val="0"/>
          <w:numId w:val="41"/>
        </w:numPr>
        <w:ind w:left="1440"/>
        <w:outlineLvl w:val="2"/>
      </w:pPr>
      <w:bookmarkStart w:id="283" w:name="_Toc519602360"/>
      <w:bookmarkStart w:id="284" w:name="_Toc176864457"/>
      <w:r w:rsidRPr="00C72CE2">
        <w:t>SF-LLL: Disclosure of Lobbying Activities</w:t>
      </w:r>
      <w:bookmarkEnd w:id="283"/>
      <w:bookmarkEnd w:id="284"/>
    </w:p>
    <w:p w14:paraId="29A2468E" w14:textId="1D269EB6" w:rsidR="006A24B8" w:rsidRPr="008858B4" w:rsidRDefault="00DA2AF3" w:rsidP="00A53BBC">
      <w:pPr>
        <w:ind w:left="1440"/>
      </w:pPr>
      <w:r>
        <w:t>R</w:t>
      </w:r>
      <w:r w:rsidR="00647D5B" w:rsidRPr="008858B4">
        <w:t xml:space="preserve">ecipients </w:t>
      </w:r>
      <w:r w:rsidR="004E672B" w:rsidRPr="008858B4">
        <w:t xml:space="preserve">and </w:t>
      </w:r>
      <w:r w:rsidR="001A6434">
        <w:t>s</w:t>
      </w:r>
      <w:r w:rsidR="001A6434" w:rsidRPr="008858B4">
        <w:t xml:space="preserve">ubrecipients </w:t>
      </w:r>
      <w:r w:rsidR="004E672B" w:rsidRPr="008858B4">
        <w:t xml:space="preserve">may not use any </w:t>
      </w:r>
      <w:r w:rsidR="00710ED6">
        <w:t>f</w:t>
      </w:r>
      <w:r w:rsidR="00710ED6" w:rsidRPr="008858B4">
        <w:t xml:space="preserve">ederal </w:t>
      </w:r>
      <w:r w:rsidR="004E672B" w:rsidRPr="008858B4">
        <w:t>funds to influence or attempt to influence, directly or indirectly, congressional action on any legislative or appropriation matters.</w:t>
      </w:r>
    </w:p>
    <w:p w14:paraId="5179823D" w14:textId="77777777" w:rsidR="006A24B8" w:rsidRPr="008858B4" w:rsidRDefault="006A24B8" w:rsidP="003C054B">
      <w:pPr>
        <w:ind w:left="1440"/>
      </w:pPr>
    </w:p>
    <w:p w14:paraId="3D863108" w14:textId="2036E47D" w:rsidR="006A24B8" w:rsidDel="00B66910" w:rsidRDefault="004E672B" w:rsidP="00B66910">
      <w:pPr>
        <w:ind w:left="1440"/>
        <w:rPr>
          <w:rFonts w:ascii="Calibri" w:hAnsi="Calibri"/>
        </w:rPr>
      </w:pPr>
      <w:r w:rsidRPr="008858B4">
        <w:t xml:space="preserve">Prime </w:t>
      </w:r>
      <w:r w:rsidR="00647D5B">
        <w:t>r</w:t>
      </w:r>
      <w:r w:rsidR="00647D5B" w:rsidRPr="008858B4">
        <w:t xml:space="preserve">ecipients </w:t>
      </w:r>
      <w:r w:rsidRPr="008858B4">
        <w:t xml:space="preserve">and </w:t>
      </w:r>
      <w:r w:rsidR="001A6434">
        <w:t>s</w:t>
      </w:r>
      <w:r w:rsidR="001A6434" w:rsidRPr="008858B4">
        <w:t xml:space="preserve">ubrecipients </w:t>
      </w:r>
      <w:r w:rsidRPr="008858B4">
        <w:t>are required to complete and submit SF-LLL, “Dis</w:t>
      </w:r>
      <w:r w:rsidR="006712D7">
        <w:t>closure of Lobbying Activities</w:t>
      </w:r>
      <w:r w:rsidR="006712D7" w:rsidRPr="008858B4">
        <w:t>”</w:t>
      </w:r>
      <w:r w:rsidR="00B96293">
        <w:rPr>
          <w:i/>
          <w:sz w:val="20"/>
        </w:rPr>
        <w:t xml:space="preserve"> </w:t>
      </w:r>
      <w:r w:rsidR="00B96293" w:rsidRPr="009F07F7">
        <w:t>(</w:t>
      </w:r>
      <w:hyperlink r:id="rId37" w:history="1">
        <w:r w:rsidR="006712D7" w:rsidRPr="00B96293">
          <w:rPr>
            <w:rStyle w:val="Hyperlink"/>
          </w:rPr>
          <w:t>https://www.grants.gov/web/grants/forms/sf-424-individual-family.html</w:t>
        </w:r>
      </w:hyperlink>
      <w:r w:rsidR="00B96293" w:rsidRPr="009F07F7">
        <w:t>)</w:t>
      </w:r>
      <w:r w:rsidR="00604DB0">
        <w:t xml:space="preserve"> </w:t>
      </w:r>
      <w:r w:rsidR="00A52A6D" w:rsidRPr="00AF2304" w:rsidDel="00B66910">
        <w:rPr>
          <w:rFonts w:ascii="Calibri" w:hAnsi="Calibri"/>
        </w:rPr>
        <w:t>to ensure that non-</w:t>
      </w:r>
      <w:r w:rsidR="00710ED6" w:rsidDel="00B66910">
        <w:rPr>
          <w:rFonts w:ascii="Calibri" w:hAnsi="Calibri"/>
        </w:rPr>
        <w:t>f</w:t>
      </w:r>
      <w:r w:rsidR="00710ED6" w:rsidRPr="00AF2304" w:rsidDel="00B66910">
        <w:rPr>
          <w:rFonts w:ascii="Calibri" w:hAnsi="Calibri"/>
        </w:rPr>
        <w:t xml:space="preserve">ederal </w:t>
      </w:r>
      <w:r w:rsidR="00A52A6D" w:rsidRPr="00AF2304" w:rsidDel="00B66910">
        <w:rPr>
          <w:rFonts w:ascii="Calibri" w:hAnsi="Calibri"/>
        </w:rPr>
        <w:t xml:space="preserve">funds have not been paid </w:t>
      </w:r>
      <w:r w:rsidR="001F3E66" w:rsidRPr="00AF2304" w:rsidDel="00B66910">
        <w:rPr>
          <w:rFonts w:ascii="Calibri" w:hAnsi="Calibri"/>
        </w:rPr>
        <w:t>and</w:t>
      </w:r>
      <w:r w:rsidR="00A52A6D" w:rsidRPr="00AF2304" w:rsidDel="00B66910">
        <w:rPr>
          <w:rFonts w:ascii="Calibri" w:hAnsi="Calibri"/>
        </w:rPr>
        <w:t xml:space="preserve"> will not be paid to any person for influencing or attempting to influence any of the following in connection with </w:t>
      </w:r>
      <w:r w:rsidR="009A02DB" w:rsidDel="00B66910">
        <w:rPr>
          <w:rFonts w:ascii="Calibri" w:hAnsi="Calibri"/>
        </w:rPr>
        <w:t>the</w:t>
      </w:r>
      <w:r w:rsidR="009A02DB" w:rsidRPr="00AF2304" w:rsidDel="00B66910">
        <w:rPr>
          <w:rFonts w:ascii="Calibri" w:hAnsi="Calibri"/>
        </w:rPr>
        <w:t xml:space="preserve"> </w:t>
      </w:r>
      <w:r w:rsidR="00A52A6D" w:rsidRPr="00AF2304" w:rsidDel="00B66910">
        <w:rPr>
          <w:rFonts w:ascii="Calibri" w:hAnsi="Calibri"/>
        </w:rPr>
        <w:t>application:</w:t>
      </w:r>
    </w:p>
    <w:p w14:paraId="1432734A" w14:textId="2F94B255" w:rsidR="00B96293" w:rsidRPr="008858B4" w:rsidDel="00B66910" w:rsidRDefault="00B96293" w:rsidP="009E391F">
      <w:pPr>
        <w:ind w:left="1440"/>
      </w:pPr>
    </w:p>
    <w:p w14:paraId="6013D5B3" w14:textId="77E9BA36" w:rsidR="006A24B8" w:rsidRPr="008858B4" w:rsidDel="00B66910" w:rsidRDefault="004E672B" w:rsidP="007F355D">
      <w:pPr>
        <w:pStyle w:val="ListParagraph"/>
        <w:numPr>
          <w:ilvl w:val="0"/>
          <w:numId w:val="13"/>
        </w:numPr>
        <w:ind w:left="1800"/>
      </w:pPr>
      <w:r w:rsidRPr="008858B4" w:rsidDel="00B66910">
        <w:t xml:space="preserve">An officer or employee of any </w:t>
      </w:r>
      <w:r w:rsidR="00710ED6" w:rsidDel="00B66910">
        <w:t>f</w:t>
      </w:r>
      <w:r w:rsidR="00710ED6" w:rsidRPr="008858B4" w:rsidDel="00B66910">
        <w:t xml:space="preserve">ederal </w:t>
      </w:r>
      <w:r w:rsidRPr="008858B4" w:rsidDel="00B66910">
        <w:t>agency;</w:t>
      </w:r>
    </w:p>
    <w:p w14:paraId="73FA0D0A" w14:textId="0F0EC3DD" w:rsidR="006A24B8" w:rsidRPr="008858B4" w:rsidDel="00B66910" w:rsidRDefault="004E672B" w:rsidP="007F355D">
      <w:pPr>
        <w:pStyle w:val="ListParagraph"/>
        <w:numPr>
          <w:ilvl w:val="0"/>
          <w:numId w:val="13"/>
        </w:numPr>
        <w:ind w:left="1800"/>
      </w:pPr>
      <w:r w:rsidRPr="008858B4" w:rsidDel="00B66910">
        <w:t>A Member of Congress;</w:t>
      </w:r>
    </w:p>
    <w:p w14:paraId="5AD330BE" w14:textId="7D6BB21F" w:rsidR="006A24B8" w:rsidRPr="008858B4" w:rsidDel="00B66910" w:rsidRDefault="004E672B" w:rsidP="007F355D">
      <w:pPr>
        <w:pStyle w:val="ListParagraph"/>
        <w:numPr>
          <w:ilvl w:val="0"/>
          <w:numId w:val="13"/>
        </w:numPr>
        <w:ind w:left="1800"/>
      </w:pPr>
      <w:r w:rsidRPr="008858B4" w:rsidDel="00B66910">
        <w:t>An officer or employee of Congress; or</w:t>
      </w:r>
    </w:p>
    <w:p w14:paraId="7301C974" w14:textId="279D42A7" w:rsidR="006A24B8" w:rsidRPr="008858B4" w:rsidRDefault="004E672B" w:rsidP="007F355D">
      <w:pPr>
        <w:pStyle w:val="ListParagraph"/>
        <w:numPr>
          <w:ilvl w:val="0"/>
          <w:numId w:val="13"/>
        </w:numPr>
        <w:ind w:left="1800"/>
      </w:pPr>
      <w:r w:rsidRPr="008858B4" w:rsidDel="00B66910">
        <w:lastRenderedPageBreak/>
        <w:t>An employee of a Member of Congress.</w:t>
      </w:r>
    </w:p>
    <w:p w14:paraId="269A5E94" w14:textId="77777777" w:rsidR="006A24B8" w:rsidRPr="008858B4" w:rsidRDefault="006A24B8" w:rsidP="00CD718A">
      <w:pPr>
        <w:ind w:left="1440"/>
      </w:pPr>
    </w:p>
    <w:p w14:paraId="0ABCD608" w14:textId="51FEEC47" w:rsidR="00B96293" w:rsidRDefault="00B96293" w:rsidP="00E97D64">
      <w:pPr>
        <w:ind w:left="1440"/>
      </w:pPr>
      <w:r>
        <w:t>Save the SF-LLL in a single PDF file using the following convention for the title</w:t>
      </w:r>
      <w:r w:rsidR="003E220B">
        <w:t xml:space="preserve"> </w:t>
      </w:r>
      <w:r>
        <w:t>“ControlNumber_LeadOrganization_SF-LLL”.</w:t>
      </w:r>
      <w:r w:rsidRPr="008858B4" w:rsidDel="00B96293">
        <w:t xml:space="preserve"> </w:t>
      </w:r>
    </w:p>
    <w:p w14:paraId="0FDB0381" w14:textId="2FE5E10B" w:rsidR="006A24B8" w:rsidRPr="008858B4" w:rsidRDefault="006A24B8" w:rsidP="008858B4"/>
    <w:p w14:paraId="796B9A2F" w14:textId="77777777" w:rsidR="00BA5901" w:rsidRPr="00872882" w:rsidRDefault="00BA5901" w:rsidP="00BA5901">
      <w:pPr>
        <w:pStyle w:val="FOAHeading3"/>
        <w:ind w:left="1440"/>
        <w:outlineLvl w:val="2"/>
      </w:pPr>
      <w:bookmarkStart w:id="285" w:name="_Toc140060956"/>
      <w:bookmarkStart w:id="286" w:name="_Toc519602361"/>
      <w:bookmarkStart w:id="287" w:name="_Toc176864458"/>
      <w:r w:rsidRPr="00C72CE2">
        <w:t>Waiver Requests</w:t>
      </w:r>
      <w:r>
        <w:t xml:space="preserve"> </w:t>
      </w:r>
      <w:r w:rsidRPr="0022038E">
        <w:t>(if applicable)</w:t>
      </w:r>
      <w:bookmarkEnd w:id="285"/>
      <w:bookmarkEnd w:id="287"/>
    </w:p>
    <w:p w14:paraId="3006FEC7" w14:textId="77777777" w:rsidR="00BA5901" w:rsidRPr="00B5344E" w:rsidRDefault="00BA5901" w:rsidP="00BA5901"/>
    <w:p w14:paraId="01F153F0" w14:textId="77777777" w:rsidR="00BA5901" w:rsidRPr="000F1B1D" w:rsidRDefault="00BA5901" w:rsidP="00BA5901">
      <w:pPr>
        <w:pStyle w:val="FOAHeading4"/>
        <w:numPr>
          <w:ilvl w:val="3"/>
          <w:numId w:val="0"/>
        </w:numPr>
        <w:ind w:left="1440"/>
      </w:pPr>
      <w:r w:rsidRPr="000F1B1D">
        <w:t>Foreign Entity Participation</w:t>
      </w:r>
    </w:p>
    <w:p w14:paraId="222DCA3F" w14:textId="689B951D" w:rsidR="00BA5901" w:rsidRPr="008858B4" w:rsidRDefault="00BA5901" w:rsidP="00BA5901">
      <w:pPr>
        <w:ind w:left="1440"/>
      </w:pPr>
      <w:r>
        <w:t xml:space="preserve">For projects selected under this FOA, </w:t>
      </w:r>
      <w:r w:rsidRPr="008858B4">
        <w:t xml:space="preserve">all </w:t>
      </w:r>
      <w:r>
        <w:t>r</w:t>
      </w:r>
      <w:r w:rsidRPr="008858B4">
        <w:t xml:space="preserve">ecipients </w:t>
      </w:r>
      <w:r>
        <w:t xml:space="preserve">and subrecipients </w:t>
      </w:r>
      <w:r w:rsidRPr="008858B4">
        <w:t xml:space="preserve">must </w:t>
      </w:r>
      <w:r>
        <w:t xml:space="preserve">qualify as domestic entities. </w:t>
      </w:r>
      <w:r w:rsidRPr="00B91783">
        <w:t xml:space="preserve">See </w:t>
      </w:r>
      <w:r w:rsidRPr="008B0D95">
        <w:t>Section III</w:t>
      </w:r>
      <w:r w:rsidR="001B2A79" w:rsidRPr="008B0D95">
        <w:t>.A</w:t>
      </w:r>
      <w:r w:rsidRPr="008B0D95">
        <w:rPr>
          <w:rFonts w:eastAsia="Segoe UI"/>
        </w:rPr>
        <w:t>.</w:t>
      </w:r>
      <w:r w:rsidRPr="008858B4">
        <w:rPr>
          <w:rFonts w:eastAsia="Segoe UI"/>
        </w:rPr>
        <w:t xml:space="preserve"> </w:t>
      </w:r>
      <w:r w:rsidRPr="008858B4">
        <w:t xml:space="preserve">To request a waiver of this requirement, the applicant must submit an explicit waiver request in the Full Application. </w:t>
      </w:r>
      <w:r w:rsidRPr="008B0D95">
        <w:rPr>
          <w:u w:val="single"/>
        </w:rPr>
        <w:t>Appendix C</w:t>
      </w:r>
      <w:r w:rsidRPr="008858B4">
        <w:rPr>
          <w:u w:val="single"/>
        </w:rPr>
        <w:t xml:space="preserve"> lists the</w:t>
      </w:r>
      <w:r>
        <w:rPr>
          <w:u w:val="single"/>
        </w:rPr>
        <w:t xml:space="preserve"> </w:t>
      </w:r>
      <w:r w:rsidRPr="008858B4">
        <w:rPr>
          <w:u w:val="single"/>
        </w:rPr>
        <w:t xml:space="preserve">information that must be included in a </w:t>
      </w:r>
      <w:r>
        <w:rPr>
          <w:u w:val="single"/>
        </w:rPr>
        <w:t xml:space="preserve">waiver </w:t>
      </w:r>
      <w:r w:rsidRPr="008858B4">
        <w:rPr>
          <w:u w:val="single"/>
        </w:rPr>
        <w:t>request</w:t>
      </w:r>
      <w:r w:rsidRPr="008858B4">
        <w:t>.</w:t>
      </w:r>
    </w:p>
    <w:p w14:paraId="51B4A53C" w14:textId="77777777" w:rsidR="00BA5901" w:rsidRPr="008858B4" w:rsidRDefault="00BA5901" w:rsidP="00BA5901"/>
    <w:p w14:paraId="1A33D12E" w14:textId="699A38D3" w:rsidR="00BA5901" w:rsidRPr="000F1B1D" w:rsidRDefault="00B34306" w:rsidP="00BA5901">
      <w:pPr>
        <w:pStyle w:val="FOAHeading4"/>
        <w:numPr>
          <w:ilvl w:val="3"/>
          <w:numId w:val="0"/>
        </w:numPr>
        <w:ind w:left="1440"/>
      </w:pPr>
      <w:r w:rsidRPr="000F1B1D">
        <w:t>Performance of Work in the United States</w:t>
      </w:r>
      <w:r>
        <w:t xml:space="preserve"> (</w:t>
      </w:r>
      <w:r w:rsidR="00BA5901">
        <w:t>Foreign Work Waiver Request</w:t>
      </w:r>
      <w:r>
        <w:t>)</w:t>
      </w:r>
    </w:p>
    <w:p w14:paraId="50EC9825" w14:textId="77777777" w:rsidR="00BA5901" w:rsidRDefault="00BA5901" w:rsidP="00BA5901">
      <w:pPr>
        <w:ind w:left="1440"/>
      </w:pPr>
      <w:r>
        <w:t xml:space="preserve">As set forth in </w:t>
      </w:r>
      <w:r w:rsidRPr="008B0D95">
        <w:t>Section IV.K.iii.</w:t>
      </w:r>
      <w:r w:rsidRPr="00B91783">
        <w:t>,</w:t>
      </w:r>
      <w:r w:rsidRPr="008858B4">
        <w:t xml:space="preserve"> all work </w:t>
      </w:r>
      <w:r>
        <w:t>for projects selected under this FOA</w:t>
      </w:r>
      <w:r w:rsidRPr="008858B4">
        <w:t xml:space="preserve"> must be performed in the United States</w:t>
      </w:r>
      <w:r>
        <w:t>.</w:t>
      </w:r>
      <w:r w:rsidRPr="008858B4">
        <w:t xml:space="preserve"> </w:t>
      </w:r>
      <w:bookmarkStart w:id="288" w:name="_Hlk97654201"/>
      <w:r w:rsidRPr="008858B4">
        <w:t>To request a waiver of this requirement, the applicant must submit an explicit waiver request in the Full Application.</w:t>
      </w:r>
      <w:r>
        <w:t xml:space="preserve"> </w:t>
      </w:r>
      <w:r w:rsidRPr="008B0D95">
        <w:rPr>
          <w:u w:val="single"/>
        </w:rPr>
        <w:t>Appendix C</w:t>
      </w:r>
      <w:r w:rsidRPr="008858B4">
        <w:rPr>
          <w:u w:val="single"/>
        </w:rPr>
        <w:t xml:space="preserve"> lists the information that must be included in a </w:t>
      </w:r>
      <w:r>
        <w:rPr>
          <w:u w:val="single"/>
        </w:rPr>
        <w:t>foreign work waiver reques</w:t>
      </w:r>
      <w:r w:rsidRPr="008858B4">
        <w:rPr>
          <w:u w:val="single"/>
        </w:rPr>
        <w:t>t</w:t>
      </w:r>
      <w:r w:rsidRPr="008858B4">
        <w:t>.</w:t>
      </w:r>
      <w:bookmarkEnd w:id="288"/>
    </w:p>
    <w:p w14:paraId="1F959364" w14:textId="77777777" w:rsidR="00BA5901" w:rsidRDefault="00BA5901" w:rsidP="00BA5901">
      <w:pPr>
        <w:ind w:left="1440"/>
      </w:pPr>
    </w:p>
    <w:p w14:paraId="484435E6" w14:textId="77777777" w:rsidR="00BA5901" w:rsidRPr="008858B4" w:rsidRDefault="00BA5901" w:rsidP="00BA5901">
      <w:pPr>
        <w:ind w:left="1440"/>
      </w:pPr>
      <w:r>
        <w:t xml:space="preserve">Save the Waivers in a single PDF file </w:t>
      </w:r>
      <w:r w:rsidRPr="00F51A4A">
        <w:rPr>
          <w:rFonts w:ascii="Calibri" w:hAnsi="Calibri" w:cs="Calibri"/>
          <w:color w:val="000000"/>
        </w:rPr>
        <w:t>using the following convention for the title “ControlNumber_LeadOrganization_Waiver”</w:t>
      </w:r>
      <w:r>
        <w:t>.</w:t>
      </w:r>
    </w:p>
    <w:p w14:paraId="08C9C9CC" w14:textId="6E6F8041" w:rsidR="006A5887" w:rsidRDefault="006A5887" w:rsidP="001E0D1A">
      <w:pPr>
        <w:autoSpaceDE w:val="0"/>
        <w:autoSpaceDN w:val="0"/>
        <w:adjustRightInd w:val="0"/>
        <w:rPr>
          <w:rFonts w:ascii="Calibri" w:eastAsiaTheme="minorHAnsi" w:hAnsi="Calibri" w:cstheme="minorBidi"/>
          <w:szCs w:val="22"/>
        </w:rPr>
      </w:pPr>
      <w:bookmarkStart w:id="289" w:name="_Toc378067997"/>
      <w:bookmarkStart w:id="290" w:name="_Toc378067996"/>
      <w:bookmarkStart w:id="291" w:name="_Toc378068001"/>
      <w:bookmarkEnd w:id="286"/>
    </w:p>
    <w:p w14:paraId="2E6EE01C" w14:textId="522B9C46" w:rsidR="006A5887" w:rsidRPr="00D54C61" w:rsidRDefault="006A5887" w:rsidP="00E46528">
      <w:pPr>
        <w:pStyle w:val="FOAHeading3"/>
        <w:numPr>
          <w:ilvl w:val="0"/>
          <w:numId w:val="41"/>
        </w:numPr>
        <w:ind w:left="1440"/>
        <w:outlineLvl w:val="2"/>
      </w:pPr>
      <w:bookmarkStart w:id="292" w:name="_Toc176864459"/>
      <w:r>
        <w:t>Current and Pending Support</w:t>
      </w:r>
      <w:bookmarkEnd w:id="292"/>
      <w:r>
        <w:t xml:space="preserve"> </w:t>
      </w:r>
    </w:p>
    <w:p w14:paraId="4C14C049" w14:textId="3F44B64A" w:rsidR="006A5887" w:rsidRPr="00D54C61" w:rsidRDefault="006A5887" w:rsidP="006A5887">
      <w:pPr>
        <w:ind w:left="1440"/>
        <w:rPr>
          <w:rFonts w:ascii="Calibri" w:hAnsi="Calibri"/>
        </w:rPr>
      </w:pPr>
      <w:r w:rsidRPr="00D54C61">
        <w:rPr>
          <w:rFonts w:ascii="Calibri" w:hAnsi="Calibri"/>
        </w:rPr>
        <w:t xml:space="preserve">Current and pending support is intended to allow the identification of potential duplication, overcommitment, potential conflicts of interest or commitment, and all other sources of support. </w:t>
      </w:r>
      <w:bookmarkStart w:id="293" w:name="_Hlk90040140"/>
      <w:r w:rsidRPr="00D54C61">
        <w:rPr>
          <w:rFonts w:ascii="Calibri" w:hAnsi="Calibri"/>
        </w:rPr>
        <w:t xml:space="preserve">As part of the application, the </w:t>
      </w:r>
      <w:r w:rsidR="00DF4767">
        <w:rPr>
          <w:rFonts w:ascii="Calibri" w:hAnsi="Calibri"/>
        </w:rPr>
        <w:t>P</w:t>
      </w:r>
      <w:r w:rsidRPr="00D54C61">
        <w:rPr>
          <w:rFonts w:ascii="Calibri" w:hAnsi="Calibri"/>
        </w:rPr>
        <w:t xml:space="preserve">rincipal </w:t>
      </w:r>
      <w:r w:rsidR="00DF4767">
        <w:rPr>
          <w:rFonts w:ascii="Calibri" w:hAnsi="Calibri"/>
        </w:rPr>
        <w:t>I</w:t>
      </w:r>
      <w:r w:rsidRPr="00D54C61">
        <w:rPr>
          <w:rFonts w:ascii="Calibri" w:hAnsi="Calibri"/>
        </w:rPr>
        <w:t xml:space="preserve">nvestigator and </w:t>
      </w:r>
      <w:r w:rsidR="0011279A">
        <w:rPr>
          <w:rFonts w:ascii="Calibri" w:hAnsi="Calibri"/>
        </w:rPr>
        <w:t>S</w:t>
      </w:r>
      <w:r w:rsidRPr="00D54C61">
        <w:rPr>
          <w:rFonts w:ascii="Calibri" w:hAnsi="Calibri"/>
        </w:rPr>
        <w:t>enior/</w:t>
      </w:r>
      <w:r w:rsidR="0011279A">
        <w:rPr>
          <w:rFonts w:ascii="Calibri" w:hAnsi="Calibri"/>
        </w:rPr>
        <w:t>K</w:t>
      </w:r>
      <w:r w:rsidRPr="00D54C61">
        <w:rPr>
          <w:rFonts w:ascii="Calibri" w:hAnsi="Calibri"/>
        </w:rPr>
        <w:t xml:space="preserve">ey </w:t>
      </w:r>
      <w:r w:rsidR="0011279A">
        <w:rPr>
          <w:rFonts w:ascii="Calibri" w:hAnsi="Calibri"/>
        </w:rPr>
        <w:t>P</w:t>
      </w:r>
      <w:r w:rsidRPr="00D54C61">
        <w:rPr>
          <w:rFonts w:ascii="Calibri" w:hAnsi="Calibri"/>
        </w:rPr>
        <w:t>erson</w:t>
      </w:r>
      <w:r w:rsidR="00B53E00" w:rsidRPr="00D54C61">
        <w:rPr>
          <w:rFonts w:ascii="Calibri" w:hAnsi="Calibri"/>
        </w:rPr>
        <w:t>nel</w:t>
      </w:r>
      <w:r w:rsidRPr="00D54C61">
        <w:rPr>
          <w:rFonts w:ascii="Calibri" w:hAnsi="Calibri"/>
        </w:rPr>
        <w:t xml:space="preserve"> at the </w:t>
      </w:r>
      <w:r w:rsidR="0079291B" w:rsidRPr="00D54C61">
        <w:rPr>
          <w:rFonts w:ascii="Calibri" w:hAnsi="Calibri"/>
        </w:rPr>
        <w:t>applicant</w:t>
      </w:r>
      <w:r w:rsidRPr="00D54C61">
        <w:rPr>
          <w:rFonts w:ascii="Calibri" w:hAnsi="Calibri"/>
        </w:rPr>
        <w:t xml:space="preserve"> and </w:t>
      </w:r>
      <w:r w:rsidR="007D19F0" w:rsidRPr="00D54C61">
        <w:rPr>
          <w:rFonts w:ascii="Calibri" w:hAnsi="Calibri"/>
        </w:rPr>
        <w:t>subrecipient level</w:t>
      </w:r>
      <w:r w:rsidRPr="00D54C61">
        <w:rPr>
          <w:rFonts w:ascii="Calibri" w:hAnsi="Calibri"/>
        </w:rPr>
        <w:t xml:space="preserve"> must provide a list of all sponsored activities, awards, and appointments, </w:t>
      </w:r>
      <w:bookmarkEnd w:id="293"/>
      <w:r w:rsidRPr="00D54C61">
        <w:rPr>
          <w:rFonts w:ascii="Calibri" w:hAnsi="Calibri"/>
        </w:rPr>
        <w:t xml:space="preserve">whether paid or unpaid; provided as a gift with terms or conditions or provided as a gift without terms or conditions; full-time, part-time, or voluntary; faculty, visiting, adjunct, or honorary; cash or in-kind; foreign or domestic; governmental or private-sector; directly supporting the individual’s research or indirectly supporting the individual by supporting students, research staff, space, equipment, or other research expenses. All </w:t>
      </w:r>
      <w:r w:rsidR="00E34D3A">
        <w:rPr>
          <w:rFonts w:ascii="Calibri" w:hAnsi="Calibri"/>
        </w:rPr>
        <w:t xml:space="preserve">connections with </w:t>
      </w:r>
      <w:r w:rsidRPr="00D54C61">
        <w:rPr>
          <w:rFonts w:ascii="Calibri" w:hAnsi="Calibri"/>
        </w:rPr>
        <w:t xml:space="preserve">foreign government-sponsored talent recruitment programs must be identified in current and pending support. </w:t>
      </w:r>
    </w:p>
    <w:p w14:paraId="53217FCB" w14:textId="77777777" w:rsidR="006A5887" w:rsidRPr="00D54C61" w:rsidRDefault="006A5887" w:rsidP="006A5887">
      <w:pPr>
        <w:rPr>
          <w:rFonts w:ascii="Calibri" w:hAnsi="Calibri"/>
        </w:rPr>
      </w:pPr>
    </w:p>
    <w:p w14:paraId="47306F54" w14:textId="77777777" w:rsidR="006A5887" w:rsidRPr="00D54C61" w:rsidRDefault="006A5887" w:rsidP="006A5887">
      <w:pPr>
        <w:ind w:left="1440"/>
        <w:rPr>
          <w:rFonts w:ascii="Calibri" w:hAnsi="Calibri"/>
        </w:rPr>
      </w:pPr>
      <w:r w:rsidRPr="00D54C61">
        <w:rPr>
          <w:rFonts w:ascii="Calibri" w:hAnsi="Calibri"/>
        </w:rPr>
        <w:t>For every activity, list the following items:</w:t>
      </w:r>
    </w:p>
    <w:p w14:paraId="282BC887" w14:textId="10C0DF8C" w:rsidR="006A5887" w:rsidRPr="00D54C61" w:rsidRDefault="006A5887" w:rsidP="007F355D">
      <w:pPr>
        <w:numPr>
          <w:ilvl w:val="2"/>
          <w:numId w:val="101"/>
        </w:numPr>
        <w:ind w:left="1800"/>
        <w:rPr>
          <w:rFonts w:ascii="Calibri" w:hAnsi="Calibri"/>
        </w:rPr>
      </w:pPr>
      <w:r w:rsidRPr="00D54C61">
        <w:rPr>
          <w:rFonts w:ascii="Calibri" w:hAnsi="Calibri"/>
        </w:rPr>
        <w:t>The sponsor of the activity or the source of funding</w:t>
      </w:r>
      <w:r w:rsidR="00E34D3A">
        <w:rPr>
          <w:rFonts w:ascii="Calibri" w:hAnsi="Calibri"/>
        </w:rPr>
        <w:t>;</w:t>
      </w:r>
    </w:p>
    <w:p w14:paraId="32B8A2CF" w14:textId="0FEEFD14" w:rsidR="006A5887" w:rsidRPr="00D54C61" w:rsidRDefault="006A5887" w:rsidP="007F355D">
      <w:pPr>
        <w:numPr>
          <w:ilvl w:val="2"/>
          <w:numId w:val="101"/>
        </w:numPr>
        <w:ind w:left="1800"/>
        <w:rPr>
          <w:rFonts w:ascii="Calibri" w:hAnsi="Calibri"/>
        </w:rPr>
      </w:pPr>
      <w:r w:rsidRPr="00D54C61">
        <w:rPr>
          <w:rFonts w:ascii="Calibri" w:hAnsi="Calibri"/>
        </w:rPr>
        <w:t>The award or other identifying number</w:t>
      </w:r>
      <w:r w:rsidR="00E34D3A">
        <w:rPr>
          <w:rFonts w:ascii="Calibri" w:hAnsi="Calibri"/>
        </w:rPr>
        <w:t>;</w:t>
      </w:r>
    </w:p>
    <w:p w14:paraId="704AA8C7" w14:textId="44ABDDA9" w:rsidR="006A5887" w:rsidRPr="00D54C61" w:rsidRDefault="006A5887" w:rsidP="007F355D">
      <w:pPr>
        <w:numPr>
          <w:ilvl w:val="2"/>
          <w:numId w:val="101"/>
        </w:numPr>
        <w:ind w:left="1800"/>
        <w:rPr>
          <w:rFonts w:ascii="Calibri" w:hAnsi="Calibri"/>
        </w:rPr>
      </w:pPr>
      <w:r w:rsidRPr="00D54C61">
        <w:rPr>
          <w:rFonts w:ascii="Calibri" w:hAnsi="Calibri"/>
        </w:rPr>
        <w:lastRenderedPageBreak/>
        <w:t>The title of the award or activity. If the title of the award or activity is not descriptive, add a brief description of the research being performed that would identify any overlaps or synergies with the proposed research</w:t>
      </w:r>
      <w:r w:rsidR="00E34D3A">
        <w:rPr>
          <w:rFonts w:ascii="Calibri" w:hAnsi="Calibri"/>
        </w:rPr>
        <w:t>;</w:t>
      </w:r>
    </w:p>
    <w:p w14:paraId="7B39C25D" w14:textId="739D0323" w:rsidR="006A5887" w:rsidRPr="00D54C61" w:rsidRDefault="006A5887" w:rsidP="007F355D">
      <w:pPr>
        <w:numPr>
          <w:ilvl w:val="2"/>
          <w:numId w:val="101"/>
        </w:numPr>
        <w:ind w:left="1800"/>
        <w:rPr>
          <w:rFonts w:ascii="Calibri" w:hAnsi="Calibri"/>
        </w:rPr>
      </w:pPr>
      <w:r w:rsidRPr="00D54C61">
        <w:rPr>
          <w:rFonts w:ascii="Calibri" w:hAnsi="Calibri"/>
        </w:rPr>
        <w:t>The total cost or value of the award or activity, including direct and indirect costs and cost share. For pending proposals, provide the total amount of requested funding</w:t>
      </w:r>
      <w:r w:rsidR="00E34D3A">
        <w:rPr>
          <w:rFonts w:ascii="Calibri" w:hAnsi="Calibri"/>
        </w:rPr>
        <w:t>;</w:t>
      </w:r>
    </w:p>
    <w:p w14:paraId="71E27586" w14:textId="1DF12DB4" w:rsidR="006A5887" w:rsidRPr="00D54C61" w:rsidRDefault="006A5887" w:rsidP="007F355D">
      <w:pPr>
        <w:numPr>
          <w:ilvl w:val="2"/>
          <w:numId w:val="101"/>
        </w:numPr>
        <w:ind w:left="1800"/>
        <w:rPr>
          <w:rFonts w:ascii="Calibri" w:hAnsi="Calibri"/>
        </w:rPr>
      </w:pPr>
      <w:r w:rsidRPr="00D54C61">
        <w:rPr>
          <w:rFonts w:ascii="Calibri" w:hAnsi="Calibri"/>
        </w:rPr>
        <w:t xml:space="preserve">The award period (start date </w:t>
      </w:r>
      <w:r w:rsidR="00E34D3A">
        <w:rPr>
          <w:rFonts w:ascii="Calibri" w:hAnsi="Calibri"/>
        </w:rPr>
        <w:t>through</w:t>
      </w:r>
      <w:r w:rsidRPr="00D54C61">
        <w:rPr>
          <w:rFonts w:ascii="Calibri" w:hAnsi="Calibri"/>
        </w:rPr>
        <w:t xml:space="preserve"> end date)</w:t>
      </w:r>
      <w:r w:rsidR="00E34D3A">
        <w:rPr>
          <w:rFonts w:ascii="Calibri" w:hAnsi="Calibri"/>
        </w:rPr>
        <w:t>; and</w:t>
      </w:r>
    </w:p>
    <w:p w14:paraId="17C38CBE" w14:textId="0A275357" w:rsidR="006A5887" w:rsidRPr="00D54C61" w:rsidRDefault="006A5887" w:rsidP="007F355D">
      <w:pPr>
        <w:numPr>
          <w:ilvl w:val="2"/>
          <w:numId w:val="101"/>
        </w:numPr>
        <w:ind w:left="1800"/>
        <w:rPr>
          <w:rFonts w:ascii="Calibri" w:hAnsi="Calibri"/>
        </w:rPr>
      </w:pPr>
      <w:r w:rsidRPr="00D54C61">
        <w:rPr>
          <w:rFonts w:ascii="Calibri" w:hAnsi="Calibri"/>
        </w:rPr>
        <w:t>The person-months of effort per year dedicated to the award or activity</w:t>
      </w:r>
      <w:r w:rsidR="00E34D3A">
        <w:rPr>
          <w:rFonts w:ascii="Calibri" w:hAnsi="Calibri"/>
        </w:rPr>
        <w:t>.</w:t>
      </w:r>
    </w:p>
    <w:p w14:paraId="43FB20A0" w14:textId="77777777" w:rsidR="006A5887" w:rsidRPr="00D54C61" w:rsidRDefault="006A5887" w:rsidP="006A5887">
      <w:pPr>
        <w:ind w:left="720"/>
        <w:rPr>
          <w:rFonts w:ascii="Calibri" w:hAnsi="Calibri"/>
        </w:rPr>
      </w:pPr>
    </w:p>
    <w:p w14:paraId="141F7E88" w14:textId="13555AF9" w:rsidR="006A5887" w:rsidRPr="00D54C61" w:rsidRDefault="00E34D3A" w:rsidP="006A5887">
      <w:pPr>
        <w:ind w:left="1440"/>
        <w:rPr>
          <w:rFonts w:ascii="Calibri" w:hAnsi="Calibri"/>
        </w:rPr>
      </w:pPr>
      <w:r>
        <w:rPr>
          <w:rFonts w:ascii="Calibri" w:hAnsi="Calibri"/>
        </w:rPr>
        <w:t>To</w:t>
      </w:r>
      <w:r w:rsidR="006A5887" w:rsidRPr="00D54C61">
        <w:rPr>
          <w:rFonts w:ascii="Calibri" w:hAnsi="Calibri"/>
        </w:rPr>
        <w:t xml:space="preserve"> identify overlap, duplication of effort, or synergistic efforts, append a description of the other award or activity to the current and pending support.</w:t>
      </w:r>
    </w:p>
    <w:p w14:paraId="1745EA2C" w14:textId="77777777" w:rsidR="006A5887" w:rsidRPr="00D54C61" w:rsidRDefault="006A5887" w:rsidP="006A5887">
      <w:pPr>
        <w:ind w:left="1440"/>
        <w:rPr>
          <w:rFonts w:ascii="Calibri" w:hAnsi="Calibri"/>
        </w:rPr>
      </w:pPr>
    </w:p>
    <w:p w14:paraId="09D8F582" w14:textId="6D8A3938" w:rsidR="00E34D3A" w:rsidRPr="00C81B0D" w:rsidRDefault="006A5887" w:rsidP="00E34D3A">
      <w:pPr>
        <w:ind w:left="1440"/>
        <w:rPr>
          <w:rFonts w:ascii="Calibri" w:hAnsi="Calibri"/>
          <w:highlight w:val="green"/>
        </w:rPr>
      </w:pPr>
      <w:r w:rsidRPr="00D54C61">
        <w:rPr>
          <w:rFonts w:ascii="Calibri" w:hAnsi="Calibri"/>
        </w:rPr>
        <w:t>Details of any obligations, contractual or otherwise, to any program, entity, or organization sponsored by a foreign government must be provided on request to either the applicant institution or DOE</w:t>
      </w:r>
      <w:r w:rsidRPr="006759AC">
        <w:rPr>
          <w:rFonts w:ascii="Calibri" w:hAnsi="Calibri"/>
        </w:rPr>
        <w:t>.</w:t>
      </w:r>
      <w:r w:rsidR="00E34D3A" w:rsidRPr="006759AC">
        <w:rPr>
          <w:rFonts w:ascii="Calibri" w:hAnsi="Calibri"/>
        </w:rPr>
        <w:t xml:space="preserve"> Supporting documents of any identified source of support must be provided to DOE on request, including certified translations of any document.</w:t>
      </w:r>
    </w:p>
    <w:p w14:paraId="4700A404" w14:textId="77777777" w:rsidR="006A5887" w:rsidRPr="00D54C61" w:rsidRDefault="006A5887" w:rsidP="00E34D3A">
      <w:pPr>
        <w:pStyle w:val="FOATemplateBody"/>
        <w:rPr>
          <w:rFonts w:asciiTheme="minorHAnsi" w:hAnsiTheme="minorHAnsi"/>
        </w:rPr>
      </w:pPr>
    </w:p>
    <w:p w14:paraId="7EA0FB73" w14:textId="4878DECB" w:rsidR="006A5887" w:rsidRPr="00D54C61" w:rsidRDefault="006A5887" w:rsidP="006A5887">
      <w:pPr>
        <w:ind w:left="1440"/>
        <w:rPr>
          <w:rFonts w:cstheme="minorHAnsi"/>
          <w:szCs w:val="24"/>
        </w:rPr>
      </w:pPr>
      <w:r w:rsidRPr="00D54C61">
        <w:rPr>
          <w:rFonts w:cstheme="minorHAnsi"/>
          <w:szCs w:val="24"/>
        </w:rPr>
        <w:t xml:space="preserve">PIs and </w:t>
      </w:r>
      <w:r w:rsidR="0011279A">
        <w:rPr>
          <w:rFonts w:cstheme="minorHAnsi"/>
          <w:szCs w:val="24"/>
        </w:rPr>
        <w:t>S</w:t>
      </w:r>
      <w:r w:rsidRPr="00D54C61">
        <w:rPr>
          <w:rFonts w:cstheme="minorHAnsi"/>
          <w:szCs w:val="24"/>
        </w:rPr>
        <w:t>enior/</w:t>
      </w:r>
      <w:r w:rsidR="0011279A">
        <w:rPr>
          <w:rFonts w:cstheme="minorHAnsi"/>
          <w:szCs w:val="24"/>
        </w:rPr>
        <w:t>K</w:t>
      </w:r>
      <w:r w:rsidRPr="00D54C61">
        <w:rPr>
          <w:rFonts w:cstheme="minorHAnsi"/>
          <w:szCs w:val="24"/>
        </w:rPr>
        <w:t xml:space="preserve">ey </w:t>
      </w:r>
      <w:r w:rsidR="0011279A">
        <w:rPr>
          <w:rFonts w:cstheme="minorHAnsi"/>
          <w:szCs w:val="24"/>
        </w:rPr>
        <w:t>P</w:t>
      </w:r>
      <w:r w:rsidRPr="00D54C61">
        <w:rPr>
          <w:rFonts w:cstheme="minorHAnsi"/>
          <w:szCs w:val="24"/>
        </w:rPr>
        <w:t xml:space="preserve">ersonnel must provide a separate disclosure statement listing the required information above regarding current and pending support. Each individual must sign and date their respective disclosure statement and include the following certification statement: </w:t>
      </w:r>
    </w:p>
    <w:p w14:paraId="00DB6E5B" w14:textId="6CC8A9EE" w:rsidR="006A5887" w:rsidRPr="00D54C61" w:rsidRDefault="006A5887" w:rsidP="00604DB0">
      <w:pPr>
        <w:pStyle w:val="BodyTextIndent3"/>
        <w:ind w:left="2160" w:right="720" w:firstLine="0"/>
        <w:rPr>
          <w:rFonts w:asciiTheme="minorHAnsi" w:hAnsiTheme="minorHAnsi" w:cstheme="minorHAnsi"/>
          <w:sz w:val="24"/>
          <w:szCs w:val="24"/>
        </w:rPr>
      </w:pPr>
      <w:r w:rsidRPr="00D54C61">
        <w:rPr>
          <w:rFonts w:asciiTheme="minorHAnsi" w:hAnsiTheme="minorHAnsi" w:cstheme="minorHAnsi"/>
          <w:sz w:val="24"/>
          <w:szCs w:val="24"/>
        </w:rPr>
        <w:t>I, [Full Name and Title], certify to the best of my knowledge and belief that the information contained in this Current and Pending Support Disclosure Statement is true, complete</w:t>
      </w:r>
      <w:r w:rsidR="00E34D3A">
        <w:rPr>
          <w:rFonts w:asciiTheme="minorHAnsi" w:hAnsiTheme="minorHAnsi" w:cstheme="minorHAnsi"/>
          <w:sz w:val="24"/>
          <w:szCs w:val="24"/>
        </w:rPr>
        <w:t>,</w:t>
      </w:r>
      <w:r w:rsidRPr="00D54C61">
        <w:rPr>
          <w:rFonts w:asciiTheme="minorHAnsi" w:hAnsiTheme="minorHAnsi" w:cstheme="minorHAnsi"/>
          <w:sz w:val="24"/>
          <w:szCs w:val="24"/>
        </w:rPr>
        <w:t xml:space="preserve"> and accurate.</w:t>
      </w:r>
      <w:r w:rsidR="00604DB0" w:rsidRPr="00D54C61">
        <w:rPr>
          <w:rFonts w:asciiTheme="minorHAnsi" w:hAnsiTheme="minorHAnsi" w:cstheme="minorHAnsi"/>
          <w:sz w:val="24"/>
          <w:szCs w:val="24"/>
        </w:rPr>
        <w:t xml:space="preserve"> </w:t>
      </w:r>
      <w:r w:rsidRPr="00D54C61">
        <w:rPr>
          <w:rFonts w:asciiTheme="minorHAnsi" w:hAnsiTheme="minorHAnsi" w:cstheme="minorHAnsi"/>
          <w:sz w:val="24"/>
          <w:szCs w:val="24"/>
        </w:rPr>
        <w:t>I understand that any false, fictitious, or fraudulent information, misrepresentations, half-truths, or omissions of any material fact, may subject me to criminal, civil</w:t>
      </w:r>
      <w:r w:rsidR="00E34D3A">
        <w:rPr>
          <w:rFonts w:asciiTheme="minorHAnsi" w:hAnsiTheme="minorHAnsi" w:cstheme="minorHAnsi"/>
          <w:sz w:val="24"/>
          <w:szCs w:val="24"/>
        </w:rPr>
        <w:t>,</w:t>
      </w:r>
      <w:r w:rsidRPr="00D54C61">
        <w:rPr>
          <w:rFonts w:asciiTheme="minorHAnsi" w:hAnsiTheme="minorHAnsi" w:cstheme="minorHAnsi"/>
          <w:sz w:val="24"/>
          <w:szCs w:val="24"/>
        </w:rPr>
        <w:t xml:space="preserve"> or administrative penalties for fraud, false statements, false claims or otherwise. (18 U.S.C. §§ 1001 and 287, and 31 U.S.C. 3729-373</w:t>
      </w:r>
      <w:r w:rsidR="00E34D3A">
        <w:rPr>
          <w:rFonts w:asciiTheme="minorHAnsi" w:hAnsiTheme="minorHAnsi" w:cstheme="minorHAnsi"/>
          <w:sz w:val="24"/>
          <w:szCs w:val="24"/>
        </w:rPr>
        <w:t>3</w:t>
      </w:r>
      <w:r w:rsidRPr="00D54C61">
        <w:rPr>
          <w:rFonts w:asciiTheme="minorHAnsi" w:hAnsiTheme="minorHAnsi" w:cstheme="minorHAnsi"/>
          <w:sz w:val="24"/>
          <w:szCs w:val="24"/>
        </w:rPr>
        <w:t xml:space="preserve"> and 3801-3812).</w:t>
      </w:r>
      <w:r w:rsidR="00604DB0" w:rsidRPr="00D54C61">
        <w:rPr>
          <w:rFonts w:asciiTheme="minorHAnsi" w:hAnsiTheme="minorHAnsi" w:cstheme="minorHAnsi"/>
          <w:sz w:val="24"/>
          <w:szCs w:val="24"/>
        </w:rPr>
        <w:t xml:space="preserve"> </w:t>
      </w:r>
      <w:r w:rsidRPr="00D54C61">
        <w:rPr>
          <w:rFonts w:asciiTheme="minorHAnsi" w:hAnsiTheme="minorHAnsi" w:cstheme="minorHAnsi"/>
          <w:sz w:val="24"/>
          <w:szCs w:val="24"/>
        </w:rPr>
        <w:t>I further understand and agree that (1) the statements and representations made herein are material to DOE’s funding decision, and (2) I have a responsibility to update the disclosures during the period of performance of the award should circumstances change which impact the responses provided above.</w:t>
      </w:r>
    </w:p>
    <w:p w14:paraId="28A95451" w14:textId="4A43FF93" w:rsidR="00DF4767" w:rsidRDefault="00DF4767" w:rsidP="001E46DE">
      <w:pPr>
        <w:ind w:left="1440"/>
        <w:rPr>
          <w:rFonts w:cstheme="minorHAnsi"/>
        </w:rPr>
      </w:pPr>
      <w:r w:rsidRPr="00DF0FC8">
        <w:rPr>
          <w:rFonts w:cstheme="minorHAnsi"/>
        </w:rPr>
        <w:t xml:space="preserve">The information may be provided in the approved common disclosure format available at: </w:t>
      </w:r>
      <w:hyperlink r:id="rId38" w:tgtFrame="_blank" w:history="1">
        <w:r w:rsidRPr="00DF0FC8">
          <w:rPr>
            <w:rStyle w:val="Hyperlink"/>
            <w:rFonts w:cstheme="minorHAnsi"/>
          </w:rPr>
          <w:t>https://www.nsf.gov/bfa/dias/policy/researchprotection/commonform_cps.pdf</w:t>
        </w:r>
      </w:hyperlink>
      <w:r w:rsidRPr="00DF0FC8">
        <w:rPr>
          <w:rFonts w:cstheme="minorHAnsi"/>
        </w:rPr>
        <w:t>. Regardless of the format used, the individual must include a signature, date, and a certification statement using the language included in the paragraph above. </w:t>
      </w:r>
    </w:p>
    <w:p w14:paraId="3201202C" w14:textId="77777777" w:rsidR="00F54BF4" w:rsidRPr="00D54C61" w:rsidRDefault="00F54BF4" w:rsidP="00EF3121">
      <w:pPr>
        <w:autoSpaceDE w:val="0"/>
        <w:autoSpaceDN w:val="0"/>
        <w:adjustRightInd w:val="0"/>
        <w:ind w:left="1440"/>
        <w:rPr>
          <w:rFonts w:ascii="Calibri" w:eastAsiaTheme="minorHAnsi" w:hAnsi="Calibri" w:cstheme="minorBidi"/>
          <w:szCs w:val="22"/>
        </w:rPr>
      </w:pPr>
    </w:p>
    <w:p w14:paraId="0C0C080C" w14:textId="2865FB31" w:rsidR="009112C1" w:rsidRPr="00D54C61" w:rsidRDefault="00F54BF4" w:rsidP="00EF3121">
      <w:pPr>
        <w:autoSpaceDE w:val="0"/>
        <w:autoSpaceDN w:val="0"/>
        <w:adjustRightInd w:val="0"/>
        <w:ind w:left="1440"/>
        <w:rPr>
          <w:rFonts w:ascii="Calibri" w:eastAsiaTheme="minorHAnsi" w:hAnsi="Calibri" w:cstheme="minorBidi"/>
          <w:szCs w:val="22"/>
        </w:rPr>
      </w:pPr>
      <w:r w:rsidRPr="00D54C61">
        <w:rPr>
          <w:rFonts w:ascii="Calibri" w:eastAsiaTheme="minorHAnsi" w:hAnsi="Calibri" w:cstheme="minorBidi"/>
          <w:szCs w:val="22"/>
        </w:rPr>
        <w:t xml:space="preserve">Save the Current and Pending Support in a single PDF file </w:t>
      </w:r>
      <w:r w:rsidRPr="00D54C61">
        <w:rPr>
          <w:rFonts w:ascii="Calibri" w:eastAsiaTheme="minorHAnsi" w:hAnsi="Calibri"/>
          <w:color w:val="000000"/>
        </w:rPr>
        <w:t>using the following convention for the title “</w:t>
      </w:r>
      <w:r w:rsidR="00BD1C4D" w:rsidRPr="00D54C61">
        <w:rPr>
          <w:rFonts w:cs="Calibri"/>
          <w:color w:val="000000"/>
          <w:szCs w:val="24"/>
        </w:rPr>
        <w:t>ControlNumber_LeadOrganization</w:t>
      </w:r>
      <w:r w:rsidR="00082791" w:rsidRPr="00D54C61">
        <w:rPr>
          <w:rFonts w:ascii="Calibri" w:eastAsiaTheme="minorHAnsi" w:hAnsi="Calibri"/>
          <w:color w:val="000000"/>
        </w:rPr>
        <w:t>_</w:t>
      </w:r>
      <w:r w:rsidR="00BD1C4D" w:rsidRPr="00D54C61">
        <w:rPr>
          <w:rFonts w:ascii="Calibri" w:eastAsiaTheme="minorHAnsi" w:hAnsi="Calibri"/>
          <w:color w:val="000000"/>
        </w:rPr>
        <w:t>CPS</w:t>
      </w:r>
      <w:r w:rsidRPr="00D54C61">
        <w:rPr>
          <w:rFonts w:ascii="Calibri" w:eastAsiaTheme="minorHAnsi" w:hAnsi="Calibri"/>
          <w:color w:val="000000"/>
        </w:rPr>
        <w:t>”</w:t>
      </w:r>
      <w:r w:rsidRPr="00D54C61">
        <w:rPr>
          <w:rFonts w:ascii="Calibri" w:eastAsiaTheme="minorHAnsi" w:hAnsi="Calibri" w:cstheme="minorBidi"/>
          <w:szCs w:val="22"/>
        </w:rPr>
        <w:t>.</w:t>
      </w:r>
    </w:p>
    <w:p w14:paraId="518629BA" w14:textId="77777777" w:rsidR="00BA5901" w:rsidRPr="00D54C61" w:rsidRDefault="00BA5901" w:rsidP="00EF3121">
      <w:pPr>
        <w:autoSpaceDE w:val="0"/>
        <w:autoSpaceDN w:val="0"/>
        <w:adjustRightInd w:val="0"/>
        <w:ind w:left="1440"/>
        <w:rPr>
          <w:rFonts w:ascii="Calibri" w:eastAsiaTheme="minorHAnsi" w:hAnsi="Calibri" w:cstheme="minorBidi"/>
          <w:szCs w:val="22"/>
        </w:rPr>
      </w:pPr>
    </w:p>
    <w:p w14:paraId="513D7B29" w14:textId="77777777" w:rsidR="00BA5901" w:rsidRPr="00D54C61" w:rsidRDefault="00BA5901" w:rsidP="00BA5901">
      <w:pPr>
        <w:autoSpaceDE w:val="0"/>
        <w:autoSpaceDN w:val="0"/>
        <w:adjustRightInd w:val="0"/>
        <w:ind w:left="1440"/>
        <w:rPr>
          <w:rFonts w:cstheme="minorBidi"/>
          <w:b/>
          <w:bCs/>
        </w:rPr>
      </w:pPr>
      <w:r w:rsidRPr="00D54C61">
        <w:rPr>
          <w:rFonts w:cstheme="minorBidi"/>
          <w:b/>
          <w:bCs/>
        </w:rPr>
        <w:t xml:space="preserve">Definitions: </w:t>
      </w:r>
    </w:p>
    <w:p w14:paraId="3EAAC5C9" w14:textId="77777777" w:rsidR="00BA5901" w:rsidRPr="00D54C61" w:rsidRDefault="00BA5901" w:rsidP="00BA5901">
      <w:pPr>
        <w:ind w:left="1440"/>
        <w:rPr>
          <w:rFonts w:cstheme="minorHAnsi"/>
          <w:b/>
          <w:bCs/>
          <w:szCs w:val="24"/>
        </w:rPr>
      </w:pPr>
    </w:p>
    <w:p w14:paraId="38728D75" w14:textId="77777777" w:rsidR="00BA5901" w:rsidRPr="00D54C61" w:rsidRDefault="00BA5901" w:rsidP="00BA5901">
      <w:pPr>
        <w:autoSpaceDE w:val="0"/>
        <w:autoSpaceDN w:val="0"/>
        <w:adjustRightInd w:val="0"/>
        <w:ind w:left="1440"/>
        <w:rPr>
          <w:rFonts w:cstheme="minorBidi"/>
        </w:rPr>
      </w:pPr>
      <w:r w:rsidRPr="00D54C61">
        <w:rPr>
          <w:rFonts w:cstheme="minorBidi"/>
          <w:b/>
          <w:bCs/>
        </w:rPr>
        <w:t>Current and pending support</w:t>
      </w:r>
      <w:r w:rsidRPr="00D54C61">
        <w:rPr>
          <w:rFonts w:cstheme="minorBidi"/>
        </w:rPr>
        <w:t xml:space="preserve"> – (a) All resources made available, or expected to be made available, to an individual in support of the individual’s RD&amp;D efforts, regardless of (i) whether the source is foreign or domestic; (ii) whether the resource is made available through the entity applying for an award or directly to the individual; or (iii) whether the resource has monetary value; and (b) includes in-kind contributions requiring a commitment of time and directly supporting the individual’s RD&amp;D efforts, such as the provision of office or laboratory space, equipment, supplies, employees, or students. This term has the same meaning as the term Other Support as applied to researchers in NSPM-33: For researchers, Other Support includes all resources made available to a researcher in support of and/or related to all of their professional RD&amp;D efforts, including resources provided directly to the individual or through the organization, and regardless of whether or not they have monetary value (e.g., even if the support received is only in-kind, such as office/laboratory space, equipment, supplies, or employees). This includes resource and/or financial support from all foreign and domestic entities, including but not limited to gifts provided with terms or conditions, financial support for laboratory personnel, and participation of student and visiting researchers supported by other sources of funding. </w:t>
      </w:r>
    </w:p>
    <w:p w14:paraId="1DA98863" w14:textId="77777777" w:rsidR="00BA5901" w:rsidRPr="00D54C61" w:rsidRDefault="00BA5901" w:rsidP="00BA5901">
      <w:pPr>
        <w:widowControl w:val="0"/>
        <w:autoSpaceDE w:val="0"/>
        <w:autoSpaceDN w:val="0"/>
        <w:ind w:left="1440"/>
        <w:rPr>
          <w:rFonts w:cstheme="minorHAnsi"/>
          <w:szCs w:val="24"/>
        </w:rPr>
      </w:pPr>
    </w:p>
    <w:p w14:paraId="0BE2115D" w14:textId="77777777" w:rsidR="00BA5901" w:rsidRPr="00D54C61" w:rsidRDefault="00BA5901" w:rsidP="00BA5901">
      <w:pPr>
        <w:autoSpaceDE w:val="0"/>
        <w:autoSpaceDN w:val="0"/>
        <w:adjustRightInd w:val="0"/>
        <w:ind w:left="1440"/>
        <w:rPr>
          <w:rFonts w:cstheme="minorBidi"/>
          <w:b/>
          <w:bCs/>
        </w:rPr>
      </w:pPr>
      <w:r w:rsidRPr="00D54C61">
        <w:rPr>
          <w:rFonts w:eastAsiaTheme="minorEastAsia" w:cstheme="minorBidi"/>
          <w:b/>
          <w:bCs/>
        </w:rPr>
        <w:t xml:space="preserve">Foreign Government-Sponsored Talent Recruitment Program </w:t>
      </w:r>
      <w:r w:rsidRPr="00D54C61">
        <w:rPr>
          <w:rFonts w:cstheme="minorBidi"/>
        </w:rPr>
        <w:t>–</w:t>
      </w:r>
      <w:r w:rsidRPr="00D54C61">
        <w:rPr>
          <w:rFonts w:eastAsiaTheme="minorEastAsia" w:cstheme="minorBidi"/>
          <w:b/>
          <w:bCs/>
        </w:rPr>
        <w:t xml:space="preserve"> </w:t>
      </w:r>
      <w:r w:rsidRPr="00D54C61">
        <w:rPr>
          <w:rFonts w:eastAsiaTheme="minorEastAsia" w:cstheme="minorBidi"/>
        </w:rPr>
        <w:t xml:space="preserve">An effort directly or indirectly organized, managed, or funded by a foreign government, or a foreign government instrumentality or entity, to recruit science and technology professionals or students (regardless of citizenship or national origin, or whether having a full-time or part-time position). Some foreign government-sponsored talent recruitment programs operate with the intent to import or otherwise acquire from abroad, sometimes through illicit means, proprietary technology or software, unpublished data and methods, and intellectual property to further the military modernization goals and/or economic goals of a foreign government. Many, but not all, programs aim to incentivize the targeted individual to physically relocate to the foreign state for the above purpose. Some programs allow for or encourage continued employment at United States research facilities or receipt of federal research funds while concurrently working at and/or receiving compensation from a foreign institution, and some direct participants not to disclose their participation to United States entities. Compensation could take many forms including cash, research funding, complimentary foreign travel, honorific titles, career advancement </w:t>
      </w:r>
      <w:r w:rsidRPr="00D54C61">
        <w:rPr>
          <w:rFonts w:eastAsiaTheme="minorEastAsia" w:cstheme="minorBidi"/>
        </w:rPr>
        <w:lastRenderedPageBreak/>
        <w:t>opportunities, promised future compensation, or other types of remuneration or consideration, including in-kind compensation.</w:t>
      </w:r>
    </w:p>
    <w:p w14:paraId="7AC0D6A0" w14:textId="77777777" w:rsidR="00BA5901" w:rsidRPr="00D54C61" w:rsidRDefault="00BA5901" w:rsidP="00BA5901">
      <w:pPr>
        <w:widowControl w:val="0"/>
        <w:autoSpaceDE w:val="0"/>
        <w:autoSpaceDN w:val="0"/>
        <w:ind w:left="1440"/>
        <w:rPr>
          <w:rFonts w:cstheme="minorHAnsi"/>
          <w:b/>
          <w:bCs/>
          <w:szCs w:val="24"/>
        </w:rPr>
      </w:pPr>
    </w:p>
    <w:p w14:paraId="5F57B142" w14:textId="50B17EEE" w:rsidR="00BA5901" w:rsidRPr="00A85646" w:rsidRDefault="00BA5901" w:rsidP="05E8A4DB">
      <w:pPr>
        <w:autoSpaceDE w:val="0"/>
        <w:autoSpaceDN w:val="0"/>
        <w:adjustRightInd w:val="0"/>
        <w:ind w:left="1440"/>
        <w:rPr>
          <w:rFonts w:cstheme="minorBidi"/>
        </w:rPr>
      </w:pPr>
      <w:r w:rsidRPr="05E8A4DB">
        <w:rPr>
          <w:rFonts w:cstheme="minorBidi"/>
          <w:b/>
          <w:bCs/>
        </w:rPr>
        <w:t>Senior/</w:t>
      </w:r>
      <w:r w:rsidR="0011279A" w:rsidRPr="05E8A4DB">
        <w:rPr>
          <w:rFonts w:cstheme="minorBidi"/>
          <w:b/>
          <w:bCs/>
        </w:rPr>
        <w:t>K</w:t>
      </w:r>
      <w:r w:rsidRPr="05E8A4DB">
        <w:rPr>
          <w:rFonts w:cstheme="minorBidi"/>
          <w:b/>
          <w:bCs/>
        </w:rPr>
        <w:t xml:space="preserve">ey </w:t>
      </w:r>
      <w:r w:rsidR="0011279A" w:rsidRPr="05E8A4DB">
        <w:rPr>
          <w:rFonts w:cstheme="minorBidi"/>
          <w:b/>
          <w:bCs/>
        </w:rPr>
        <w:t>P</w:t>
      </w:r>
      <w:r w:rsidRPr="05E8A4DB">
        <w:rPr>
          <w:rFonts w:cstheme="minorBidi"/>
          <w:b/>
          <w:bCs/>
        </w:rPr>
        <w:t>ersonnel</w:t>
      </w:r>
      <w:r w:rsidRPr="05E8A4DB">
        <w:rPr>
          <w:rFonts w:cstheme="minorBidi"/>
        </w:rPr>
        <w:t xml:space="preserve"> – An individual who contributes in a substantive, meaningful way to the scientific development or execution of a research, </w:t>
      </w:r>
      <w:r w:rsidR="004345EE" w:rsidRPr="05E8A4DB">
        <w:rPr>
          <w:rFonts w:cstheme="minorBidi"/>
        </w:rPr>
        <w:t>development,</w:t>
      </w:r>
      <w:r w:rsidRPr="05E8A4DB">
        <w:rPr>
          <w:rFonts w:cstheme="minorBidi"/>
        </w:rPr>
        <w:t xml:space="preserve"> and demonstration (RD&amp;D) project proposed to be carried out with a DOE award.</w:t>
      </w:r>
      <w:r w:rsidRPr="00D54C61">
        <w:rPr>
          <w:rFonts w:cstheme="minorBidi"/>
          <w:vertAlign w:val="superscript"/>
        </w:rPr>
        <w:footnoteReference w:id="49"/>
      </w:r>
      <w:r w:rsidRPr="05E8A4DB">
        <w:rPr>
          <w:rFonts w:cstheme="minorBidi"/>
        </w:rPr>
        <w:t xml:space="preserve"> </w:t>
      </w:r>
    </w:p>
    <w:p w14:paraId="0FAA189E" w14:textId="77777777" w:rsidR="00C458EA" w:rsidRPr="00A85646" w:rsidRDefault="00C458EA" w:rsidP="005903AF">
      <w:pPr>
        <w:pStyle w:val="FOATemplateBody"/>
        <w:rPr>
          <w:highlight w:val="green"/>
        </w:rPr>
      </w:pPr>
      <w:bookmarkStart w:id="294" w:name="_Toc122697777"/>
      <w:bookmarkStart w:id="295" w:name="_Toc122679783"/>
      <w:bookmarkStart w:id="296" w:name="_Toc140060961"/>
    </w:p>
    <w:p w14:paraId="03065141" w14:textId="77777777" w:rsidR="00BA5901" w:rsidRPr="00D54C61" w:rsidRDefault="00BA5901" w:rsidP="00BA5901">
      <w:pPr>
        <w:pStyle w:val="FOAHeading3"/>
        <w:keepNext w:val="0"/>
        <w:numPr>
          <w:ilvl w:val="0"/>
          <w:numId w:val="36"/>
        </w:numPr>
        <w:ind w:left="1440"/>
        <w:outlineLvl w:val="2"/>
      </w:pPr>
      <w:bookmarkStart w:id="297" w:name="_Toc176864460"/>
      <w:r w:rsidRPr="00D54C61">
        <w:t>Transparency of Foreign Connections</w:t>
      </w:r>
      <w:bookmarkEnd w:id="294"/>
      <w:bookmarkEnd w:id="295"/>
      <w:bookmarkEnd w:id="296"/>
      <w:bookmarkEnd w:id="297"/>
    </w:p>
    <w:p w14:paraId="2467E176" w14:textId="77777777" w:rsidR="00BA5901" w:rsidRPr="00D54C61" w:rsidRDefault="00BA5901" w:rsidP="00BA5901">
      <w:pPr>
        <w:autoSpaceDE w:val="0"/>
        <w:autoSpaceDN w:val="0"/>
        <w:adjustRightInd w:val="0"/>
        <w:ind w:left="1440"/>
        <w:rPr>
          <w:rFonts w:cstheme="minorBidi"/>
        </w:rPr>
      </w:pPr>
      <w:r w:rsidRPr="00D54C61">
        <w:rPr>
          <w:rFonts w:cstheme="minorBidi"/>
        </w:rPr>
        <w:t xml:space="preserve">Applicants must provide the following as it relates to the proposed recipient and subrecipients. Include a separate disclosure for the applicant and each proposed subrecipient. U.S. National Laboratories, domestic government entities, and institutions of higher education are only required to respond to items 1, 2 and 9, and if applying as to serve as the prime recipient, must provide complete responses for project team members that are not U.S. National Laboratories, domestic government entities, or institutions of higher education. </w:t>
      </w:r>
    </w:p>
    <w:p w14:paraId="40414436" w14:textId="77777777" w:rsidR="00BA5901" w:rsidRPr="00D54C61" w:rsidRDefault="00BA5901" w:rsidP="00BA5901">
      <w:pPr>
        <w:autoSpaceDE w:val="0"/>
        <w:autoSpaceDN w:val="0"/>
        <w:adjustRightInd w:val="0"/>
        <w:ind w:left="1440"/>
        <w:rPr>
          <w:rFonts w:cstheme="minorBidi"/>
        </w:rPr>
      </w:pPr>
    </w:p>
    <w:p w14:paraId="22E29C04" w14:textId="7502EC4F"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Entity name, website address</w:t>
      </w:r>
      <w:r w:rsidR="003C6F0F">
        <w:rPr>
          <w:rFonts w:cstheme="minorBidi"/>
        </w:rPr>
        <w:t>,</w:t>
      </w:r>
      <w:r w:rsidRPr="00D54C61">
        <w:rPr>
          <w:rFonts w:cstheme="minorBidi"/>
        </w:rPr>
        <w:t xml:space="preserve"> and </w:t>
      </w:r>
      <w:r w:rsidR="00DF4767">
        <w:rPr>
          <w:rFonts w:cstheme="minorBidi"/>
        </w:rPr>
        <w:t xml:space="preserve">physical </w:t>
      </w:r>
      <w:r w:rsidRPr="00D54C61">
        <w:rPr>
          <w:rFonts w:cstheme="minorBidi"/>
        </w:rPr>
        <w:t>address;</w:t>
      </w:r>
    </w:p>
    <w:p w14:paraId="6A881B78" w14:textId="788363C6"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 xml:space="preserve">The identity of all owners, principal investigators, project managers, and </w:t>
      </w:r>
      <w:r w:rsidR="0011279A">
        <w:rPr>
          <w:rFonts w:cstheme="minorBidi"/>
        </w:rPr>
        <w:t>S</w:t>
      </w:r>
      <w:r w:rsidRPr="00D54C61">
        <w:rPr>
          <w:rFonts w:cstheme="minorBidi"/>
        </w:rPr>
        <w:t>enior/</w:t>
      </w:r>
      <w:r w:rsidR="0011279A">
        <w:rPr>
          <w:rFonts w:cstheme="minorBidi"/>
        </w:rPr>
        <w:t>K</w:t>
      </w:r>
      <w:r w:rsidRPr="00D54C61">
        <w:rPr>
          <w:rFonts w:cstheme="minorBidi"/>
        </w:rPr>
        <w:t xml:space="preserve">ey </w:t>
      </w:r>
      <w:r w:rsidR="0011279A">
        <w:rPr>
          <w:rFonts w:cstheme="minorBidi"/>
        </w:rPr>
        <w:t>P</w:t>
      </w:r>
      <w:r w:rsidRPr="00D54C61">
        <w:rPr>
          <w:rFonts w:cstheme="minorBidi"/>
        </w:rPr>
        <w:t xml:space="preserve">ersonnel who are a party to any </w:t>
      </w:r>
      <w:r w:rsidRPr="00D54C61">
        <w:rPr>
          <w:rFonts w:eastAsiaTheme="minorEastAsia"/>
          <w:i/>
          <w:iCs/>
        </w:rPr>
        <w:t>Foreign Government-Sponsored Talent Recruitment Program</w:t>
      </w:r>
      <w:r w:rsidRPr="00D54C61">
        <w:rPr>
          <w:rFonts w:cstheme="minorBidi"/>
        </w:rPr>
        <w:t xml:space="preserve"> of a foreign country of risk (i.e., China, Iran, North Korea, and Russia);</w:t>
      </w:r>
      <w:bookmarkStart w:id="298" w:name="substructure-location_g_13_B"/>
      <w:bookmarkEnd w:id="298"/>
    </w:p>
    <w:p w14:paraId="0292B885" w14:textId="75652F7E"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The existence of any joint venture or subsidiary that is based in, funded by, or has a foreign affiliation with any foreign country of risk</w:t>
      </w:r>
      <w:r w:rsidR="00DF4767">
        <w:rPr>
          <w:rFonts w:cstheme="minorBidi"/>
        </w:rPr>
        <w:t>, including the People’s Republic of China</w:t>
      </w:r>
      <w:r w:rsidRPr="00D54C61">
        <w:rPr>
          <w:rFonts w:cstheme="minorBidi"/>
        </w:rPr>
        <w:t>;</w:t>
      </w:r>
      <w:bookmarkStart w:id="299" w:name="substructure-location_g_13_C"/>
      <w:bookmarkEnd w:id="299"/>
    </w:p>
    <w:p w14:paraId="51BD6556"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Any current or pending contractual or financial obligation or other agreement specific to a business arrangement, or joint venture-like arrangement with an enterprise owned by a foreign state or any foreign entity;</w:t>
      </w:r>
    </w:p>
    <w:p w14:paraId="69E575B9" w14:textId="77777777" w:rsidR="00BA5901" w:rsidRPr="00D54C61" w:rsidRDefault="00BA5901" w:rsidP="00BA5901">
      <w:pPr>
        <w:pStyle w:val="ListParagraph"/>
        <w:numPr>
          <w:ilvl w:val="0"/>
          <w:numId w:val="115"/>
        </w:numPr>
        <w:autoSpaceDE w:val="0"/>
        <w:autoSpaceDN w:val="0"/>
        <w:adjustRightInd w:val="0"/>
        <w:rPr>
          <w:rFonts w:cstheme="minorBidi"/>
        </w:rPr>
      </w:pPr>
      <w:bookmarkStart w:id="300" w:name="_Hlk126770000"/>
      <w:r w:rsidRPr="00D54C61">
        <w:rPr>
          <w:rFonts w:cstheme="minorBidi"/>
        </w:rPr>
        <w:t>Percentage, if any, that the proposed recipient or subrecipient has foreign ownership or control</w:t>
      </w:r>
      <w:bookmarkEnd w:id="300"/>
      <w:r w:rsidRPr="00D54C61">
        <w:rPr>
          <w:rFonts w:cstheme="minorBidi"/>
        </w:rPr>
        <w:t>;</w:t>
      </w:r>
    </w:p>
    <w:p w14:paraId="22E2371D"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Percentage, if any, that the proposed recipient or subrecipient is wholly or partially owned by an entity in a foreign country of risk;</w:t>
      </w:r>
      <w:bookmarkStart w:id="301" w:name="substructure-location_g_13_E"/>
      <w:bookmarkEnd w:id="301"/>
    </w:p>
    <w:p w14:paraId="5B692581"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Percentage, if any, of venture capital or institutional investment by an entity that has a general partner or individual holding a leadership role in such entity who has a foreign affiliation with any foreign country of risk;</w:t>
      </w:r>
      <w:bookmarkStart w:id="302" w:name="substructure-location_g_13_F"/>
      <w:bookmarkEnd w:id="302"/>
    </w:p>
    <w:p w14:paraId="6BD0BB20" w14:textId="77777777" w:rsidR="00BA5901" w:rsidRDefault="00BA5901" w:rsidP="00BA5901">
      <w:pPr>
        <w:pStyle w:val="ListParagraph"/>
        <w:numPr>
          <w:ilvl w:val="0"/>
          <w:numId w:val="115"/>
        </w:numPr>
        <w:autoSpaceDE w:val="0"/>
        <w:autoSpaceDN w:val="0"/>
        <w:adjustRightInd w:val="0"/>
        <w:rPr>
          <w:rFonts w:cstheme="minorBidi"/>
        </w:rPr>
      </w:pPr>
      <w:r w:rsidRPr="00D54C61">
        <w:rPr>
          <w:rFonts w:cstheme="minorBidi"/>
        </w:rPr>
        <w:lastRenderedPageBreak/>
        <w:t>Any technology licensing or intellectual property sales to a foreign country of risk, during the 5-year period preceding submission of the proposal;</w:t>
      </w:r>
      <w:bookmarkStart w:id="303" w:name="substructure-location_g_13_G"/>
      <w:bookmarkEnd w:id="303"/>
    </w:p>
    <w:p w14:paraId="710EF230" w14:textId="77777777" w:rsidR="00DF4767" w:rsidRDefault="00DF4767" w:rsidP="00DF4767">
      <w:pPr>
        <w:pStyle w:val="paragraph"/>
        <w:numPr>
          <w:ilvl w:val="0"/>
          <w:numId w:val="115"/>
        </w:numPr>
        <w:spacing w:before="0" w:beforeAutospacing="0" w:after="0" w:afterAutospacing="0"/>
        <w:textAlignment w:val="baseline"/>
        <w:rPr>
          <w:rFonts w:ascii="Calibri" w:hAnsi="Calibri" w:cs="Calibri"/>
        </w:rPr>
      </w:pPr>
      <w:r>
        <w:rPr>
          <w:rStyle w:val="normaltextrun"/>
          <w:rFonts w:ascii="Calibri" w:hAnsi="Calibri" w:cs="Calibri"/>
        </w:rPr>
        <w:t>Any of the following foreign equipment proposed for use on the project:</w:t>
      </w:r>
      <w:r>
        <w:rPr>
          <w:rStyle w:val="eop"/>
          <w:rFonts w:ascii="Calibri" w:hAnsi="Calibri" w:cs="Calibri"/>
        </w:rPr>
        <w:t> </w:t>
      </w:r>
    </w:p>
    <w:p w14:paraId="656E14D2" w14:textId="77777777" w:rsidR="00DF4767" w:rsidRDefault="00DF4767" w:rsidP="00DF4767">
      <w:pPr>
        <w:pStyle w:val="paragraph"/>
        <w:numPr>
          <w:ilvl w:val="0"/>
          <w:numId w:val="160"/>
        </w:numPr>
        <w:spacing w:before="0" w:beforeAutospacing="0" w:after="0" w:afterAutospacing="0"/>
        <w:ind w:left="3240" w:firstLine="0"/>
        <w:textAlignment w:val="baseline"/>
        <w:rPr>
          <w:rFonts w:ascii="Calibri" w:hAnsi="Calibri" w:cs="Calibri"/>
        </w:rPr>
      </w:pPr>
      <w:r>
        <w:rPr>
          <w:rStyle w:val="normaltextrun"/>
          <w:rFonts w:ascii="Calibri" w:hAnsi="Calibri" w:cs="Calibri"/>
        </w:rPr>
        <w:t>Unmanned aircraft, control, and communication components originally made or manufactured in a foreign country of risk (including relabeled or rebranded equipment).</w:t>
      </w:r>
      <w:r>
        <w:rPr>
          <w:rStyle w:val="eop"/>
          <w:rFonts w:ascii="Calibri" w:hAnsi="Calibri" w:cs="Calibri"/>
        </w:rPr>
        <w:t> </w:t>
      </w:r>
    </w:p>
    <w:p w14:paraId="4B21A005" w14:textId="77777777" w:rsidR="00DF4767" w:rsidRDefault="00DF4767" w:rsidP="00DF4767">
      <w:pPr>
        <w:pStyle w:val="paragraph"/>
        <w:numPr>
          <w:ilvl w:val="0"/>
          <w:numId w:val="161"/>
        </w:numPr>
        <w:spacing w:before="0" w:beforeAutospacing="0" w:after="0" w:afterAutospacing="0"/>
        <w:ind w:left="3240" w:firstLine="0"/>
        <w:textAlignment w:val="baseline"/>
        <w:rPr>
          <w:rFonts w:ascii="Calibri" w:hAnsi="Calibri" w:cs="Calibri"/>
        </w:rPr>
      </w:pPr>
      <w:r>
        <w:rPr>
          <w:rStyle w:val="normaltextrun"/>
          <w:rFonts w:ascii="Calibri" w:hAnsi="Calibri" w:cs="Calibri"/>
        </w:rPr>
        <w:t>Coded equipment where the source code is written in a foreign country of risk. </w:t>
      </w:r>
      <w:r>
        <w:rPr>
          <w:rStyle w:val="eop"/>
          <w:rFonts w:ascii="Calibri" w:hAnsi="Calibri" w:cs="Calibri"/>
        </w:rPr>
        <w:t> </w:t>
      </w:r>
    </w:p>
    <w:p w14:paraId="6404B096" w14:textId="77777777" w:rsidR="00DF4767" w:rsidRDefault="00DF4767" w:rsidP="00DF4767">
      <w:pPr>
        <w:pStyle w:val="paragraph"/>
        <w:numPr>
          <w:ilvl w:val="0"/>
          <w:numId w:val="162"/>
        </w:numPr>
        <w:spacing w:before="0" w:beforeAutospacing="0" w:after="0" w:afterAutospacing="0"/>
        <w:ind w:left="3240" w:firstLine="0"/>
        <w:textAlignment w:val="baseline"/>
        <w:rPr>
          <w:rFonts w:ascii="Calibri" w:hAnsi="Calibri" w:cs="Calibri"/>
        </w:rPr>
      </w:pPr>
      <w:r>
        <w:rPr>
          <w:rStyle w:val="normaltextrun"/>
          <w:rFonts w:ascii="Calibri" w:hAnsi="Calibri" w:cs="Calibri"/>
        </w:rPr>
        <w:t>Equipment from a foreign country of risk that will be connected to the internet or other remote communication system. </w:t>
      </w:r>
      <w:r>
        <w:rPr>
          <w:rStyle w:val="eop"/>
          <w:rFonts w:ascii="Calibri" w:hAnsi="Calibri" w:cs="Calibri"/>
        </w:rPr>
        <w:t> </w:t>
      </w:r>
    </w:p>
    <w:p w14:paraId="48D60F56" w14:textId="13F3A1F3" w:rsidR="00DF4767" w:rsidRPr="00F70605" w:rsidRDefault="00DF4767" w:rsidP="00F70605">
      <w:pPr>
        <w:pStyle w:val="paragraph"/>
        <w:numPr>
          <w:ilvl w:val="0"/>
          <w:numId w:val="163"/>
        </w:numPr>
        <w:spacing w:before="0" w:beforeAutospacing="0" w:after="0" w:afterAutospacing="0"/>
        <w:ind w:left="3240" w:firstLine="0"/>
        <w:textAlignment w:val="baseline"/>
        <w:rPr>
          <w:rFonts w:ascii="Calibri" w:hAnsi="Calibri" w:cs="Calibri"/>
        </w:rPr>
      </w:pPr>
      <w:r>
        <w:rPr>
          <w:rStyle w:val="normaltextrun"/>
          <w:rFonts w:ascii="Calibri" w:hAnsi="Calibri" w:cs="Calibri"/>
        </w:rPr>
        <w:t>Any companies from a foreign country of risk that will have physical or remote access to any part of the equipment used on the project after delivery.</w:t>
      </w:r>
      <w:r>
        <w:rPr>
          <w:rStyle w:val="eop"/>
          <w:rFonts w:ascii="Calibri" w:hAnsi="Calibri" w:cs="Calibri"/>
        </w:rPr>
        <w:t> </w:t>
      </w:r>
    </w:p>
    <w:p w14:paraId="41A79EBB"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Any foreign business entity, offshore entity, or entity outside the United States related to the proposed recipient or subrecipient;</w:t>
      </w:r>
    </w:p>
    <w:p w14:paraId="5681392F"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Complete list of all directors (and board observers), including their full name, citizenship and shareholder affiliation, date of appointment, duration of term, as well as a description of observer rights as applicable; </w:t>
      </w:r>
    </w:p>
    <w:p w14:paraId="367BA454"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 xml:space="preserve">Complete capitalization table for your entity, including all equity interests (including LLC and partnership interests, as well as derivative securities). Include both the number of shares issued to each equity holder, as well as the percentage of that series and all equity on a fully diluted basis.  Identify the principal place of incorporation (or organization) for each equity holder. If the equity holder is a natural person, identify the citizenship(s). If the recipient </w:t>
      </w:r>
      <w:bookmarkStart w:id="304" w:name="page2"/>
      <w:bookmarkEnd w:id="304"/>
      <w:r w:rsidRPr="00D54C61">
        <w:rPr>
          <w:rFonts w:cstheme="minorBidi"/>
        </w:rPr>
        <w:t>or subrecipient is a publicly traded company, provide the above information for shareholders with an interest greater than 5%;</w:t>
      </w:r>
    </w:p>
    <w:p w14:paraId="405C05B4"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A summary table identifying all rounds of financing, the purchase dates, the investors for each round, and all the associated governance and information rights obtained by investors during each round of financing; and</w:t>
      </w:r>
    </w:p>
    <w:p w14:paraId="2553A668" w14:textId="77777777" w:rsidR="00BA5901" w:rsidRPr="00D54C61" w:rsidRDefault="00BA5901" w:rsidP="00BA5901">
      <w:pPr>
        <w:pStyle w:val="ListParagraph"/>
        <w:numPr>
          <w:ilvl w:val="0"/>
          <w:numId w:val="115"/>
        </w:numPr>
        <w:autoSpaceDE w:val="0"/>
        <w:autoSpaceDN w:val="0"/>
        <w:adjustRightInd w:val="0"/>
        <w:rPr>
          <w:rFonts w:cstheme="minorBidi"/>
        </w:rPr>
      </w:pPr>
      <w:r w:rsidRPr="00D54C61">
        <w:rPr>
          <w:rFonts w:cstheme="minorBidi"/>
        </w:rPr>
        <w:t>An organization chart to illustrate the relationship between your entity and the immediate parent, ultimate parent, and any intermediate parent, as well as any subsidiary or affiliates. Identify where each entity is incorporated.</w:t>
      </w:r>
    </w:p>
    <w:p w14:paraId="1523995C" w14:textId="77777777" w:rsidR="00BA5901" w:rsidRPr="00D54C61" w:rsidRDefault="00BA5901" w:rsidP="00BA5901">
      <w:pPr>
        <w:pStyle w:val="ListParagraph"/>
        <w:autoSpaceDE w:val="0"/>
        <w:autoSpaceDN w:val="0"/>
        <w:adjustRightInd w:val="0"/>
        <w:ind w:left="2160"/>
        <w:rPr>
          <w:rFonts w:eastAsia="Calibri" w:cstheme="minorBidi"/>
        </w:rPr>
      </w:pPr>
    </w:p>
    <w:p w14:paraId="11BF0D08" w14:textId="77777777" w:rsidR="00BA5901" w:rsidRPr="00D54C61" w:rsidRDefault="00BA5901" w:rsidP="00BA5901">
      <w:pPr>
        <w:autoSpaceDE w:val="0"/>
        <w:autoSpaceDN w:val="0"/>
        <w:adjustRightInd w:val="0"/>
        <w:ind w:left="1440"/>
        <w:rPr>
          <w:rFonts w:cstheme="minorBidi"/>
        </w:rPr>
      </w:pPr>
      <w:r w:rsidRPr="00D54C61">
        <w:rPr>
          <w:rFonts w:cstheme="minorBidi"/>
        </w:rPr>
        <w:t xml:space="preserve">DOE reserves the right to request additional or clarifying information based on the information submitted. </w:t>
      </w:r>
    </w:p>
    <w:p w14:paraId="69639EA1" w14:textId="77777777" w:rsidR="00BA5901" w:rsidRPr="00D54C61" w:rsidRDefault="00BA5901" w:rsidP="00BA5901">
      <w:pPr>
        <w:autoSpaceDE w:val="0"/>
        <w:autoSpaceDN w:val="0"/>
        <w:adjustRightInd w:val="0"/>
        <w:ind w:left="1440"/>
        <w:rPr>
          <w:rFonts w:eastAsia="Calibri" w:cstheme="minorHAnsi"/>
        </w:rPr>
      </w:pPr>
    </w:p>
    <w:p w14:paraId="2DC98591" w14:textId="77777777" w:rsidR="00BA5901" w:rsidRPr="00BA5901" w:rsidRDefault="00BA5901" w:rsidP="00BA5901">
      <w:pPr>
        <w:autoSpaceDE w:val="0"/>
        <w:autoSpaceDN w:val="0"/>
        <w:adjustRightInd w:val="0"/>
        <w:ind w:left="1440"/>
        <w:rPr>
          <w:rFonts w:eastAsia="Calibri" w:cstheme="minorBidi"/>
        </w:rPr>
      </w:pPr>
      <w:r w:rsidRPr="00D54C61">
        <w:rPr>
          <w:rFonts w:eastAsia="Calibri" w:cstheme="minorBidi"/>
        </w:rPr>
        <w:lastRenderedPageBreak/>
        <w:t>Save the Transparency of Foreign Connections information in a single PDF file using the following convention for the title “ControlNumber_LeadOrganization_TFC.”</w:t>
      </w:r>
    </w:p>
    <w:p w14:paraId="2715E7EA" w14:textId="77777777" w:rsidR="00BA5901" w:rsidRPr="00BA5901" w:rsidRDefault="00BA5901" w:rsidP="00BA5901"/>
    <w:p w14:paraId="0E6EC67D" w14:textId="77777777" w:rsidR="00BA5901" w:rsidRPr="00D54C61" w:rsidRDefault="00BA5901" w:rsidP="00BA5901">
      <w:pPr>
        <w:pStyle w:val="FOAHeading3"/>
        <w:keepNext w:val="0"/>
        <w:ind w:left="1440"/>
        <w:outlineLvl w:val="2"/>
      </w:pPr>
      <w:bookmarkStart w:id="305" w:name="_Toc140060962"/>
      <w:bookmarkStart w:id="306" w:name="_Toc176864461"/>
      <w:r w:rsidRPr="00D54C61">
        <w:t>Potentially Duplicative Funding Notice</w:t>
      </w:r>
      <w:bookmarkEnd w:id="305"/>
      <w:bookmarkEnd w:id="306"/>
    </w:p>
    <w:p w14:paraId="4AC17204" w14:textId="77777777" w:rsidR="00BA5901" w:rsidRPr="00D54C61" w:rsidRDefault="00BA5901" w:rsidP="00BA5901">
      <w:pPr>
        <w:ind w:left="1440"/>
        <w:rPr>
          <w:rFonts w:eastAsia="Calibri" w:cstheme="minorBidi"/>
        </w:rPr>
      </w:pPr>
      <w:r w:rsidRPr="00D54C61">
        <w:rPr>
          <w:rFonts w:eastAsia="Calibri" w:cstheme="minorBidi"/>
        </w:rPr>
        <w:t xml:space="preserve">If the applicant or project team member has other active awards of federal funds, the applicant must determine whether the activities of those awards potentially overlap with the activities set forth in its application to this FOA. If there is a potential overlap, the applicant must notify DOE in writing of the potential overlap and state how it will ensure any project funds (i.e., recipient cost share and federal funds) will not be used for identical cost items under multiple awards. Likewise, for projects that receive funding under this FOA, if a recipient or project team member receives any other award of federal funds for activities that potentially overlap with the activities funded under the DOE award, the recipient must promptly notify DOE in writing of the potential overlap and state whether project funds from any of those other federal awards have been, are being, or are to be used (in whole or in part) for one or more of the identical cost items under the DOE award. If there are identical cost items, the recipient must promptly notify the Contracting Officer in writing of the potential duplication and eliminate any inappropriate duplication of funding. </w:t>
      </w:r>
    </w:p>
    <w:p w14:paraId="7A3FDDAA" w14:textId="77777777" w:rsidR="00BA5901" w:rsidRPr="00D54C61" w:rsidRDefault="00BA5901" w:rsidP="00BA5901">
      <w:pPr>
        <w:ind w:left="1440"/>
        <w:rPr>
          <w:rFonts w:eastAsia="Calibri" w:cstheme="minorBidi"/>
        </w:rPr>
      </w:pPr>
    </w:p>
    <w:p w14:paraId="53CDC7D1" w14:textId="77777777" w:rsidR="00B12CD6" w:rsidRDefault="00BA5901" w:rsidP="00B12CD6">
      <w:pPr>
        <w:ind w:left="1440"/>
        <w:rPr>
          <w:rFonts w:eastAsia="Calibri" w:cstheme="minorBidi"/>
        </w:rPr>
      </w:pPr>
      <w:r w:rsidRPr="00D54C61">
        <w:rPr>
          <w:rFonts w:eastAsia="Calibri" w:cstheme="minorBidi"/>
        </w:rPr>
        <w:t>Save the Potentially Duplicative Funding Notice in a single PDF file using the following convention for the title “ControlNumber_LeadOrganization_PDFN.”</w:t>
      </w:r>
    </w:p>
    <w:p w14:paraId="729E6FEF" w14:textId="77777777" w:rsidR="00B12CD6" w:rsidRDefault="00B12CD6" w:rsidP="00B12CD6">
      <w:pPr>
        <w:ind w:left="1440"/>
        <w:rPr>
          <w:rFonts w:eastAsia="Calibri" w:cstheme="minorBidi"/>
        </w:rPr>
      </w:pPr>
    </w:p>
    <w:p w14:paraId="40707F97" w14:textId="1C641FCE" w:rsidR="00B12CD6" w:rsidRDefault="00B12CD6" w:rsidP="00FF50B2">
      <w:pPr>
        <w:pStyle w:val="FOAHeading3"/>
        <w:keepNext w:val="0"/>
        <w:ind w:left="1440"/>
        <w:outlineLvl w:val="2"/>
      </w:pPr>
      <w:bookmarkStart w:id="307" w:name="_Hlk176853625"/>
      <w:bookmarkStart w:id="308" w:name="_Toc176864462"/>
      <w:r>
        <w:t>Block Flow Diagram</w:t>
      </w:r>
      <w:bookmarkEnd w:id="308"/>
    </w:p>
    <w:p w14:paraId="4CAFDAD7" w14:textId="77777777" w:rsidR="000F07F5" w:rsidRPr="008015FD" w:rsidRDefault="000F07F5" w:rsidP="000F07F5">
      <w:pPr>
        <w:pStyle w:val="FOAHeading3"/>
        <w:keepNext w:val="0"/>
        <w:numPr>
          <w:ilvl w:val="0"/>
          <w:numId w:val="0"/>
        </w:numPr>
        <w:ind w:left="1440"/>
        <w:outlineLvl w:val="2"/>
      </w:pPr>
    </w:p>
    <w:p w14:paraId="36DBAC62" w14:textId="77777777" w:rsidR="00B12CD6" w:rsidRDefault="00B12CD6" w:rsidP="00B12CD6">
      <w:pPr>
        <w:ind w:left="1440"/>
        <w:rPr>
          <w:b/>
        </w:rPr>
      </w:pPr>
      <w:r>
        <w:t>All topic areas</w:t>
      </w:r>
      <w:r w:rsidRPr="008015FD">
        <w:t xml:space="preserve"> will utilize a Block Flow Diagram and Supplemental Data template (BFD &amp; SD). The purpose of the BFD &amp; SD is to assess the merits of the selected technology and the status of the process technology in order to gain an understanding of project risks and the potential viability of the proposed project. Please refer to the </w:t>
      </w:r>
      <w:r>
        <w:t>Word documents</w:t>
      </w:r>
      <w:r w:rsidRPr="008015FD">
        <w:t xml:space="preserve"> titled, “BFD &amp; SD Template”</w:t>
      </w:r>
      <w:r>
        <w:t>, for the respective scale,</w:t>
      </w:r>
      <w:r w:rsidRPr="008015FD">
        <w:t xml:space="preserve"> available for download from EERE Exchange for the Block Flow Diagram and Supplemental Data instructions, overview, and recommended templates. </w:t>
      </w:r>
      <w:r w:rsidRPr="008B0D95">
        <w:rPr>
          <w:b/>
        </w:rPr>
        <w:t>Use of the template is not required, however equivalent data must be submitted with all applications.</w:t>
      </w:r>
    </w:p>
    <w:p w14:paraId="54073AE2" w14:textId="77777777" w:rsidR="00B12CD6" w:rsidRDefault="00B12CD6" w:rsidP="00B12CD6">
      <w:pPr>
        <w:ind w:left="1440"/>
        <w:rPr>
          <w:b/>
        </w:rPr>
      </w:pPr>
    </w:p>
    <w:p w14:paraId="02B79979" w14:textId="3D2506A1" w:rsidR="00B12CD6" w:rsidRDefault="00B12CD6" w:rsidP="00B12CD6">
      <w:pPr>
        <w:ind w:left="1440"/>
        <w:rPr>
          <w:rFonts w:eastAsia="Calibri" w:cstheme="minorBidi"/>
        </w:rPr>
      </w:pPr>
      <w:r w:rsidRPr="00D54C61">
        <w:rPr>
          <w:rFonts w:eastAsia="Calibri" w:cstheme="minorBidi"/>
        </w:rPr>
        <w:t xml:space="preserve">Save the </w:t>
      </w:r>
      <w:r>
        <w:rPr>
          <w:rFonts w:eastAsia="Calibri" w:cstheme="minorBidi"/>
        </w:rPr>
        <w:t>Block Flow Diagram</w:t>
      </w:r>
      <w:r w:rsidRPr="00D54C61">
        <w:rPr>
          <w:rFonts w:eastAsia="Calibri" w:cstheme="minorBidi"/>
        </w:rPr>
        <w:t xml:space="preserve"> in a single </w:t>
      </w:r>
      <w:r>
        <w:rPr>
          <w:rFonts w:eastAsia="Calibri" w:cstheme="minorBidi"/>
        </w:rPr>
        <w:t>Microsoft Word or PDF</w:t>
      </w:r>
      <w:r w:rsidRPr="00D54C61">
        <w:rPr>
          <w:rFonts w:eastAsia="Calibri" w:cstheme="minorBidi"/>
        </w:rPr>
        <w:t xml:space="preserve"> file using the following convention for the title “ControlNumber_LeadOrganization_</w:t>
      </w:r>
      <w:r>
        <w:rPr>
          <w:rFonts w:eastAsia="Calibri" w:cstheme="minorBidi"/>
        </w:rPr>
        <w:t>BFD</w:t>
      </w:r>
      <w:r w:rsidRPr="00D54C61">
        <w:rPr>
          <w:rFonts w:eastAsia="Calibri" w:cstheme="minorBidi"/>
        </w:rPr>
        <w:t>.”</w:t>
      </w:r>
    </w:p>
    <w:bookmarkEnd w:id="307"/>
    <w:p w14:paraId="0394E8E7" w14:textId="77777777" w:rsidR="00B12CD6" w:rsidRDefault="00B12CD6" w:rsidP="00B12CD6">
      <w:pPr>
        <w:ind w:left="1440"/>
        <w:rPr>
          <w:b/>
        </w:rPr>
      </w:pPr>
    </w:p>
    <w:p w14:paraId="1C5E0393" w14:textId="77777777" w:rsidR="001E0D1A" w:rsidRDefault="001E0D1A" w:rsidP="00B12CD6">
      <w:pPr>
        <w:ind w:left="1440"/>
        <w:rPr>
          <w:b/>
        </w:rPr>
      </w:pPr>
    </w:p>
    <w:p w14:paraId="077D0DBD" w14:textId="77777777" w:rsidR="001E0D1A" w:rsidRDefault="001E0D1A" w:rsidP="00B12CD6">
      <w:pPr>
        <w:ind w:left="1440"/>
        <w:rPr>
          <w:b/>
        </w:rPr>
      </w:pPr>
    </w:p>
    <w:p w14:paraId="5C5C68A2" w14:textId="77777777" w:rsidR="001E0D1A" w:rsidRPr="008B0D95" w:rsidRDefault="001E0D1A" w:rsidP="00B12CD6">
      <w:pPr>
        <w:ind w:left="1440"/>
        <w:rPr>
          <w:b/>
        </w:rPr>
      </w:pPr>
    </w:p>
    <w:p w14:paraId="03C75D0F" w14:textId="60A9B38E" w:rsidR="00B12CD6" w:rsidRPr="008015FD" w:rsidRDefault="00B12CD6" w:rsidP="00B12CD6">
      <w:pPr>
        <w:pStyle w:val="FOAHeading3"/>
        <w:keepNext w:val="0"/>
        <w:ind w:left="1440"/>
        <w:outlineLvl w:val="2"/>
      </w:pPr>
      <w:bookmarkStart w:id="309" w:name="_Toc176864463"/>
      <w:r w:rsidRPr="00B12CD6">
        <w:rPr>
          <w:color w:val="000000"/>
        </w:rPr>
        <w:lastRenderedPageBreak/>
        <w:t>Proforma Cash Flow Analysis</w:t>
      </w:r>
      <w:bookmarkEnd w:id="309"/>
    </w:p>
    <w:p w14:paraId="1249C4D8" w14:textId="77777777" w:rsidR="00B12CD6" w:rsidRPr="008015FD" w:rsidRDefault="00B12CD6" w:rsidP="00B12CD6">
      <w:pPr>
        <w:keepNext/>
        <w:pBdr>
          <w:top w:val="nil"/>
          <w:left w:val="nil"/>
          <w:bottom w:val="nil"/>
          <w:right w:val="nil"/>
          <w:between w:val="nil"/>
        </w:pBdr>
        <w:ind w:left="720" w:hanging="360"/>
        <w:rPr>
          <w:rFonts w:ascii="Calibri" w:hAnsi="Calibri"/>
          <w:b/>
          <w:color w:val="000000"/>
          <w:sz w:val="28"/>
          <w:szCs w:val="28"/>
        </w:rPr>
      </w:pPr>
    </w:p>
    <w:p w14:paraId="33115561" w14:textId="77777777" w:rsidR="00B12CD6" w:rsidRDefault="00B12CD6" w:rsidP="00B12CD6">
      <w:pPr>
        <w:keepNext/>
        <w:pBdr>
          <w:top w:val="nil"/>
          <w:left w:val="nil"/>
          <w:bottom w:val="nil"/>
          <w:right w:val="nil"/>
          <w:between w:val="nil"/>
        </w:pBdr>
        <w:ind w:left="1440"/>
        <w:rPr>
          <w:rFonts w:ascii="Calibri" w:hAnsi="Calibri"/>
          <w:color w:val="000000"/>
        </w:rPr>
      </w:pPr>
      <w:r w:rsidRPr="008015FD">
        <w:rPr>
          <w:rFonts w:ascii="Calibri" w:hAnsi="Calibri"/>
          <w:color w:val="000000"/>
        </w:rPr>
        <w:t>Topic Areas will utilize a Proforma Cash Flow Analysis (proforma). A feasible commercial pro forma cash flow analysis showing the expected cash flow of the proposed</w:t>
      </w:r>
      <w:r>
        <w:rPr>
          <w:rFonts w:ascii="Calibri" w:hAnsi="Calibri"/>
          <w:color w:val="000000"/>
        </w:rPr>
        <w:t xml:space="preserve"> integrated biorefinery</w:t>
      </w:r>
      <w:r w:rsidRPr="008015FD">
        <w:rPr>
          <w:rFonts w:ascii="Calibri" w:hAnsi="Calibri"/>
          <w:color w:val="000000"/>
        </w:rPr>
        <w:t xml:space="preserve"> </w:t>
      </w:r>
      <w:r>
        <w:rPr>
          <w:rFonts w:ascii="Calibri" w:hAnsi="Calibri"/>
          <w:color w:val="000000"/>
        </w:rPr>
        <w:t>(</w:t>
      </w:r>
      <w:r w:rsidRPr="008015FD">
        <w:rPr>
          <w:rFonts w:ascii="Calibri" w:hAnsi="Calibri"/>
          <w:color w:val="000000"/>
        </w:rPr>
        <w:t>IBR</w:t>
      </w:r>
      <w:r>
        <w:rPr>
          <w:rFonts w:ascii="Calibri" w:hAnsi="Calibri"/>
          <w:color w:val="000000"/>
        </w:rPr>
        <w:t>)</w:t>
      </w:r>
      <w:r w:rsidRPr="008015FD">
        <w:rPr>
          <w:rFonts w:ascii="Calibri" w:hAnsi="Calibri"/>
          <w:color w:val="000000"/>
        </w:rPr>
        <w:t xml:space="preserve"> under the performance parameters at steady state production.  Include a sensitivity analysis by showing results using a range of reasonable assumptions for such as feedstock cost and market price of products compared to low, reference, and high oil prices cases.  All assumptions regarding product and consumable prices, annual product production, inflation, and other inputs must be clearly delineated.  </w:t>
      </w:r>
      <w:r w:rsidRPr="008B0D95">
        <w:rPr>
          <w:rFonts w:ascii="Calibri" w:hAnsi="Calibri"/>
          <w:b/>
          <w:color w:val="000000"/>
        </w:rPr>
        <w:t>Applicants may use their own model or edit the provided template.</w:t>
      </w:r>
      <w:r w:rsidRPr="008015FD">
        <w:rPr>
          <w:rFonts w:ascii="Calibri" w:hAnsi="Calibri"/>
          <w:color w:val="000000"/>
        </w:rPr>
        <w:t xml:space="preserve">  Please refer to the </w:t>
      </w:r>
      <w:r>
        <w:rPr>
          <w:rFonts w:ascii="Calibri" w:hAnsi="Calibri"/>
          <w:color w:val="000000"/>
        </w:rPr>
        <w:t>MS Excel file</w:t>
      </w:r>
      <w:r w:rsidRPr="008015FD">
        <w:rPr>
          <w:rFonts w:ascii="Calibri" w:hAnsi="Calibri"/>
          <w:color w:val="000000"/>
        </w:rPr>
        <w:t xml:space="preserve"> titled, “Proforma Template” available for download from EERE Exchange for the Proforma Cash Flow Analysis instructions, overview, and recommended templates. Use of the template is not required, however equivalent data must be submitted with Topic Areas </w:t>
      </w:r>
      <w:r>
        <w:rPr>
          <w:rFonts w:ascii="Calibri" w:hAnsi="Calibri"/>
          <w:color w:val="000000"/>
        </w:rPr>
        <w:t>1</w:t>
      </w:r>
      <w:r w:rsidRPr="008015FD">
        <w:rPr>
          <w:rFonts w:ascii="Calibri" w:hAnsi="Calibri"/>
          <w:color w:val="000000"/>
        </w:rPr>
        <w:t xml:space="preserve"> and </w:t>
      </w:r>
      <w:r>
        <w:rPr>
          <w:rFonts w:ascii="Calibri" w:hAnsi="Calibri"/>
          <w:color w:val="000000"/>
        </w:rPr>
        <w:t>2</w:t>
      </w:r>
      <w:r w:rsidRPr="008015FD">
        <w:rPr>
          <w:rFonts w:ascii="Calibri" w:hAnsi="Calibri"/>
          <w:color w:val="000000"/>
        </w:rPr>
        <w:t xml:space="preserve"> applications.</w:t>
      </w:r>
    </w:p>
    <w:p w14:paraId="3F481FAA" w14:textId="77777777" w:rsidR="00B12CD6" w:rsidRDefault="00B12CD6" w:rsidP="00B12CD6">
      <w:pPr>
        <w:keepNext/>
        <w:pBdr>
          <w:top w:val="nil"/>
          <w:left w:val="nil"/>
          <w:bottom w:val="nil"/>
          <w:right w:val="nil"/>
          <w:between w:val="nil"/>
        </w:pBdr>
        <w:ind w:left="1440"/>
        <w:rPr>
          <w:rFonts w:ascii="Calibri" w:hAnsi="Calibri"/>
          <w:color w:val="000000"/>
        </w:rPr>
      </w:pPr>
    </w:p>
    <w:p w14:paraId="3F6A1D20" w14:textId="43D5D48B" w:rsidR="00B12CD6" w:rsidRDefault="00B12CD6" w:rsidP="00B12CD6">
      <w:pPr>
        <w:ind w:left="1440"/>
        <w:rPr>
          <w:rFonts w:eastAsia="Calibri" w:cstheme="minorBidi"/>
        </w:rPr>
      </w:pPr>
      <w:r w:rsidRPr="00D54C61">
        <w:rPr>
          <w:rFonts w:eastAsia="Calibri" w:cstheme="minorBidi"/>
        </w:rPr>
        <w:t xml:space="preserve">Save the </w:t>
      </w:r>
      <w:r>
        <w:rPr>
          <w:rFonts w:eastAsia="Calibri" w:cstheme="minorBidi"/>
        </w:rPr>
        <w:t>Block Flow Diagram</w:t>
      </w:r>
      <w:r w:rsidRPr="00D54C61">
        <w:rPr>
          <w:rFonts w:eastAsia="Calibri" w:cstheme="minorBidi"/>
        </w:rPr>
        <w:t xml:space="preserve"> in a single </w:t>
      </w:r>
      <w:r>
        <w:rPr>
          <w:rFonts w:eastAsia="Calibri" w:cstheme="minorBidi"/>
        </w:rPr>
        <w:t>Microsoft Word, Microsoft Excel, or PDF</w:t>
      </w:r>
      <w:r w:rsidRPr="00D54C61">
        <w:rPr>
          <w:rFonts w:eastAsia="Calibri" w:cstheme="minorBidi"/>
        </w:rPr>
        <w:t xml:space="preserve"> file using the following convention for the title “ControlNumber_LeadOrganization_</w:t>
      </w:r>
      <w:r>
        <w:rPr>
          <w:rFonts w:eastAsia="Calibri" w:cstheme="minorBidi"/>
        </w:rPr>
        <w:t>Proforma</w:t>
      </w:r>
      <w:r w:rsidRPr="00D54C61">
        <w:rPr>
          <w:rFonts w:eastAsia="Calibri" w:cstheme="minorBidi"/>
        </w:rPr>
        <w:t>.”</w:t>
      </w:r>
    </w:p>
    <w:p w14:paraId="6A649A02" w14:textId="77777777" w:rsidR="00B12CD6" w:rsidRDefault="00B12CD6" w:rsidP="00B12CD6">
      <w:pPr>
        <w:ind w:left="1440"/>
        <w:rPr>
          <w:rFonts w:eastAsia="Calibri" w:cstheme="minorBidi"/>
        </w:rPr>
      </w:pPr>
    </w:p>
    <w:p w14:paraId="3750F712" w14:textId="47E2BE42" w:rsidR="00B12CD6" w:rsidRPr="008015FD" w:rsidRDefault="00B12CD6" w:rsidP="00B12CD6">
      <w:pPr>
        <w:pStyle w:val="FOAHeading3"/>
        <w:keepNext w:val="0"/>
        <w:ind w:left="1440"/>
        <w:outlineLvl w:val="2"/>
      </w:pPr>
      <w:bookmarkStart w:id="310" w:name="_Toc176864464"/>
      <w:r w:rsidRPr="00B12CD6">
        <w:rPr>
          <w:color w:val="000000"/>
        </w:rPr>
        <w:t>Life Cycle Analysis</w:t>
      </w:r>
      <w:bookmarkEnd w:id="310"/>
    </w:p>
    <w:p w14:paraId="38233AF1" w14:textId="77777777" w:rsidR="00B12CD6" w:rsidRPr="008015FD" w:rsidRDefault="00B12CD6" w:rsidP="00B12CD6">
      <w:pPr>
        <w:keepNext/>
        <w:pBdr>
          <w:top w:val="nil"/>
          <w:left w:val="nil"/>
          <w:bottom w:val="nil"/>
          <w:right w:val="nil"/>
          <w:between w:val="nil"/>
        </w:pBdr>
        <w:ind w:left="720" w:hanging="360"/>
        <w:rPr>
          <w:rFonts w:ascii="Calibri" w:hAnsi="Calibri"/>
          <w:b/>
          <w:color w:val="000000"/>
          <w:sz w:val="28"/>
          <w:szCs w:val="28"/>
        </w:rPr>
      </w:pPr>
    </w:p>
    <w:p w14:paraId="3A98FB61" w14:textId="77777777" w:rsidR="00B12CD6" w:rsidRPr="008B0D95" w:rsidRDefault="00B12CD6" w:rsidP="00B12CD6">
      <w:pPr>
        <w:keepNext/>
        <w:pBdr>
          <w:top w:val="nil"/>
          <w:left w:val="nil"/>
          <w:bottom w:val="nil"/>
          <w:right w:val="nil"/>
          <w:between w:val="nil"/>
        </w:pBdr>
        <w:ind w:left="1440"/>
        <w:rPr>
          <w:rFonts w:ascii="Calibri" w:hAnsi="Calibri"/>
          <w:b/>
          <w:color w:val="000000"/>
        </w:rPr>
      </w:pPr>
      <w:r w:rsidRPr="008015FD">
        <w:rPr>
          <w:rFonts w:ascii="Calibri" w:hAnsi="Calibri"/>
          <w:color w:val="000000"/>
        </w:rPr>
        <w:t xml:space="preserve">Topic Areas will utilize Life Cycle Analyses (LCA). The LCA will be utilized to assess the potential GHG reduction and environmental performance of the proposed technology.  </w:t>
      </w:r>
      <w:r>
        <w:rPr>
          <w:rFonts w:ascii="Calibri" w:hAnsi="Calibri"/>
          <w:color w:val="000000"/>
        </w:rPr>
        <w:t>Applicant</w:t>
      </w:r>
      <w:r w:rsidRPr="00055BCA">
        <w:rPr>
          <w:rFonts w:ascii="Calibri" w:hAnsi="Calibri"/>
          <w:color w:val="000000"/>
        </w:rPr>
        <w:t>s may use any standardized approach to calculating life cycle GHG emissions e.g. Argonne National Laboratory GREET model</w:t>
      </w:r>
      <w:r w:rsidRPr="00055BCA">
        <w:rPr>
          <w:rFonts w:ascii="Calibri" w:hAnsi="Calibri"/>
          <w:vertAlign w:val="superscript"/>
        </w:rPr>
        <w:footnoteReference w:id="50"/>
      </w:r>
      <w:r w:rsidRPr="00055BCA">
        <w:rPr>
          <w:rFonts w:ascii="Calibri" w:hAnsi="Calibri"/>
          <w:color w:val="000000"/>
        </w:rPr>
        <w:t xml:space="preserve"> or provide schemes developed the CORSIA (Carbon Offsetting and Reduction Scheme for International Aviation) methodology</w:t>
      </w:r>
      <w:r w:rsidRPr="00055BCA">
        <w:rPr>
          <w:rFonts w:ascii="Calibri" w:hAnsi="Calibri"/>
          <w:vertAlign w:val="superscript"/>
        </w:rPr>
        <w:footnoteReference w:id="51"/>
      </w:r>
      <w:r w:rsidRPr="00055BCA">
        <w:rPr>
          <w:rFonts w:ascii="Calibri" w:hAnsi="Calibri"/>
          <w:color w:val="000000"/>
        </w:rPr>
        <w:t xml:space="preserve"> for calculating life cycle emissions.</w:t>
      </w:r>
      <w:r w:rsidRPr="009322B0" w:rsidDel="00343B20">
        <w:rPr>
          <w:rFonts w:ascii="Calibri" w:hAnsi="Calibri"/>
          <w:color w:val="000000"/>
        </w:rPr>
        <w:t xml:space="preserve"> </w:t>
      </w:r>
      <w:r w:rsidRPr="009322B0">
        <w:rPr>
          <w:rFonts w:ascii="Calibri" w:hAnsi="Calibri"/>
          <w:color w:val="000000"/>
        </w:rPr>
        <w:t xml:space="preserve">Argonne National Laboratory has developed publicly available life-cycle assessment tools that </w:t>
      </w:r>
      <w:r>
        <w:rPr>
          <w:rFonts w:ascii="Calibri" w:hAnsi="Calibri"/>
          <w:color w:val="000000"/>
        </w:rPr>
        <w:t>Applicant</w:t>
      </w:r>
      <w:r w:rsidRPr="009322B0">
        <w:rPr>
          <w:rFonts w:ascii="Calibri" w:hAnsi="Calibri"/>
          <w:color w:val="000000"/>
        </w:rPr>
        <w:t>s may utilize</w:t>
      </w:r>
      <w:r>
        <w:rPr>
          <w:rFonts w:ascii="Calibri" w:hAnsi="Calibri"/>
          <w:color w:val="000000"/>
        </w:rPr>
        <w:t>.</w:t>
      </w:r>
      <w:r w:rsidRPr="009322B0">
        <w:rPr>
          <w:rFonts w:ascii="Calibri" w:hAnsi="Calibri"/>
          <w:color w:val="000000"/>
        </w:rPr>
        <w:t xml:space="preserve"> </w:t>
      </w:r>
      <w:r w:rsidRPr="008B0D95">
        <w:rPr>
          <w:rFonts w:ascii="Calibri" w:hAnsi="Calibri"/>
          <w:b/>
          <w:color w:val="000000"/>
        </w:rPr>
        <w:t>Use of these tools are not required, however equivalent data must be submitted with applications.</w:t>
      </w:r>
    </w:p>
    <w:p w14:paraId="19F08B30" w14:textId="77777777" w:rsidR="00B12CD6" w:rsidRDefault="00B12CD6" w:rsidP="00B12CD6">
      <w:pPr>
        <w:keepNext/>
        <w:pBdr>
          <w:top w:val="nil"/>
          <w:left w:val="nil"/>
          <w:bottom w:val="nil"/>
          <w:right w:val="nil"/>
          <w:between w:val="nil"/>
        </w:pBdr>
        <w:ind w:left="720" w:hanging="360"/>
        <w:rPr>
          <w:rFonts w:ascii="Calibri" w:hAnsi="Calibri"/>
          <w:color w:val="000000"/>
        </w:rPr>
      </w:pPr>
    </w:p>
    <w:p w14:paraId="0F2DF4A4" w14:textId="6FFFF805" w:rsidR="00B12CD6" w:rsidRDefault="00B12CD6" w:rsidP="00B12CD6">
      <w:pPr>
        <w:ind w:left="1440"/>
      </w:pPr>
      <w:r w:rsidRPr="008015FD">
        <w:rPr>
          <w:b/>
        </w:rPr>
        <w:t>ANL GREET Model Link:</w:t>
      </w:r>
      <w:r>
        <w:rPr>
          <w:b/>
        </w:rPr>
        <w:t xml:space="preserve"> </w:t>
      </w:r>
      <w:hyperlink r:id="rId39" w:history="1">
        <w:r w:rsidRPr="00440A8F">
          <w:rPr>
            <w:rStyle w:val="Hyperlink"/>
          </w:rPr>
          <w:t>https://greet.es.anl.gov/index.php</w:t>
        </w:r>
      </w:hyperlink>
      <w:r w:rsidRPr="008015FD">
        <w:t xml:space="preserve">  </w:t>
      </w:r>
      <w:r w:rsidRPr="008015FD">
        <w:tab/>
      </w:r>
    </w:p>
    <w:p w14:paraId="7E4F719F" w14:textId="77777777" w:rsidR="00B12CD6" w:rsidRDefault="00B12CD6" w:rsidP="00B12CD6">
      <w:pPr>
        <w:ind w:left="1440"/>
        <w:rPr>
          <w:b/>
        </w:rPr>
      </w:pPr>
    </w:p>
    <w:p w14:paraId="620E447B" w14:textId="7D66BA3D" w:rsidR="00B12CD6" w:rsidRDefault="00B12CD6" w:rsidP="00B12CD6">
      <w:pPr>
        <w:ind w:left="1440"/>
        <w:rPr>
          <w:rFonts w:eastAsia="Calibri" w:cstheme="minorBidi"/>
        </w:rPr>
      </w:pPr>
      <w:r w:rsidRPr="00D54C61">
        <w:rPr>
          <w:rFonts w:eastAsia="Calibri" w:cstheme="minorBidi"/>
        </w:rPr>
        <w:t xml:space="preserve">Save the </w:t>
      </w:r>
      <w:r>
        <w:rPr>
          <w:rFonts w:eastAsia="Calibri" w:cstheme="minorBidi"/>
        </w:rPr>
        <w:t>Life Cycle Analysis</w:t>
      </w:r>
      <w:r w:rsidRPr="00D54C61">
        <w:rPr>
          <w:rFonts w:eastAsia="Calibri" w:cstheme="minorBidi"/>
        </w:rPr>
        <w:t xml:space="preserve"> in a single </w:t>
      </w:r>
      <w:r>
        <w:rPr>
          <w:rFonts w:eastAsia="Calibri" w:cstheme="minorBidi"/>
        </w:rPr>
        <w:t>Microsoft Word or PDF</w:t>
      </w:r>
      <w:r w:rsidRPr="00D54C61">
        <w:rPr>
          <w:rFonts w:eastAsia="Calibri" w:cstheme="minorBidi"/>
        </w:rPr>
        <w:t xml:space="preserve"> file using the following convention for the title “ControlNumber_LeadOrganization_</w:t>
      </w:r>
      <w:r>
        <w:rPr>
          <w:rFonts w:eastAsia="Calibri" w:cstheme="minorBidi"/>
        </w:rPr>
        <w:t>LCA</w:t>
      </w:r>
      <w:r w:rsidRPr="00D54C61">
        <w:rPr>
          <w:rFonts w:eastAsia="Calibri" w:cstheme="minorBidi"/>
        </w:rPr>
        <w:t>.”</w:t>
      </w:r>
    </w:p>
    <w:p w14:paraId="728B7940" w14:textId="21427856" w:rsidR="008B49C2" w:rsidRPr="00B5344E" w:rsidRDefault="008B49C2" w:rsidP="009A279F">
      <w:bookmarkStart w:id="311" w:name="_Toc517799199"/>
      <w:bookmarkStart w:id="312" w:name="_Toc519602365"/>
      <w:bookmarkStart w:id="313" w:name="_Toc519602531"/>
      <w:bookmarkStart w:id="314" w:name="_Toc520382640"/>
      <w:bookmarkStart w:id="315" w:name="_Toc520455638"/>
      <w:bookmarkStart w:id="316" w:name="_Toc520455808"/>
      <w:bookmarkEnd w:id="311"/>
      <w:bookmarkEnd w:id="312"/>
      <w:bookmarkEnd w:id="313"/>
      <w:bookmarkEnd w:id="314"/>
      <w:bookmarkEnd w:id="315"/>
      <w:bookmarkEnd w:id="316"/>
    </w:p>
    <w:p w14:paraId="6BB782DC" w14:textId="220C4C90" w:rsidR="00E74F40" w:rsidRPr="00872882" w:rsidRDefault="00BA5901" w:rsidP="001612A1">
      <w:pPr>
        <w:pStyle w:val="FOAHeading2"/>
      </w:pPr>
      <w:bookmarkStart w:id="317" w:name="_Toc517771560"/>
      <w:bookmarkStart w:id="318" w:name="_Toc517797777"/>
      <w:bookmarkStart w:id="319" w:name="_Toc517797857"/>
      <w:bookmarkStart w:id="320" w:name="_Toc517797935"/>
      <w:bookmarkStart w:id="321" w:name="_Toc517798050"/>
      <w:bookmarkStart w:id="322" w:name="_Toc517798275"/>
      <w:bookmarkStart w:id="323" w:name="_Toc517798356"/>
      <w:bookmarkStart w:id="324" w:name="_Toc517798916"/>
      <w:bookmarkStart w:id="325" w:name="_Toc517799201"/>
      <w:bookmarkStart w:id="326" w:name="_Toc519602172"/>
      <w:bookmarkStart w:id="327" w:name="_Toc519602244"/>
      <w:bookmarkStart w:id="328" w:name="_Toc519602367"/>
      <w:bookmarkStart w:id="329" w:name="_Toc519602533"/>
      <w:bookmarkStart w:id="330" w:name="_Toc520382642"/>
      <w:bookmarkStart w:id="331" w:name="_Toc520455640"/>
      <w:bookmarkStart w:id="332" w:name="_Toc520455810"/>
      <w:bookmarkStart w:id="333" w:name="_Toc140060964"/>
      <w:bookmarkStart w:id="334" w:name="_Toc17686446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A30596">
        <w:lastRenderedPageBreak/>
        <w:t>Content and Form of Replies to Reviewer Comments</w:t>
      </w:r>
      <w:r w:rsidRPr="00A30596">
        <w:rPr>
          <w:rFonts w:eastAsia="Times New Roman" w:cs="Times New Roman"/>
          <w:sz w:val="28"/>
          <w:szCs w:val="28"/>
        </w:rPr>
        <w:t xml:space="preserve"> (Optiona</w:t>
      </w:r>
      <w:r>
        <w:rPr>
          <w:rFonts w:eastAsia="Times New Roman" w:cs="Times New Roman"/>
          <w:sz w:val="28"/>
          <w:szCs w:val="28"/>
        </w:rPr>
        <w:t>l)</w:t>
      </w:r>
      <w:bookmarkEnd w:id="333"/>
      <w:bookmarkEnd w:id="334"/>
    </w:p>
    <w:p w14:paraId="2DA3CA7E" w14:textId="5BE268DF" w:rsidR="006259A2" w:rsidRDefault="00786DD0" w:rsidP="007F355D">
      <w:pPr>
        <w:ind w:left="1080"/>
      </w:pPr>
      <w:r>
        <w:t xml:space="preserve">EERE </w:t>
      </w:r>
      <w:r w:rsidR="004E672B" w:rsidRPr="008858B4">
        <w:t xml:space="preserve">will provide applicants with reviewer comments following </w:t>
      </w:r>
      <w:r w:rsidR="007054A3">
        <w:t xml:space="preserve">the </w:t>
      </w:r>
      <w:r w:rsidR="004E672B" w:rsidRPr="008858B4">
        <w:t xml:space="preserve">evaluation of all eligible Full Applications. Applicants will have a brief opportunity to prepare a short Reply to Reviewer Comments </w:t>
      </w:r>
      <w:r w:rsidR="006259A2">
        <w:t xml:space="preserve">(Reply). The Reply must not exceed three pages. </w:t>
      </w:r>
      <w:r w:rsidR="006259A2" w:rsidRPr="008858B4">
        <w:t>If a Reply is more than three</w:t>
      </w:r>
      <w:r w:rsidR="006259A2">
        <w:t xml:space="preserve"> </w:t>
      </w:r>
      <w:r w:rsidR="006259A2" w:rsidRPr="008858B4">
        <w:t>pages in length, EERE will review only the first three pages and disregard additional pages.</w:t>
      </w:r>
      <w:r w:rsidR="006259A2">
        <w:t xml:space="preserve"> Applicants may use the Reply to</w:t>
      </w:r>
      <w:r w:rsidR="006259A2" w:rsidRPr="008858B4">
        <w:t xml:space="preserve"> respond to </w:t>
      </w:r>
      <w:r w:rsidR="006259A2">
        <w:t xml:space="preserve">one or more </w:t>
      </w:r>
      <w:r w:rsidR="006259A2" w:rsidRPr="008858B4">
        <w:t xml:space="preserve">comments or </w:t>
      </w:r>
      <w:r w:rsidR="006259A2">
        <w:t xml:space="preserve">to </w:t>
      </w:r>
      <w:r w:rsidR="006259A2" w:rsidRPr="008858B4">
        <w:t>supplement their Full Application.</w:t>
      </w:r>
      <w:r w:rsidR="006259A2">
        <w:t xml:space="preserve"> </w:t>
      </w:r>
      <w:bookmarkStart w:id="335" w:name="_Hlk114573454"/>
      <w:r w:rsidR="006259A2">
        <w:t>The Reply may include text, grphs, charts, or data.</w:t>
      </w:r>
      <w:bookmarkEnd w:id="335"/>
      <w:r w:rsidR="006259A2">
        <w:t xml:space="preserve"> </w:t>
      </w:r>
    </w:p>
    <w:p w14:paraId="0C5E5F00" w14:textId="77777777" w:rsidR="006259A2" w:rsidRDefault="006259A2" w:rsidP="007F355D">
      <w:pPr>
        <w:ind w:left="1080"/>
      </w:pPr>
    </w:p>
    <w:p w14:paraId="7A242070" w14:textId="108C5A02" w:rsidR="006A24B8" w:rsidRPr="008858B4" w:rsidRDefault="00DE6DA5" w:rsidP="007F355D">
      <w:pPr>
        <w:ind w:left="1080"/>
      </w:pPr>
      <w:r w:rsidRPr="00DE6DA5">
        <w:t xml:space="preserve">EERE will post the </w:t>
      </w:r>
      <w:r w:rsidR="006259A2">
        <w:t>r</w:t>
      </w:r>
      <w:r w:rsidRPr="00DE6DA5">
        <w:t xml:space="preserve">eviewer </w:t>
      </w:r>
      <w:r w:rsidR="006259A2">
        <w:t>c</w:t>
      </w:r>
      <w:r w:rsidRPr="00DE6DA5">
        <w:t xml:space="preserve">omments in </w:t>
      </w:r>
      <w:r w:rsidR="00EB0439">
        <w:t xml:space="preserve">EERE </w:t>
      </w:r>
      <w:r w:rsidR="00D615E8">
        <w:t>eXCHANGE</w:t>
      </w:r>
      <w:r w:rsidRPr="00DE6DA5">
        <w:t>.</w:t>
      </w:r>
      <w:r w:rsidR="004E672B" w:rsidRPr="008858B4">
        <w:t xml:space="preserve"> The expected submission deadline is on the cover page of the FOA; however, it is the applicant’s responsibility to monitor </w:t>
      </w:r>
      <w:r w:rsidR="00EB0439">
        <w:t xml:space="preserve">EERE </w:t>
      </w:r>
      <w:r w:rsidR="00D615E8">
        <w:t>eXCHANGE</w:t>
      </w:r>
      <w:r w:rsidR="004E672B" w:rsidRPr="008858B4">
        <w:t xml:space="preserve"> </w:t>
      </w:r>
      <w:r w:rsidR="006259A2">
        <w:t>if</w:t>
      </w:r>
      <w:r w:rsidR="004E672B" w:rsidRPr="008858B4">
        <w:t xml:space="preserve"> the expected date changes.</w:t>
      </w:r>
      <w:r w:rsidR="001A3502">
        <w:t xml:space="preserve"> </w:t>
      </w:r>
      <w:r w:rsidR="004E672B" w:rsidRPr="008858B4">
        <w:t xml:space="preserve">The deadline will not be extended for applicants who are unable to timely submit their </w:t>
      </w:r>
      <w:r w:rsidR="006259A2">
        <w:t>R</w:t>
      </w:r>
      <w:r w:rsidR="004E672B" w:rsidRPr="008858B4">
        <w:t xml:space="preserve">eply due to failure to check </w:t>
      </w:r>
      <w:r w:rsidR="00EB0439">
        <w:t xml:space="preserve">EERE </w:t>
      </w:r>
      <w:r w:rsidR="00D615E8">
        <w:t>eXCHANGE</w:t>
      </w:r>
      <w:r w:rsidR="001A3502">
        <w:t xml:space="preserve"> </w:t>
      </w:r>
      <w:r w:rsidR="004E672B" w:rsidRPr="008858B4">
        <w:t>or relying on the expected date alone.</w:t>
      </w:r>
      <w:r w:rsidR="001A3502">
        <w:t xml:space="preserve"> </w:t>
      </w:r>
      <w:r w:rsidR="004E672B" w:rsidRPr="008858B4">
        <w:t xml:space="preserve">Applicants should anticipate having approximately three (3) business days to submit </w:t>
      </w:r>
      <w:r w:rsidR="006259A2">
        <w:t>a Reply</w:t>
      </w:r>
      <w:r w:rsidR="004E672B" w:rsidRPr="008858B4">
        <w:t>.</w:t>
      </w:r>
    </w:p>
    <w:p w14:paraId="345A9022" w14:textId="77777777" w:rsidR="006A24B8" w:rsidRPr="008858B4" w:rsidRDefault="006A24B8" w:rsidP="007F355D">
      <w:pPr>
        <w:ind w:left="1080" w:hanging="360"/>
      </w:pPr>
    </w:p>
    <w:p w14:paraId="6D15D277" w14:textId="77777777" w:rsidR="006259A2" w:rsidRDefault="006259A2" w:rsidP="006259A2">
      <w:pPr>
        <w:ind w:left="1080"/>
      </w:pPr>
      <w:r>
        <w:t>A</w:t>
      </w:r>
      <w:r w:rsidRPr="00DE6DA5">
        <w:t>pplicants are not required to submit a Reply</w:t>
      </w:r>
      <w:r>
        <w:t xml:space="preserve"> to Reviewer Comments</w:t>
      </w:r>
      <w:r w:rsidRPr="00DE6DA5">
        <w:t>.</w:t>
      </w:r>
      <w:r>
        <w:t xml:space="preserve"> </w:t>
      </w:r>
      <w:r w:rsidRPr="008858B4">
        <w:t>EERE will review and consider each eligible Full Application, even if no Reply is submitted or if the Reply is found to be ineligible.</w:t>
      </w:r>
    </w:p>
    <w:p w14:paraId="3E23092F" w14:textId="125A250A" w:rsidR="00481D71" w:rsidRPr="008858B4" w:rsidRDefault="00481D71" w:rsidP="00F26A57">
      <w:pPr>
        <w:ind w:left="1440"/>
      </w:pPr>
    </w:p>
    <w:p w14:paraId="19B82635" w14:textId="77777777" w:rsidR="006259A2" w:rsidRPr="00A30596" w:rsidRDefault="006259A2" w:rsidP="001612A1">
      <w:pPr>
        <w:pStyle w:val="FOAHeading2"/>
      </w:pPr>
      <w:bookmarkStart w:id="336" w:name="_Toc517798918"/>
      <w:bookmarkStart w:id="337" w:name="_Toc519602246"/>
      <w:bookmarkStart w:id="338" w:name="_Toc519602369"/>
      <w:bookmarkStart w:id="339" w:name="_Toc140060965"/>
      <w:bookmarkStart w:id="340" w:name="_Toc176864466"/>
      <w:r w:rsidRPr="00A30596">
        <w:t>Post Selection Information Requests</w:t>
      </w:r>
      <w:bookmarkEnd w:id="336"/>
      <w:bookmarkEnd w:id="337"/>
      <w:bookmarkEnd w:id="338"/>
      <w:bookmarkEnd w:id="339"/>
      <w:bookmarkEnd w:id="340"/>
      <w:r w:rsidRPr="00A30596">
        <w:t xml:space="preserve"> </w:t>
      </w:r>
    </w:p>
    <w:p w14:paraId="489E7414" w14:textId="17120E54" w:rsidR="006259A2" w:rsidRPr="0060625F" w:rsidRDefault="006259A2" w:rsidP="006259A2">
      <w:pPr>
        <w:ind w:left="1080"/>
      </w:pPr>
      <w:r w:rsidRPr="0060625F">
        <w:t>If selecte</w:t>
      </w:r>
      <w:r w:rsidR="000579C2">
        <w:t xml:space="preserve">d </w:t>
      </w:r>
      <w:r w:rsidR="000579C2" w:rsidRPr="0060625F">
        <w:t>for award negotiations, EERE reserves the right to require that selected applicants provide additional or clarifying information regarding the application submissions, the project, the project team, the award requirements, and any other matters related to anticipated award. The following is a list of examples of information that may be required:</w:t>
      </w:r>
    </w:p>
    <w:p w14:paraId="01D7FF48" w14:textId="77777777" w:rsidR="006259A2" w:rsidRPr="0060625F" w:rsidRDefault="006259A2" w:rsidP="006259A2">
      <w:pPr>
        <w:ind w:left="1080"/>
      </w:pPr>
    </w:p>
    <w:p w14:paraId="02DBD616" w14:textId="4AF7F2AC" w:rsidR="00B841BC" w:rsidRPr="00B841BC" w:rsidRDefault="006259A2" w:rsidP="00B841BC">
      <w:pPr>
        <w:pStyle w:val="ListParagraph"/>
        <w:numPr>
          <w:ilvl w:val="0"/>
          <w:numId w:val="106"/>
        </w:numPr>
        <w:ind w:left="1440"/>
      </w:pPr>
      <w:r w:rsidRPr="0060625F">
        <w:rPr>
          <w:rFonts w:ascii="Calibri" w:hAnsi="Calibri"/>
        </w:rPr>
        <w:t>Personnel proposed to work on the project and collaborating organizations (See Section VI.B.x</w:t>
      </w:r>
      <w:r w:rsidR="00E4232D">
        <w:rPr>
          <w:rFonts w:ascii="Calibri" w:hAnsi="Calibri"/>
        </w:rPr>
        <w:t>x</w:t>
      </w:r>
      <w:r w:rsidRPr="0060625F">
        <w:rPr>
          <w:rFonts w:ascii="Calibri" w:hAnsi="Calibri"/>
        </w:rPr>
        <w:t>.</w:t>
      </w:r>
      <w:r w:rsidRPr="0060625F">
        <w:t xml:space="preserve"> Participants and Collaborating Organizations)</w:t>
      </w:r>
      <w:r w:rsidRPr="0060625F">
        <w:rPr>
          <w:rFonts w:ascii="Calibri" w:hAnsi="Calibri"/>
        </w:rPr>
        <w:t>;</w:t>
      </w:r>
    </w:p>
    <w:p w14:paraId="1A6634E8" w14:textId="2E1D327C" w:rsidR="006259A2" w:rsidRPr="00B841BC" w:rsidRDefault="006259A2" w:rsidP="00B841BC">
      <w:pPr>
        <w:pStyle w:val="ListParagraph"/>
        <w:numPr>
          <w:ilvl w:val="0"/>
          <w:numId w:val="106"/>
        </w:numPr>
        <w:ind w:left="1440"/>
      </w:pPr>
      <w:r w:rsidRPr="0060625F">
        <w:rPr>
          <w:rFonts w:ascii="Calibri" w:hAnsi="Calibri"/>
        </w:rPr>
        <w:t xml:space="preserve">Current and Pending Support </w:t>
      </w:r>
      <w:r w:rsidRPr="0060625F">
        <w:t>(See Sections IV.</w:t>
      </w:r>
      <w:r w:rsidR="00D947A0">
        <w:t>D</w:t>
      </w:r>
      <w:r w:rsidRPr="0060625F">
        <w:t>.xvii. and VI.B.xx</w:t>
      </w:r>
      <w:r w:rsidR="0022649C">
        <w:t>i</w:t>
      </w:r>
      <w:r w:rsidRPr="0060625F">
        <w:t>. Current and Pending Support);</w:t>
      </w:r>
      <w:r w:rsidRPr="00B841BC">
        <w:rPr>
          <w:highlight w:val="green"/>
        </w:rPr>
        <w:t xml:space="preserve"> </w:t>
      </w:r>
    </w:p>
    <w:p w14:paraId="291C6EB2" w14:textId="20B021FE" w:rsidR="006259A2" w:rsidRDefault="006259A2" w:rsidP="006259A2">
      <w:pPr>
        <w:numPr>
          <w:ilvl w:val="0"/>
          <w:numId w:val="106"/>
        </w:numPr>
        <w:ind w:left="1440"/>
        <w:contextualSpacing/>
      </w:pPr>
      <w:r>
        <w:t xml:space="preserve">An Intellectual Property Management Plan (if applicable) </w:t>
      </w:r>
      <w:r w:rsidRPr="006C56C2">
        <w:rPr>
          <w:rFonts w:eastAsiaTheme="minorEastAsia"/>
        </w:rPr>
        <w:t xml:space="preserve">describing how the project team/consortia members will handle intellectual property rights and issues between themselves while ensuring compliance with federal intellectual property laws, regulations, and policies </w:t>
      </w:r>
      <w:r>
        <w:t xml:space="preserve">in accordance with </w:t>
      </w:r>
      <w:r w:rsidRPr="008B0D95">
        <w:t>Section VI.B.x</w:t>
      </w:r>
      <w:r w:rsidR="00A9428B" w:rsidRPr="008B0D95">
        <w:t>i</w:t>
      </w:r>
      <w:r w:rsidRPr="008B0D95">
        <w:t>.</w:t>
      </w:r>
      <w:r>
        <w:t xml:space="preserve"> Intellectual Property Management Plan;</w:t>
      </w:r>
    </w:p>
    <w:p w14:paraId="5FE56E75" w14:textId="5851967C" w:rsidR="00611317" w:rsidRDefault="006259A2" w:rsidP="006259A2">
      <w:pPr>
        <w:numPr>
          <w:ilvl w:val="0"/>
          <w:numId w:val="106"/>
        </w:numPr>
        <w:ind w:left="1440"/>
        <w:contextualSpacing/>
      </w:pPr>
      <w:r>
        <w:t>A Data Management Plan (if applicable) describing</w:t>
      </w:r>
      <w:r w:rsidRPr="00AD4033">
        <w:t xml:space="preserve"> how all research data displayed in publications resulting from the proposed work </w:t>
      </w:r>
      <w:r>
        <w:t xml:space="preserve">will be </w:t>
      </w:r>
      <w:r w:rsidRPr="00AD4033">
        <w:t>digitally accessible at the time of publications</w:t>
      </w:r>
      <w:r>
        <w:t xml:space="preserve">, in accordance with </w:t>
      </w:r>
      <w:r w:rsidRPr="008B0D95">
        <w:t>Section VI.B.xxi</w:t>
      </w:r>
      <w:r w:rsidR="00594972" w:rsidRPr="008B0D95">
        <w:t>v</w:t>
      </w:r>
      <w:r w:rsidRPr="008B0D95">
        <w:t>.</w:t>
      </w:r>
      <w:r w:rsidRPr="00EE5DE0">
        <w:t>;</w:t>
      </w:r>
    </w:p>
    <w:p w14:paraId="04D119D6" w14:textId="3C7B43D1" w:rsidR="00E750B0" w:rsidRPr="008858B4" w:rsidRDefault="00E750B0" w:rsidP="006259A2">
      <w:pPr>
        <w:numPr>
          <w:ilvl w:val="0"/>
          <w:numId w:val="106"/>
        </w:numPr>
        <w:ind w:left="1440"/>
        <w:contextualSpacing/>
      </w:pPr>
      <w:r w:rsidRPr="008858B4">
        <w:t>Indirect cost information</w:t>
      </w:r>
      <w:r>
        <w:t>;</w:t>
      </w:r>
    </w:p>
    <w:p w14:paraId="64D8DA4A" w14:textId="77777777" w:rsidR="00E750B0" w:rsidRPr="008858B4" w:rsidRDefault="00E750B0" w:rsidP="007F355D">
      <w:pPr>
        <w:numPr>
          <w:ilvl w:val="0"/>
          <w:numId w:val="106"/>
        </w:numPr>
        <w:ind w:left="1440"/>
        <w:contextualSpacing/>
      </w:pPr>
      <w:r w:rsidRPr="008858B4">
        <w:t>Other budget information</w:t>
      </w:r>
      <w:r>
        <w:t>;</w:t>
      </w:r>
    </w:p>
    <w:p w14:paraId="6E3B47E2" w14:textId="78292F0A" w:rsidR="00E750B0" w:rsidRPr="008858B4" w:rsidRDefault="006259A2" w:rsidP="007F355D">
      <w:pPr>
        <w:numPr>
          <w:ilvl w:val="0"/>
          <w:numId w:val="106"/>
        </w:numPr>
        <w:ind w:left="1440"/>
        <w:contextualSpacing/>
      </w:pPr>
      <w:r w:rsidRPr="008858B4">
        <w:lastRenderedPageBreak/>
        <w:t xml:space="preserve">Letters </w:t>
      </w:r>
      <w:r>
        <w:t xml:space="preserve">of </w:t>
      </w:r>
      <w:r w:rsidR="00E750B0" w:rsidRPr="008858B4">
        <w:t xml:space="preserve">Commitment from </w:t>
      </w:r>
      <w:r>
        <w:t>t</w:t>
      </w:r>
      <w:r w:rsidR="00E750B0" w:rsidRPr="008858B4">
        <w:t xml:space="preserve">hird </w:t>
      </w:r>
      <w:r>
        <w:t>p</w:t>
      </w:r>
      <w:r w:rsidR="00E750B0" w:rsidRPr="008858B4">
        <w:t xml:space="preserve">arties </w:t>
      </w:r>
      <w:r>
        <w:t>c</w:t>
      </w:r>
      <w:r w:rsidR="00E750B0" w:rsidRPr="008858B4">
        <w:t xml:space="preserve">ontributing to </w:t>
      </w:r>
      <w:r>
        <w:t>c</w:t>
      </w:r>
      <w:r w:rsidR="00E750B0" w:rsidRPr="008858B4">
        <w:t xml:space="preserve">ost </w:t>
      </w:r>
      <w:r>
        <w:t>s</w:t>
      </w:r>
      <w:r w:rsidR="00E750B0" w:rsidRPr="008858B4">
        <w:t>hare, if applicable</w:t>
      </w:r>
      <w:r w:rsidR="00E750B0">
        <w:t>;</w:t>
      </w:r>
    </w:p>
    <w:p w14:paraId="7341A4BB" w14:textId="77777777" w:rsidR="00E750B0" w:rsidRPr="006A0B84" w:rsidRDefault="00E750B0" w:rsidP="007F355D">
      <w:pPr>
        <w:numPr>
          <w:ilvl w:val="0"/>
          <w:numId w:val="106"/>
        </w:numPr>
        <w:ind w:left="1440"/>
        <w:contextualSpacing/>
      </w:pPr>
      <w:r w:rsidRPr="008858B4">
        <w:t xml:space="preserve">Name and phone number of the Designated Responsible Employee for </w:t>
      </w:r>
      <w:r w:rsidRPr="006A0B84">
        <w:t>complying with national policies prohibiting discrimination (See 10 CFR 1040.5);</w:t>
      </w:r>
    </w:p>
    <w:p w14:paraId="1BE751D3" w14:textId="77777777" w:rsidR="006259A2" w:rsidRPr="006A0B84" w:rsidRDefault="006259A2" w:rsidP="006259A2">
      <w:pPr>
        <w:numPr>
          <w:ilvl w:val="0"/>
          <w:numId w:val="106"/>
        </w:numPr>
        <w:ind w:left="1440"/>
        <w:contextualSpacing/>
      </w:pPr>
      <w:r w:rsidRPr="006A0B84">
        <w:t>Information for the DOE Office of Civil Rights to process assurance reviews under 10 CFR 1040;</w:t>
      </w:r>
    </w:p>
    <w:p w14:paraId="38598F0C" w14:textId="77777777" w:rsidR="00E750B0" w:rsidRPr="008858B4" w:rsidRDefault="00E750B0" w:rsidP="007F355D">
      <w:pPr>
        <w:numPr>
          <w:ilvl w:val="0"/>
          <w:numId w:val="106"/>
        </w:numPr>
        <w:ind w:left="1440"/>
        <w:contextualSpacing/>
      </w:pPr>
      <w:r w:rsidRPr="008858B4">
        <w:t>Representation of Limited Rights Data and Restricted Software, if applicable</w:t>
      </w:r>
      <w:r>
        <w:t>; and</w:t>
      </w:r>
    </w:p>
    <w:p w14:paraId="5ED1959A" w14:textId="77777777" w:rsidR="00E750B0" w:rsidRPr="008858B4" w:rsidRDefault="00E750B0" w:rsidP="007F355D">
      <w:pPr>
        <w:numPr>
          <w:ilvl w:val="0"/>
          <w:numId w:val="106"/>
        </w:numPr>
        <w:ind w:left="1440"/>
        <w:contextualSpacing/>
      </w:pPr>
      <w:r w:rsidRPr="008858B4">
        <w:t>Environmental Questionnaire</w:t>
      </w:r>
      <w:r>
        <w:t>.</w:t>
      </w:r>
    </w:p>
    <w:p w14:paraId="2559A22B" w14:textId="77777777" w:rsidR="00E750B0" w:rsidRPr="008858B4" w:rsidRDefault="00E750B0" w:rsidP="00E750B0">
      <w:pPr>
        <w:contextualSpacing/>
        <w:rPr>
          <w:color w:val="0000FF"/>
        </w:rPr>
      </w:pPr>
    </w:p>
    <w:p w14:paraId="17E93EAC" w14:textId="19981DF8" w:rsidR="006A24B8" w:rsidRPr="00872882" w:rsidRDefault="000C16CD" w:rsidP="001612A1">
      <w:pPr>
        <w:pStyle w:val="FOAHeading2"/>
      </w:pPr>
      <w:bookmarkStart w:id="341" w:name="_Toc517798919"/>
      <w:bookmarkStart w:id="342" w:name="_Toc519602247"/>
      <w:bookmarkStart w:id="343" w:name="_Toc519602370"/>
      <w:bookmarkStart w:id="344" w:name="_Hlk85627042"/>
      <w:bookmarkStart w:id="345" w:name="_Toc176864467"/>
      <w:r w:rsidRPr="00F6522E">
        <w:t>Unique Entity Identifier (UEI)</w:t>
      </w:r>
      <w:r w:rsidR="004E672B" w:rsidRPr="00221643">
        <w:t xml:space="preserve"> and System for Award Management</w:t>
      </w:r>
      <w:bookmarkEnd w:id="341"/>
      <w:bookmarkEnd w:id="342"/>
      <w:bookmarkEnd w:id="343"/>
      <w:r w:rsidR="004E672B" w:rsidRPr="00221643">
        <w:t xml:space="preserve"> </w:t>
      </w:r>
      <w:r w:rsidR="009F1B00">
        <w:t>(SAM)</w:t>
      </w:r>
      <w:bookmarkEnd w:id="345"/>
    </w:p>
    <w:p w14:paraId="6A161BAE" w14:textId="7DF37BE7" w:rsidR="006A24B8" w:rsidRDefault="004E672B" w:rsidP="007F355D">
      <w:pPr>
        <w:pStyle w:val="FOATemplateBody"/>
        <w:ind w:left="1080"/>
        <w:rPr>
          <w:rFonts w:asciiTheme="minorHAnsi" w:hAnsiTheme="minorHAnsi"/>
        </w:rPr>
      </w:pPr>
      <w:r w:rsidRPr="00AF2304">
        <w:rPr>
          <w:rFonts w:asciiTheme="minorHAnsi" w:hAnsiTheme="minorHAnsi"/>
        </w:rPr>
        <w:t xml:space="preserve">Each applicant (unless the applicant is an individual or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awarding agency that is excepted from those requirements under 2 CFR 25.110(b) or (c), or has an exception approved by the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awarding agency under 2 CF</w:t>
      </w:r>
      <w:r w:rsidR="003242B1" w:rsidRPr="00AF2304">
        <w:rPr>
          <w:rFonts w:asciiTheme="minorHAnsi" w:hAnsiTheme="minorHAnsi"/>
        </w:rPr>
        <w:t>R 25.110(d)) is required to: (1</w:t>
      </w:r>
      <w:r w:rsidRPr="00AF2304">
        <w:rPr>
          <w:rFonts w:asciiTheme="minorHAnsi" w:hAnsiTheme="minorHAnsi"/>
        </w:rPr>
        <w:t xml:space="preserve">) </w:t>
      </w:r>
      <w:r w:rsidR="00B9555B">
        <w:rPr>
          <w:rFonts w:asciiTheme="minorHAnsi" w:hAnsiTheme="minorHAnsi"/>
        </w:rPr>
        <w:t>r</w:t>
      </w:r>
      <w:r w:rsidRPr="00AF2304">
        <w:rPr>
          <w:rFonts w:asciiTheme="minorHAnsi" w:hAnsiTheme="minorHAnsi"/>
        </w:rPr>
        <w:t xml:space="preserve">egister in the SAM at </w:t>
      </w:r>
      <w:hyperlink r:id="rId40" w:history="1">
        <w:r w:rsidRPr="00AF2304">
          <w:rPr>
            <w:rStyle w:val="Hyperlink"/>
            <w:rFonts w:asciiTheme="minorHAnsi" w:hAnsiTheme="minorHAnsi"/>
          </w:rPr>
          <w:t>https://www.sam.gov</w:t>
        </w:r>
      </w:hyperlink>
      <w:r w:rsidRPr="00AF2304">
        <w:rPr>
          <w:rFonts w:asciiTheme="minorHAnsi" w:hAnsiTheme="minorHAnsi"/>
        </w:rPr>
        <w:t xml:space="preserve"> before submitting </w:t>
      </w:r>
      <w:r w:rsidR="00F507A3">
        <w:rPr>
          <w:rFonts w:asciiTheme="minorHAnsi" w:hAnsiTheme="minorHAnsi"/>
        </w:rPr>
        <w:t>an</w:t>
      </w:r>
      <w:r w:rsidRPr="00AF2304">
        <w:rPr>
          <w:rFonts w:asciiTheme="minorHAnsi" w:hAnsiTheme="minorHAnsi"/>
        </w:rPr>
        <w:t xml:space="preserve"> application;</w:t>
      </w:r>
      <w:r w:rsidR="003242B1" w:rsidRPr="00AF2304">
        <w:rPr>
          <w:rFonts w:asciiTheme="minorHAnsi" w:hAnsiTheme="minorHAnsi"/>
        </w:rPr>
        <w:t xml:space="preserve"> (2</w:t>
      </w:r>
      <w:r w:rsidRPr="00AF2304">
        <w:rPr>
          <w:rFonts w:asciiTheme="minorHAnsi" w:hAnsiTheme="minorHAnsi"/>
        </w:rPr>
        <w:t xml:space="preserve">) provide a valid </w:t>
      </w:r>
      <w:r w:rsidR="000C16CD">
        <w:rPr>
          <w:rFonts w:asciiTheme="minorHAnsi" w:hAnsiTheme="minorHAnsi"/>
        </w:rPr>
        <w:t xml:space="preserve">UEI </w:t>
      </w:r>
      <w:r w:rsidR="003242B1" w:rsidRPr="00AF2304">
        <w:rPr>
          <w:rFonts w:asciiTheme="minorHAnsi" w:hAnsiTheme="minorHAnsi"/>
        </w:rPr>
        <w:t xml:space="preserve">in </w:t>
      </w:r>
      <w:r w:rsidR="00F507A3">
        <w:rPr>
          <w:rFonts w:asciiTheme="minorHAnsi" w:hAnsiTheme="minorHAnsi"/>
        </w:rPr>
        <w:t>the</w:t>
      </w:r>
      <w:r w:rsidR="003242B1" w:rsidRPr="00AF2304">
        <w:rPr>
          <w:rFonts w:asciiTheme="minorHAnsi" w:hAnsiTheme="minorHAnsi"/>
        </w:rPr>
        <w:t xml:space="preserve"> application; and (3</w:t>
      </w:r>
      <w:r w:rsidRPr="00AF2304">
        <w:rPr>
          <w:rFonts w:asciiTheme="minorHAnsi" w:hAnsiTheme="minorHAnsi"/>
        </w:rPr>
        <w:t xml:space="preserve">) maintain an active SAM registration with current information at all times during which it has an active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 or an application or plan under consideration by a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awarding agency. </w:t>
      </w:r>
      <w:r w:rsidRPr="00D236F1">
        <w:rPr>
          <w:rFonts w:asciiTheme="minorHAnsi" w:hAnsiTheme="minorHAnsi"/>
        </w:rPr>
        <w:t xml:space="preserve">DOE </w:t>
      </w:r>
      <w:r w:rsidRPr="00AF2304">
        <w:rPr>
          <w:rFonts w:asciiTheme="minorHAnsi" w:hAnsiTheme="minorHAnsi"/>
        </w:rPr>
        <w:t xml:space="preserve">may not make a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 to an applicant until the applicant has complied with all applicable </w:t>
      </w:r>
      <w:r w:rsidR="000C16CD">
        <w:rPr>
          <w:rFonts w:asciiTheme="minorHAnsi" w:hAnsiTheme="minorHAnsi"/>
        </w:rPr>
        <w:t>UEI</w:t>
      </w:r>
      <w:r w:rsidRPr="00AF2304">
        <w:rPr>
          <w:rFonts w:asciiTheme="minorHAnsi" w:hAnsiTheme="minorHAnsi"/>
        </w:rPr>
        <w:t xml:space="preserve"> and SAM requirements</w:t>
      </w:r>
      <w:r w:rsidR="00F507A3">
        <w:rPr>
          <w:rFonts w:asciiTheme="minorHAnsi" w:hAnsiTheme="minorHAnsi"/>
        </w:rPr>
        <w:t>.</w:t>
      </w:r>
      <w:r w:rsidRPr="00AF2304">
        <w:rPr>
          <w:rFonts w:asciiTheme="minorHAnsi" w:hAnsiTheme="minorHAnsi"/>
        </w:rPr>
        <w:t xml:space="preserve"> </w:t>
      </w:r>
      <w:r w:rsidR="00F507A3">
        <w:rPr>
          <w:rFonts w:asciiTheme="minorHAnsi" w:hAnsiTheme="minorHAnsi"/>
        </w:rPr>
        <w:t>I</w:t>
      </w:r>
      <w:r w:rsidRPr="00AF2304">
        <w:rPr>
          <w:rFonts w:asciiTheme="minorHAnsi" w:hAnsiTheme="minorHAnsi"/>
        </w:rPr>
        <w:t xml:space="preserve">f an applicant has not fully complied with the requirements by the time DOE is ready to make a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 DOE </w:t>
      </w:r>
      <w:r w:rsidR="009A02DB">
        <w:rPr>
          <w:rFonts w:asciiTheme="minorHAnsi" w:hAnsiTheme="minorHAnsi"/>
        </w:rPr>
        <w:t>will</w:t>
      </w:r>
      <w:r w:rsidR="009A02DB" w:rsidRPr="00AF2304">
        <w:rPr>
          <w:rFonts w:asciiTheme="minorHAnsi" w:hAnsiTheme="minorHAnsi"/>
        </w:rPr>
        <w:t xml:space="preserve"> </w:t>
      </w:r>
      <w:r w:rsidRPr="00AF2304">
        <w:rPr>
          <w:rFonts w:asciiTheme="minorHAnsi" w:hAnsiTheme="minorHAnsi"/>
        </w:rPr>
        <w:t xml:space="preserve">determine that the applicant is not qualified to receive a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 xml:space="preserve">award and use that determination as a basis for making a </w:t>
      </w:r>
      <w:r w:rsidR="00710ED6">
        <w:rPr>
          <w:rFonts w:asciiTheme="minorHAnsi" w:hAnsiTheme="minorHAnsi"/>
        </w:rPr>
        <w:t>f</w:t>
      </w:r>
      <w:r w:rsidR="00710ED6" w:rsidRPr="00AF2304">
        <w:rPr>
          <w:rFonts w:asciiTheme="minorHAnsi" w:hAnsiTheme="minorHAnsi"/>
        </w:rPr>
        <w:t xml:space="preserve">ederal </w:t>
      </w:r>
      <w:r w:rsidRPr="00AF2304">
        <w:rPr>
          <w:rFonts w:asciiTheme="minorHAnsi" w:hAnsiTheme="minorHAnsi"/>
        </w:rPr>
        <w:t>award to another applicant.</w:t>
      </w:r>
      <w:bookmarkEnd w:id="344"/>
      <w:r w:rsidRPr="008858B4">
        <w:rPr>
          <w:rFonts w:asciiTheme="minorHAnsi" w:hAnsiTheme="minorHAnsi"/>
        </w:rPr>
        <w:br/>
      </w:r>
      <w:bookmarkStart w:id="346" w:name="_Toc356975029"/>
      <w:bookmarkEnd w:id="346"/>
    </w:p>
    <w:p w14:paraId="3DBE9DD5" w14:textId="5F290C34" w:rsidR="006259A2" w:rsidRPr="00E6172F" w:rsidRDefault="006259A2" w:rsidP="006259A2">
      <w:pPr>
        <w:pStyle w:val="FOATemplateBody"/>
        <w:keepNext/>
        <w:keepLines/>
        <w:ind w:left="1080"/>
        <w:rPr>
          <w:rFonts w:asciiTheme="minorHAnsi" w:hAnsiTheme="minorHAnsi"/>
          <w:b/>
        </w:rPr>
      </w:pPr>
      <w:r w:rsidRPr="00922675">
        <w:rPr>
          <w:rStyle w:val="Strong"/>
          <w:rFonts w:asciiTheme="minorHAnsi" w:hAnsiTheme="minorHAnsi"/>
          <w:b w:val="0"/>
          <w:bCs w:val="0"/>
          <w:color w:val="292929"/>
          <w:shd w:val="clear" w:color="auto" w:fill="FFFFFF"/>
        </w:rPr>
        <w:t xml:space="preserve">NOTE: Due to the high demand of UEI requests and SAM registrations, entity legal business name and address validations are taking longer than expected to process. Entities should start the UEI and SAM registration process as soon as possible. If entities have technical difficulties with the UEI validation or SAM registration process they should use the </w:t>
      </w:r>
      <w:hyperlink r:id="rId41" w:history="1">
        <w:r w:rsidRPr="00922675">
          <w:rPr>
            <w:rStyle w:val="Hyperlink"/>
            <w:bCs/>
            <w:shd w:val="clear" w:color="auto" w:fill="FFFFFF"/>
          </w:rPr>
          <w:t>HELP</w:t>
        </w:r>
      </w:hyperlink>
      <w:r w:rsidRPr="00922675">
        <w:rPr>
          <w:rStyle w:val="Strong"/>
          <w:rFonts w:asciiTheme="minorHAnsi" w:hAnsiTheme="minorHAnsi"/>
          <w:b w:val="0"/>
          <w:bCs w:val="0"/>
          <w:color w:val="292929"/>
          <w:shd w:val="clear" w:color="auto" w:fill="FFFFFF"/>
        </w:rPr>
        <w:t xml:space="preserve"> feature on </w:t>
      </w:r>
      <w:hyperlink r:id="rId42" w:history="1">
        <w:r w:rsidRPr="00922675">
          <w:rPr>
            <w:rStyle w:val="Hyperlink"/>
            <w:bCs/>
            <w:shd w:val="clear" w:color="auto" w:fill="FFFFFF"/>
          </w:rPr>
          <w:t>SAM.gov</w:t>
        </w:r>
      </w:hyperlink>
      <w:r w:rsidRPr="00922675">
        <w:rPr>
          <w:rStyle w:val="Strong"/>
          <w:rFonts w:asciiTheme="minorHAnsi" w:hAnsiTheme="minorHAnsi"/>
          <w:b w:val="0"/>
          <w:bCs w:val="0"/>
          <w:color w:val="292929"/>
          <w:shd w:val="clear" w:color="auto" w:fill="FFFFFF"/>
        </w:rPr>
        <w:t>. SAM.gov will work entity service tickets in the order in which they are received and asks that entities not create multiple service tickets for the same request or technical issue. Additional entity validation resources can be found here: </w:t>
      </w:r>
      <w:hyperlink r:id="rId43" w:history="1">
        <w:r w:rsidRPr="00922675">
          <w:rPr>
            <w:rStyle w:val="Hyperlink"/>
            <w:rFonts w:asciiTheme="minorHAnsi" w:hAnsiTheme="minorHAnsi"/>
            <w:bCs/>
          </w:rPr>
          <w:t>GSAFSD Tier 0 Knowledge Base - Validating your Entity</w:t>
        </w:r>
      </w:hyperlink>
      <w:r w:rsidRPr="00922675">
        <w:rPr>
          <w:rStyle w:val="Strong"/>
          <w:rFonts w:asciiTheme="minorHAnsi" w:hAnsiTheme="minorHAnsi"/>
          <w:b w:val="0"/>
          <w:bCs w:val="0"/>
          <w:color w:val="292929"/>
          <w:shd w:val="clear" w:color="auto" w:fill="FFFFFF"/>
        </w:rPr>
        <w:t>.</w:t>
      </w:r>
    </w:p>
    <w:p w14:paraId="533C5A38" w14:textId="77777777" w:rsidR="006259A2" w:rsidRPr="00AF2304" w:rsidRDefault="006259A2" w:rsidP="007F355D">
      <w:pPr>
        <w:pStyle w:val="FOATemplateBody"/>
        <w:ind w:left="1080"/>
        <w:rPr>
          <w:rFonts w:asciiTheme="minorHAnsi" w:hAnsiTheme="minorHAnsi"/>
        </w:rPr>
      </w:pPr>
    </w:p>
    <w:p w14:paraId="3D350461" w14:textId="77777777" w:rsidR="0014599D" w:rsidRPr="00872882" w:rsidRDefault="004E672B" w:rsidP="001612A1">
      <w:pPr>
        <w:pStyle w:val="FOAHeading2"/>
      </w:pPr>
      <w:bookmarkStart w:id="347" w:name="_Toc517798920"/>
      <w:bookmarkStart w:id="348" w:name="_Toc519602248"/>
      <w:bookmarkStart w:id="349" w:name="_Toc519602371"/>
      <w:bookmarkStart w:id="350" w:name="_Toc176864468"/>
      <w:r w:rsidRPr="00221643">
        <w:t>Submission Dates and Times</w:t>
      </w:r>
      <w:bookmarkEnd w:id="347"/>
      <w:bookmarkEnd w:id="348"/>
      <w:bookmarkEnd w:id="349"/>
      <w:bookmarkEnd w:id="350"/>
    </w:p>
    <w:p w14:paraId="35F5CF36" w14:textId="655BDF27" w:rsidR="0014599D" w:rsidRDefault="004E672B" w:rsidP="007F355D">
      <w:pPr>
        <w:pStyle w:val="FOATemplateBody"/>
        <w:ind w:left="1080"/>
        <w:rPr>
          <w:rFonts w:asciiTheme="minorHAnsi" w:hAnsiTheme="minorHAnsi"/>
        </w:rPr>
      </w:pPr>
      <w:r w:rsidRPr="0019651E">
        <w:rPr>
          <w:rFonts w:asciiTheme="minorHAnsi" w:hAnsiTheme="minorHAnsi"/>
        </w:rPr>
        <w:t xml:space="preserve">All required submissions must be submitted in </w:t>
      </w:r>
      <w:r w:rsidR="00EB0439">
        <w:rPr>
          <w:rFonts w:asciiTheme="minorHAnsi" w:hAnsiTheme="minorHAnsi"/>
        </w:rPr>
        <w:t xml:space="preserve">EERE </w:t>
      </w:r>
      <w:r w:rsidR="00D615E8">
        <w:rPr>
          <w:rFonts w:asciiTheme="minorHAnsi" w:hAnsiTheme="minorHAnsi"/>
        </w:rPr>
        <w:t>eXCHANGE</w:t>
      </w:r>
      <w:r w:rsidRPr="0019651E">
        <w:rPr>
          <w:rFonts w:asciiTheme="minorHAnsi" w:hAnsiTheme="minorHAnsi"/>
        </w:rPr>
        <w:t xml:space="preserve"> no later than 5 p.m. ET on the dates provided on the cover page of this FOA.</w:t>
      </w:r>
    </w:p>
    <w:p w14:paraId="321B1985" w14:textId="3D0A9C2F" w:rsidR="0014599D" w:rsidRDefault="0014599D" w:rsidP="0014599D">
      <w:pPr>
        <w:pStyle w:val="FOATemplateBody"/>
        <w:ind w:left="1080"/>
        <w:rPr>
          <w:rFonts w:asciiTheme="minorHAnsi" w:hAnsiTheme="minorHAnsi"/>
        </w:rPr>
      </w:pPr>
    </w:p>
    <w:p w14:paraId="31535156" w14:textId="77777777" w:rsidR="001E0D1A" w:rsidRDefault="001E0D1A" w:rsidP="0014599D">
      <w:pPr>
        <w:pStyle w:val="FOATemplateBody"/>
        <w:ind w:left="1080"/>
        <w:rPr>
          <w:rFonts w:asciiTheme="minorHAnsi" w:hAnsiTheme="minorHAnsi"/>
        </w:rPr>
      </w:pPr>
    </w:p>
    <w:p w14:paraId="22B99288" w14:textId="77777777" w:rsidR="001E0D1A" w:rsidRPr="008858B4" w:rsidRDefault="001E0D1A" w:rsidP="0014599D">
      <w:pPr>
        <w:pStyle w:val="FOATemplateBody"/>
        <w:ind w:left="1080"/>
        <w:rPr>
          <w:rFonts w:asciiTheme="minorHAnsi" w:hAnsiTheme="minorHAnsi"/>
        </w:rPr>
      </w:pPr>
    </w:p>
    <w:p w14:paraId="54AEC10E" w14:textId="77777777" w:rsidR="0014599D" w:rsidRPr="00872882" w:rsidRDefault="004E672B" w:rsidP="001612A1">
      <w:pPr>
        <w:pStyle w:val="FOAHeading2"/>
      </w:pPr>
      <w:bookmarkStart w:id="351" w:name="_Toc517771565"/>
      <w:bookmarkStart w:id="352" w:name="_Toc517797782"/>
      <w:bookmarkStart w:id="353" w:name="_Toc517797862"/>
      <w:bookmarkStart w:id="354" w:name="_Toc517797940"/>
      <w:bookmarkStart w:id="355" w:name="_Toc517798055"/>
      <w:bookmarkStart w:id="356" w:name="_Toc517798280"/>
      <w:bookmarkStart w:id="357" w:name="_Toc517798361"/>
      <w:bookmarkStart w:id="358" w:name="_Toc517798921"/>
      <w:bookmarkStart w:id="359" w:name="_Toc517799206"/>
      <w:bookmarkStart w:id="360" w:name="_Toc519602177"/>
      <w:bookmarkStart w:id="361" w:name="_Toc519602249"/>
      <w:bookmarkStart w:id="362" w:name="_Toc519602372"/>
      <w:bookmarkStart w:id="363" w:name="_Toc519602538"/>
      <w:bookmarkStart w:id="364" w:name="_Toc520382647"/>
      <w:bookmarkStart w:id="365" w:name="_Toc520455645"/>
      <w:bookmarkStart w:id="366" w:name="_Toc520455815"/>
      <w:bookmarkStart w:id="367" w:name="_Toc517798922"/>
      <w:bookmarkStart w:id="368" w:name="_Toc519602250"/>
      <w:bookmarkStart w:id="369" w:name="_Toc519602373"/>
      <w:bookmarkStart w:id="370" w:name="_Toc17686446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AF2304">
        <w:lastRenderedPageBreak/>
        <w:t>Intergovernmental Review</w:t>
      </w:r>
      <w:bookmarkEnd w:id="367"/>
      <w:bookmarkEnd w:id="368"/>
      <w:bookmarkEnd w:id="369"/>
      <w:bookmarkEnd w:id="370"/>
    </w:p>
    <w:p w14:paraId="39095A75" w14:textId="372851BB" w:rsidR="00E625CC" w:rsidRDefault="00E625CC" w:rsidP="00B10270">
      <w:pPr>
        <w:ind w:left="1296"/>
        <w:rPr>
          <w:b/>
          <w:color w:val="000000" w:themeColor="text1"/>
        </w:rPr>
      </w:pPr>
    </w:p>
    <w:p w14:paraId="6E80F5E5" w14:textId="25838C59" w:rsidR="009762A3" w:rsidRPr="00B10270" w:rsidRDefault="004E672B" w:rsidP="007F355D">
      <w:pPr>
        <w:ind w:left="1080"/>
        <w:rPr>
          <w:color w:val="000000" w:themeColor="text1"/>
        </w:rPr>
      </w:pPr>
      <w:r w:rsidRPr="00B10270">
        <w:rPr>
          <w:color w:val="000000" w:themeColor="text1"/>
        </w:rPr>
        <w:t>This FOA is not subject to Executive Order 12372 – Intergovernmental Review of Federal Programs.</w:t>
      </w:r>
    </w:p>
    <w:p w14:paraId="58F40CF2" w14:textId="77777777" w:rsidR="00036612" w:rsidRPr="00811CE6" w:rsidRDefault="00036612" w:rsidP="00A931FD">
      <w:pPr>
        <w:ind w:left="1080"/>
        <w:rPr>
          <w:color w:val="000000" w:themeColor="text1"/>
        </w:rPr>
      </w:pPr>
    </w:p>
    <w:p w14:paraId="3E3FF296" w14:textId="72703716" w:rsidR="006A24B8" w:rsidRPr="00872882" w:rsidRDefault="004E672B" w:rsidP="001612A1">
      <w:pPr>
        <w:pStyle w:val="FOAHeading2"/>
      </w:pPr>
      <w:bookmarkStart w:id="371" w:name="_Toc517798923"/>
      <w:bookmarkStart w:id="372" w:name="_Toc519602251"/>
      <w:bookmarkStart w:id="373" w:name="_Toc519602374"/>
      <w:bookmarkStart w:id="374" w:name="_Toc176864470"/>
      <w:r w:rsidRPr="00221643">
        <w:t>Funding Restrictions</w:t>
      </w:r>
      <w:bookmarkEnd w:id="371"/>
      <w:bookmarkEnd w:id="372"/>
      <w:bookmarkEnd w:id="373"/>
      <w:bookmarkEnd w:id="374"/>
      <w:r w:rsidR="00853350">
        <w:br/>
      </w:r>
    </w:p>
    <w:p w14:paraId="570CEE28" w14:textId="1F03700B" w:rsidR="006A24B8" w:rsidRPr="00872882" w:rsidRDefault="004E672B" w:rsidP="004D5367">
      <w:pPr>
        <w:pStyle w:val="FOAHeading3"/>
        <w:numPr>
          <w:ilvl w:val="0"/>
          <w:numId w:val="42"/>
        </w:numPr>
        <w:ind w:left="1440"/>
        <w:outlineLvl w:val="2"/>
      </w:pPr>
      <w:bookmarkStart w:id="375" w:name="_Toc519602375"/>
      <w:bookmarkStart w:id="376" w:name="_Toc176864471"/>
      <w:r w:rsidRPr="00C72CE2">
        <w:t>Allowable Costs</w:t>
      </w:r>
      <w:bookmarkEnd w:id="375"/>
      <w:bookmarkEnd w:id="376"/>
    </w:p>
    <w:p w14:paraId="355BD31D" w14:textId="56B50A1D" w:rsidR="0071358E" w:rsidRPr="008858B4" w:rsidRDefault="004E672B" w:rsidP="007641CB">
      <w:pPr>
        <w:ind w:left="1440"/>
      </w:pPr>
      <w:r w:rsidRPr="008858B4">
        <w:t xml:space="preserve">All expenditures must be allowable, allocable, and reasonable in accordance with the applicable </w:t>
      </w:r>
      <w:r w:rsidR="00710ED6">
        <w:t>f</w:t>
      </w:r>
      <w:r w:rsidR="00710ED6" w:rsidRPr="008858B4">
        <w:t xml:space="preserve">ederal </w:t>
      </w:r>
      <w:r w:rsidRPr="008858B4">
        <w:t>cost principles.</w:t>
      </w:r>
      <w:r w:rsidR="006259A2">
        <w:t xml:space="preserve"> Pursuant to 2 CFR 910.352, the cost principles in the Federal Acquisition Regulations (48 CFR 31.2) apply to for-profit entities. The cost principles contained in 2 CFR Part 200, Subpart E apply to all entities other than for-profits.</w:t>
      </w:r>
    </w:p>
    <w:p w14:paraId="70A3C69A" w14:textId="77777777" w:rsidR="006A24B8" w:rsidRPr="008858B4" w:rsidRDefault="006A24B8" w:rsidP="008858B4"/>
    <w:p w14:paraId="5606F3E9" w14:textId="0DCF1DAA" w:rsidR="006A24B8" w:rsidRPr="00872882" w:rsidRDefault="004E672B" w:rsidP="004D5367">
      <w:pPr>
        <w:pStyle w:val="FOAHeading3"/>
        <w:numPr>
          <w:ilvl w:val="0"/>
          <w:numId w:val="42"/>
        </w:numPr>
        <w:ind w:left="1440"/>
        <w:outlineLvl w:val="2"/>
      </w:pPr>
      <w:bookmarkStart w:id="377" w:name="_Toc519602376"/>
      <w:bookmarkStart w:id="378" w:name="_Toc176864472"/>
      <w:r w:rsidRPr="00C72CE2">
        <w:t>Pre-Award Costs</w:t>
      </w:r>
      <w:bookmarkEnd w:id="377"/>
      <w:bookmarkEnd w:id="378"/>
    </w:p>
    <w:p w14:paraId="63C8161F" w14:textId="680E056E" w:rsidR="006A24B8" w:rsidRPr="008858B4" w:rsidRDefault="006259A2" w:rsidP="00A53BBC">
      <w:pPr>
        <w:ind w:left="1440"/>
      </w:pPr>
      <w:r>
        <w:t>Applicants selected for award negotiations (selectee</w:t>
      </w:r>
      <w:r w:rsidR="00F81520">
        <w:t>s</w:t>
      </w:r>
      <w:r>
        <w:t xml:space="preserve">) </w:t>
      </w:r>
      <w:r w:rsidR="004E672B" w:rsidRPr="008858B4">
        <w:t xml:space="preserve">must request prior written approval to charge pre-award costs. Pre-award costs are those incurred prior to the effective date of the </w:t>
      </w:r>
      <w:r w:rsidR="00710ED6">
        <w:t>f</w:t>
      </w:r>
      <w:r w:rsidR="00710ED6" w:rsidRPr="008858B4">
        <w:t xml:space="preserve">ederal </w:t>
      </w:r>
      <w:r w:rsidR="004E672B" w:rsidRPr="008858B4">
        <w:t xml:space="preserve">award directly pursuant to the negotiation and in anticipation of the </w:t>
      </w:r>
      <w:r w:rsidR="00710ED6">
        <w:t>f</w:t>
      </w:r>
      <w:r w:rsidR="00710ED6" w:rsidRPr="008858B4">
        <w:t xml:space="preserve">ederal </w:t>
      </w:r>
      <w:r w:rsidR="004E672B" w:rsidRPr="008858B4">
        <w:t xml:space="preserve">award where such costs are necessary for efficient and timely performance of the scope of work. Such costs are allowable only to the extent that they would have been allowable if incurred after the date of the </w:t>
      </w:r>
      <w:r w:rsidR="00710ED6">
        <w:t>f</w:t>
      </w:r>
      <w:r w:rsidR="00710ED6" w:rsidRPr="008858B4">
        <w:t xml:space="preserve">ederal </w:t>
      </w:r>
      <w:r w:rsidR="004E672B" w:rsidRPr="008858B4">
        <w:t xml:space="preserve">award and </w:t>
      </w:r>
      <w:r w:rsidR="004E672B" w:rsidRPr="00120F39">
        <w:rPr>
          <w:b/>
        </w:rPr>
        <w:t>only</w:t>
      </w:r>
      <w:r w:rsidR="004E672B" w:rsidRPr="008858B4">
        <w:t xml:space="preserve"> with the written approval of the </w:t>
      </w:r>
      <w:r w:rsidR="00710ED6">
        <w:t>f</w:t>
      </w:r>
      <w:r w:rsidR="00710ED6" w:rsidRPr="008858B4">
        <w:t xml:space="preserve">ederal </w:t>
      </w:r>
      <w:r w:rsidR="004E672B" w:rsidRPr="008858B4">
        <w:t>awarding agency, through the Contracting Officer.</w:t>
      </w:r>
    </w:p>
    <w:p w14:paraId="0E05935C" w14:textId="77777777" w:rsidR="006A24B8" w:rsidRPr="008858B4" w:rsidRDefault="006A24B8" w:rsidP="00C250F9">
      <w:pPr>
        <w:ind w:left="1800" w:hanging="360"/>
      </w:pPr>
    </w:p>
    <w:p w14:paraId="06F2D9B6" w14:textId="1BA622F6" w:rsidR="006A24B8" w:rsidRPr="008858B4" w:rsidRDefault="004E672B" w:rsidP="00A53BBC">
      <w:pPr>
        <w:ind w:left="1440"/>
      </w:pPr>
      <w:r w:rsidRPr="008858B4">
        <w:t>Pre-award costs cannot be incurred prior to the Selection Official signing the</w:t>
      </w:r>
      <w:r w:rsidR="00EC6D63">
        <w:t xml:space="preserve"> </w:t>
      </w:r>
      <w:r w:rsidRPr="008858B4">
        <w:t>Se</w:t>
      </w:r>
      <w:r w:rsidR="00A06D9D">
        <w:t>lection Statement and Analysis.</w:t>
      </w:r>
    </w:p>
    <w:p w14:paraId="2D96D1D1" w14:textId="77777777" w:rsidR="006A24B8" w:rsidRPr="008858B4" w:rsidRDefault="006A24B8" w:rsidP="00A53BBC">
      <w:pPr>
        <w:ind w:left="1440"/>
      </w:pPr>
    </w:p>
    <w:p w14:paraId="0DFC0955" w14:textId="644C2FF8" w:rsidR="006A24B8" w:rsidRDefault="004E672B" w:rsidP="00CB7958">
      <w:pPr>
        <w:ind w:left="1440"/>
      </w:pPr>
      <w:r w:rsidRPr="008858B4">
        <w:t>Pre-</w:t>
      </w:r>
      <w:r w:rsidR="00942A1A">
        <w:t>a</w:t>
      </w:r>
      <w:r w:rsidR="00942A1A" w:rsidRPr="008858B4">
        <w:t xml:space="preserve">ward </w:t>
      </w:r>
      <w:r w:rsidRPr="008858B4">
        <w:t xml:space="preserve">expenditures are made at the </w:t>
      </w:r>
      <w:r w:rsidR="00A06D9D">
        <w:t>s</w:t>
      </w:r>
      <w:r w:rsidRPr="008858B4">
        <w:t>electee’s risk</w:t>
      </w:r>
      <w:r w:rsidR="009A02DB">
        <w:t>.</w:t>
      </w:r>
      <w:r w:rsidRPr="008858B4">
        <w:t xml:space="preserve"> EERE is not obligated to reimburse costs: (1) in the absence of appropriations; (2) if an award is not made; or (3) if an award is made for a lesser amount than the </w:t>
      </w:r>
      <w:r w:rsidR="00A06D9D">
        <w:t>s</w:t>
      </w:r>
      <w:r w:rsidRPr="008858B4">
        <w:t>electee anticipated.</w:t>
      </w:r>
    </w:p>
    <w:p w14:paraId="18FEC385" w14:textId="0F4B9221" w:rsidR="00CB7958" w:rsidRDefault="00CB7958" w:rsidP="00CB7958"/>
    <w:p w14:paraId="6131C0EC" w14:textId="2FA1EB88" w:rsidR="00727BB4" w:rsidRPr="00727BB4" w:rsidRDefault="004E672B" w:rsidP="00AC77FA">
      <w:pPr>
        <w:pStyle w:val="ListParagraph"/>
        <w:numPr>
          <w:ilvl w:val="0"/>
          <w:numId w:val="70"/>
        </w:numPr>
        <w:ind w:left="1800"/>
        <w:rPr>
          <w:b/>
        </w:rPr>
      </w:pPr>
      <w:r w:rsidRPr="00727BB4">
        <w:rPr>
          <w:b/>
        </w:rPr>
        <w:t>National Environmental Policy Act (NEPA) Requirements</w:t>
      </w:r>
      <w:r w:rsidR="00A06D9D" w:rsidRPr="00A06D9D">
        <w:rPr>
          <w:b/>
        </w:rPr>
        <w:t xml:space="preserve"> </w:t>
      </w:r>
      <w:r w:rsidR="00A06D9D" w:rsidRPr="00727BB4">
        <w:rPr>
          <w:b/>
        </w:rPr>
        <w:t xml:space="preserve">Related </w:t>
      </w:r>
      <w:r w:rsidR="00A06D9D">
        <w:rPr>
          <w:b/>
        </w:rPr>
        <w:t xml:space="preserve">to </w:t>
      </w:r>
      <w:r w:rsidR="00A06D9D" w:rsidRPr="00727BB4">
        <w:rPr>
          <w:b/>
        </w:rPr>
        <w:t>Pre-Award Costs</w:t>
      </w:r>
    </w:p>
    <w:p w14:paraId="01964DAA" w14:textId="2DE42686" w:rsidR="00CB7958" w:rsidRPr="008858B4" w:rsidRDefault="004E672B" w:rsidP="00CB7958">
      <w:pPr>
        <w:ind w:left="1800"/>
      </w:pPr>
      <w:r w:rsidRPr="008858B4">
        <w:t xml:space="preserve">EERE’s decision whether and how to distribute </w:t>
      </w:r>
      <w:r>
        <w:t>f</w:t>
      </w:r>
      <w:r w:rsidRPr="008858B4">
        <w:t>ederal funds under this FOA is subject to NEPA. Applicants should carefully consider and should seek legal counsel or other expert advice before taking any action related to the proposed project</w:t>
      </w:r>
      <w:r w:rsidRPr="00CB7958">
        <w:t xml:space="preserve"> </w:t>
      </w:r>
      <w:r w:rsidR="00A06D9D">
        <w:t xml:space="preserve">that would have an adverse effect on the environment or limit the choice of reasonable alternatives </w:t>
      </w:r>
      <w:r w:rsidRPr="008858B4">
        <w:t>prior to EERE completing the NEPA review process.</w:t>
      </w:r>
    </w:p>
    <w:p w14:paraId="7E2E14B3" w14:textId="77777777" w:rsidR="00CB7958" w:rsidRPr="008858B4" w:rsidRDefault="00CB7958" w:rsidP="00CB7958">
      <w:pPr>
        <w:ind w:left="1800"/>
      </w:pPr>
    </w:p>
    <w:p w14:paraId="48DD073B" w14:textId="770A02FE" w:rsidR="00CB7958" w:rsidRDefault="004E672B" w:rsidP="00A53BBC">
      <w:pPr>
        <w:ind w:left="1800"/>
      </w:pPr>
      <w:r w:rsidRPr="008858B4">
        <w:lastRenderedPageBreak/>
        <w:t xml:space="preserve">EERE does not guarantee or assume any obligation to reimburse </w:t>
      </w:r>
      <w:r>
        <w:t xml:space="preserve">pre-award </w:t>
      </w:r>
      <w:r w:rsidRPr="008858B4">
        <w:t>costs incurred prior to receiving written authorization from the Contracting Officer. If the applicant elects to undertake activities that</w:t>
      </w:r>
      <w:r>
        <w:t xml:space="preserve"> DOE determines</w:t>
      </w:r>
      <w:r w:rsidRPr="008858B4">
        <w:t xml:space="preserve"> may have an adverse effect on the environment or limit the choice of reasonable alternatives prior to receiving such written authorization from the Contracting Officer, the applicant is doing so at risk of not receiving </w:t>
      </w:r>
      <w:r>
        <w:t>f</w:t>
      </w:r>
      <w:r w:rsidRPr="008858B4">
        <w:t xml:space="preserve">ederal funding </w:t>
      </w:r>
      <w:r>
        <w:t xml:space="preserve">for their project </w:t>
      </w:r>
      <w:r w:rsidRPr="008858B4">
        <w:t xml:space="preserve">and such costs may not be recognized as allowable cost share. </w:t>
      </w:r>
      <w:r w:rsidR="0023443A">
        <w:t>Nothing contained in the pre-award cost reimbursement regulations or any pre-award costs approval letter from the Contracting Officer override</w:t>
      </w:r>
      <w:r w:rsidR="001563A9">
        <w:t>s</w:t>
      </w:r>
      <w:r w:rsidR="0023443A">
        <w:t xml:space="preserve"> the requirement to obtain the written authorization from the Contracting Officer prior to taking any action that may have an adverse effect on the environment or limit the choice of reasonable alternatives. Likewise, if an application is selected for negotiation of award, and the prime recipient elects to undertake activities that are not authorized for federal funding by the Contracting Officer in advance of EERE completing a NEPA review, the prime recipient is doing so at risk of not receiving federal funding and such costs may not be recognized as allowable cost share.</w:t>
      </w:r>
    </w:p>
    <w:p w14:paraId="626B38D3" w14:textId="77777777" w:rsidR="00295B55" w:rsidRPr="008858B4" w:rsidRDefault="004E672B" w:rsidP="00A53BBC">
      <w:pPr>
        <w:ind w:left="1800"/>
      </w:pPr>
      <w:r w:rsidRPr="008858B4">
        <w:t xml:space="preserve"> </w:t>
      </w:r>
    </w:p>
    <w:p w14:paraId="466FE10D" w14:textId="3929F41A" w:rsidR="006A24B8" w:rsidRPr="00872882" w:rsidRDefault="004E672B" w:rsidP="004D5367">
      <w:pPr>
        <w:pStyle w:val="FOAHeading3"/>
        <w:numPr>
          <w:ilvl w:val="0"/>
          <w:numId w:val="42"/>
        </w:numPr>
        <w:ind w:left="1440"/>
        <w:outlineLvl w:val="2"/>
      </w:pPr>
      <w:bookmarkStart w:id="379" w:name="_Toc519602377"/>
      <w:bookmarkStart w:id="380" w:name="_Toc176864473"/>
      <w:r w:rsidRPr="00C72CE2">
        <w:t>Performance of Work</w:t>
      </w:r>
      <w:r w:rsidRPr="0022038E">
        <w:t xml:space="preserve"> in the United States</w:t>
      </w:r>
      <w:bookmarkEnd w:id="379"/>
      <w:r w:rsidR="00685BA9">
        <w:t xml:space="preserve"> (Foreign Work Waiver)</w:t>
      </w:r>
      <w:bookmarkEnd w:id="380"/>
    </w:p>
    <w:p w14:paraId="6757AFA3" w14:textId="77777777" w:rsidR="006A24B8" w:rsidRPr="00A53BBC" w:rsidRDefault="004E672B" w:rsidP="004D5367">
      <w:pPr>
        <w:pStyle w:val="FOAHeading4"/>
        <w:numPr>
          <w:ilvl w:val="0"/>
          <w:numId w:val="43"/>
        </w:numPr>
        <w:ind w:left="1800"/>
      </w:pPr>
      <w:r w:rsidRPr="00C72CE2">
        <w:t>Requirement</w:t>
      </w:r>
    </w:p>
    <w:p w14:paraId="29F9FAE0" w14:textId="028140FF" w:rsidR="006A24B8" w:rsidRPr="009061D6" w:rsidRDefault="004E672B" w:rsidP="00A53BBC">
      <w:pPr>
        <w:ind w:left="1800"/>
        <w:rPr>
          <w:color w:val="000000"/>
        </w:rPr>
      </w:pPr>
      <w:r w:rsidRPr="00120F39">
        <w:t xml:space="preserve">All work performed under EERE </w:t>
      </w:r>
      <w:r w:rsidR="00942A1A">
        <w:t>a</w:t>
      </w:r>
      <w:r w:rsidR="00942A1A" w:rsidRPr="009061D6">
        <w:t xml:space="preserve">wards </w:t>
      </w:r>
      <w:r w:rsidRPr="009061D6">
        <w:t xml:space="preserve">must be performed in the United States. </w:t>
      </w:r>
      <w:r w:rsidRPr="009061D6">
        <w:rPr>
          <w:color w:val="000000"/>
        </w:rPr>
        <w:t xml:space="preserve">The </w:t>
      </w:r>
      <w:r w:rsidR="00647D5B">
        <w:rPr>
          <w:color w:val="000000"/>
        </w:rPr>
        <w:t>p</w:t>
      </w:r>
      <w:r w:rsidR="00647D5B" w:rsidRPr="009061D6">
        <w:rPr>
          <w:color w:val="000000"/>
        </w:rPr>
        <w:t xml:space="preserve">rime </w:t>
      </w:r>
      <w:r w:rsidR="00647D5B">
        <w:rPr>
          <w:color w:val="000000"/>
        </w:rPr>
        <w:t>r</w:t>
      </w:r>
      <w:r w:rsidR="00647D5B" w:rsidRPr="009061D6">
        <w:rPr>
          <w:color w:val="000000"/>
        </w:rPr>
        <w:t xml:space="preserve">ecipient </w:t>
      </w:r>
      <w:r w:rsidRPr="009061D6">
        <w:rPr>
          <w:color w:val="000000"/>
        </w:rPr>
        <w:t xml:space="preserve">must flow down this requirement to its </w:t>
      </w:r>
      <w:r w:rsidR="00496B2A">
        <w:rPr>
          <w:color w:val="000000"/>
        </w:rPr>
        <w:t>s</w:t>
      </w:r>
      <w:r w:rsidR="00496B2A" w:rsidRPr="009061D6">
        <w:rPr>
          <w:color w:val="000000"/>
        </w:rPr>
        <w:t>ubrecipients</w:t>
      </w:r>
      <w:r w:rsidRPr="009061D6">
        <w:rPr>
          <w:color w:val="000000"/>
        </w:rPr>
        <w:t>.</w:t>
      </w:r>
    </w:p>
    <w:p w14:paraId="761A241C" w14:textId="77777777" w:rsidR="006A24B8" w:rsidRPr="008858B4" w:rsidRDefault="006A24B8" w:rsidP="001020E9">
      <w:pPr>
        <w:ind w:left="1800" w:hanging="360"/>
        <w:rPr>
          <w:color w:val="000000"/>
          <w:szCs w:val="24"/>
        </w:rPr>
      </w:pPr>
    </w:p>
    <w:p w14:paraId="63E843FA" w14:textId="77777777" w:rsidR="006A24B8" w:rsidRPr="0022038E" w:rsidRDefault="004E672B" w:rsidP="004D5367">
      <w:pPr>
        <w:pStyle w:val="FOAHeading4"/>
        <w:numPr>
          <w:ilvl w:val="0"/>
          <w:numId w:val="43"/>
        </w:numPr>
        <w:ind w:left="1800"/>
      </w:pPr>
      <w:r w:rsidRPr="00C72CE2">
        <w:t>Failure to Comply</w:t>
      </w:r>
    </w:p>
    <w:p w14:paraId="6084A6C2" w14:textId="2EBB7774" w:rsidR="006A24B8" w:rsidRPr="009061D6" w:rsidRDefault="004E672B" w:rsidP="00A53BBC">
      <w:pPr>
        <w:ind w:left="1800"/>
        <w:rPr>
          <w:color w:val="000000"/>
        </w:rPr>
      </w:pPr>
      <w:r w:rsidRPr="00120F39">
        <w:t xml:space="preserve">If the </w:t>
      </w:r>
      <w:r w:rsidR="00647D5B">
        <w:t>p</w:t>
      </w:r>
      <w:r w:rsidR="00647D5B" w:rsidRPr="00120F39">
        <w:t xml:space="preserve">rime </w:t>
      </w:r>
      <w:r w:rsidR="00647D5B">
        <w:t>r</w:t>
      </w:r>
      <w:r w:rsidR="00647D5B" w:rsidRPr="00120F39">
        <w:t xml:space="preserve">ecipient </w:t>
      </w:r>
      <w:r w:rsidRPr="00120F39">
        <w:t xml:space="preserve">fails to comply with the Performance of Work in the United States requirement, EERE may deny reimbursement for the work conducted outside the United States and </w:t>
      </w:r>
      <w:r w:rsidRPr="009061D6">
        <w:t>such costs may not be recognized as allowable recipient cost share.</w:t>
      </w:r>
      <w:r w:rsidRPr="009061D6">
        <w:rPr>
          <w:color w:val="000000"/>
        </w:rPr>
        <w:t xml:space="preserve"> The </w:t>
      </w:r>
      <w:r w:rsidR="00647D5B">
        <w:rPr>
          <w:color w:val="000000"/>
        </w:rPr>
        <w:t>p</w:t>
      </w:r>
      <w:r w:rsidR="00647D5B" w:rsidRPr="009061D6">
        <w:rPr>
          <w:color w:val="000000"/>
        </w:rPr>
        <w:t xml:space="preserve">rime </w:t>
      </w:r>
      <w:r w:rsidR="00647D5B">
        <w:rPr>
          <w:color w:val="000000"/>
        </w:rPr>
        <w:t>r</w:t>
      </w:r>
      <w:r w:rsidR="00647D5B" w:rsidRPr="009061D6">
        <w:rPr>
          <w:color w:val="000000"/>
        </w:rPr>
        <w:t xml:space="preserve">ecipient </w:t>
      </w:r>
      <w:r w:rsidRPr="009061D6">
        <w:rPr>
          <w:color w:val="000000"/>
        </w:rPr>
        <w:t xml:space="preserve">is responsible should any work under this </w:t>
      </w:r>
      <w:r w:rsidR="00942A1A">
        <w:rPr>
          <w:color w:val="000000"/>
        </w:rPr>
        <w:t>a</w:t>
      </w:r>
      <w:r w:rsidR="00942A1A" w:rsidRPr="009061D6">
        <w:rPr>
          <w:color w:val="000000"/>
        </w:rPr>
        <w:t xml:space="preserve">ward </w:t>
      </w:r>
      <w:r w:rsidRPr="009061D6">
        <w:rPr>
          <w:color w:val="000000"/>
        </w:rPr>
        <w:t xml:space="preserve">be performed outside the United States, absent a waiver, regardless of </w:t>
      </w:r>
      <w:r w:rsidR="00D960AB">
        <w:rPr>
          <w:color w:val="000000"/>
        </w:rPr>
        <w:t>whether</w:t>
      </w:r>
      <w:r w:rsidR="00D960AB" w:rsidRPr="009061D6">
        <w:rPr>
          <w:color w:val="000000"/>
        </w:rPr>
        <w:t xml:space="preserve"> </w:t>
      </w:r>
      <w:r w:rsidRPr="009061D6">
        <w:rPr>
          <w:color w:val="000000"/>
        </w:rPr>
        <w:t xml:space="preserve">the work is performed by the </w:t>
      </w:r>
      <w:r w:rsidR="00647D5B">
        <w:rPr>
          <w:color w:val="000000"/>
        </w:rPr>
        <w:t>p</w:t>
      </w:r>
      <w:r w:rsidR="00647D5B" w:rsidRPr="009061D6">
        <w:rPr>
          <w:color w:val="000000"/>
        </w:rPr>
        <w:t xml:space="preserve">rime </w:t>
      </w:r>
      <w:r w:rsidR="00647D5B">
        <w:rPr>
          <w:color w:val="000000"/>
        </w:rPr>
        <w:t>r</w:t>
      </w:r>
      <w:r w:rsidR="00647D5B" w:rsidRPr="009061D6">
        <w:rPr>
          <w:color w:val="000000"/>
        </w:rPr>
        <w:t>ecipient</w:t>
      </w:r>
      <w:r w:rsidRPr="009061D6">
        <w:rPr>
          <w:color w:val="000000"/>
        </w:rPr>
        <w:t xml:space="preserve">, </w:t>
      </w:r>
      <w:r w:rsidR="00496B2A">
        <w:rPr>
          <w:color w:val="000000"/>
        </w:rPr>
        <w:t>s</w:t>
      </w:r>
      <w:r w:rsidR="00496B2A" w:rsidRPr="009061D6">
        <w:rPr>
          <w:color w:val="000000"/>
        </w:rPr>
        <w:t>ubrecipients</w:t>
      </w:r>
      <w:r w:rsidRPr="009061D6">
        <w:rPr>
          <w:color w:val="000000"/>
        </w:rPr>
        <w:t>, contractors or other project partners.</w:t>
      </w:r>
    </w:p>
    <w:p w14:paraId="5BFE519E" w14:textId="77777777" w:rsidR="006A24B8" w:rsidRPr="008858B4" w:rsidRDefault="006A24B8" w:rsidP="001020E9">
      <w:pPr>
        <w:pStyle w:val="BodyText2"/>
        <w:tabs>
          <w:tab w:val="left" w:pos="990"/>
        </w:tabs>
        <w:spacing w:after="0" w:line="240" w:lineRule="auto"/>
        <w:ind w:left="1800" w:hanging="360"/>
        <w:rPr>
          <w:rFonts w:asciiTheme="minorHAnsi" w:hAnsiTheme="minorHAnsi"/>
        </w:rPr>
      </w:pPr>
    </w:p>
    <w:p w14:paraId="468DFEE1" w14:textId="77777777" w:rsidR="006A24B8" w:rsidRPr="0022038E" w:rsidRDefault="004E672B" w:rsidP="004D5367">
      <w:pPr>
        <w:pStyle w:val="FOAHeading4"/>
        <w:numPr>
          <w:ilvl w:val="0"/>
          <w:numId w:val="43"/>
        </w:numPr>
        <w:ind w:left="1800"/>
      </w:pPr>
      <w:r w:rsidRPr="00C72CE2">
        <w:t>Waiver</w:t>
      </w:r>
    </w:p>
    <w:p w14:paraId="5077C778" w14:textId="2CF979FA" w:rsidR="006A24B8" w:rsidRPr="008858B4" w:rsidRDefault="004E672B" w:rsidP="00A53BBC">
      <w:pPr>
        <w:ind w:left="1800"/>
        <w:rPr>
          <w:szCs w:val="24"/>
        </w:rPr>
      </w:pPr>
      <w:r w:rsidRPr="00120F39">
        <w:t xml:space="preserve">To seek a </w:t>
      </w:r>
      <w:r w:rsidR="00685BA9">
        <w:t xml:space="preserve">foreign work </w:t>
      </w:r>
      <w:r w:rsidRPr="00120F39">
        <w:t>waiver</w:t>
      </w:r>
      <w:r w:rsidRPr="009061D6">
        <w:t>, the applicant must submit a written waiver request to EERE.</w:t>
      </w:r>
      <w:r w:rsidR="001A3502">
        <w:t xml:space="preserve"> </w:t>
      </w:r>
      <w:r w:rsidRPr="008B0D95">
        <w:rPr>
          <w:u w:val="single"/>
        </w:rPr>
        <w:t>Appendix C</w:t>
      </w:r>
      <w:r w:rsidRPr="008858B4">
        <w:rPr>
          <w:u w:val="single"/>
        </w:rPr>
        <w:t xml:space="preserve"> lists the information that must be included in a request </w:t>
      </w:r>
      <w:r w:rsidR="00685BA9">
        <w:rPr>
          <w:u w:val="single"/>
        </w:rPr>
        <w:t>for a foreign work waiver</w:t>
      </w:r>
      <w:r w:rsidRPr="008858B4">
        <w:t>.</w:t>
      </w:r>
    </w:p>
    <w:p w14:paraId="1E2C163F" w14:textId="77777777" w:rsidR="006A24B8" w:rsidRPr="008858B4" w:rsidRDefault="006A24B8" w:rsidP="001020E9">
      <w:pPr>
        <w:ind w:left="1800" w:hanging="360"/>
        <w:rPr>
          <w:szCs w:val="24"/>
        </w:rPr>
      </w:pPr>
    </w:p>
    <w:p w14:paraId="5DFD56F3" w14:textId="7E85E418" w:rsidR="00F50B44" w:rsidRDefault="004E672B" w:rsidP="00A53BBC">
      <w:pPr>
        <w:ind w:left="1800"/>
      </w:pPr>
      <w:r w:rsidRPr="008858B4">
        <w:t xml:space="preserve">Save the waiver request(s) in a single </w:t>
      </w:r>
      <w:r w:rsidR="0019651E">
        <w:t>PDF</w:t>
      </w:r>
      <w:r w:rsidRPr="008858B4">
        <w:t xml:space="preserve"> file</w:t>
      </w:r>
      <w:r w:rsidR="007B33B6">
        <w:t>.</w:t>
      </w:r>
      <w:r w:rsidR="001A3502">
        <w:t xml:space="preserve"> </w:t>
      </w:r>
      <w:r w:rsidRPr="008858B4">
        <w:t>The applicant does not have the right to appeal EERE’s decision concerning a waiver request.</w:t>
      </w:r>
    </w:p>
    <w:p w14:paraId="1C5E2596" w14:textId="2BDB83FA" w:rsidR="00CC35E3" w:rsidRPr="008858B4" w:rsidRDefault="00CC35E3" w:rsidP="00A53BBC">
      <w:pPr>
        <w:ind w:left="1800"/>
      </w:pPr>
    </w:p>
    <w:p w14:paraId="62D4B5E5" w14:textId="12899782" w:rsidR="006A24B8" w:rsidRPr="00872882" w:rsidRDefault="004E672B" w:rsidP="004D5367">
      <w:pPr>
        <w:pStyle w:val="FOAHeading3"/>
        <w:numPr>
          <w:ilvl w:val="0"/>
          <w:numId w:val="42"/>
        </w:numPr>
        <w:ind w:left="1440"/>
        <w:outlineLvl w:val="2"/>
      </w:pPr>
      <w:bookmarkStart w:id="381" w:name="_Toc519602378"/>
      <w:bookmarkStart w:id="382" w:name="_Toc176864474"/>
      <w:r w:rsidRPr="00C72CE2">
        <w:lastRenderedPageBreak/>
        <w:t>Construction</w:t>
      </w:r>
      <w:bookmarkEnd w:id="381"/>
      <w:bookmarkEnd w:id="382"/>
    </w:p>
    <w:p w14:paraId="1552FA32" w14:textId="77777777" w:rsidR="006A24B8" w:rsidRPr="008858B4" w:rsidRDefault="004E672B" w:rsidP="00A53BBC">
      <w:pPr>
        <w:ind w:left="1440"/>
      </w:pPr>
      <w:r w:rsidRPr="008858B4">
        <w:t>Recipients are required to obtain written authorization from the Contracting Officer before incurring any major construction costs.</w:t>
      </w:r>
    </w:p>
    <w:p w14:paraId="2B550823" w14:textId="77777777" w:rsidR="006A24B8" w:rsidRPr="008858B4" w:rsidRDefault="006A24B8" w:rsidP="008858B4"/>
    <w:p w14:paraId="7825F47D" w14:textId="36B64B4C" w:rsidR="006A24B8" w:rsidRPr="00872882" w:rsidRDefault="004E672B" w:rsidP="004D5367">
      <w:pPr>
        <w:pStyle w:val="FOAHeading3"/>
        <w:numPr>
          <w:ilvl w:val="0"/>
          <w:numId w:val="42"/>
        </w:numPr>
        <w:ind w:left="1440"/>
        <w:outlineLvl w:val="2"/>
      </w:pPr>
      <w:bookmarkStart w:id="383" w:name="_Toc519602379"/>
      <w:bookmarkStart w:id="384" w:name="_Toc176864475"/>
      <w:r w:rsidRPr="00C72CE2">
        <w:t>Foreign Travel</w:t>
      </w:r>
      <w:bookmarkEnd w:id="383"/>
      <w:bookmarkEnd w:id="384"/>
    </w:p>
    <w:p w14:paraId="0FBD3A0C" w14:textId="006317E3" w:rsidR="006A24B8" w:rsidRDefault="006A24B8" w:rsidP="00A53BBC">
      <w:pPr>
        <w:ind w:left="1440"/>
        <w:rPr>
          <w:u w:val="single"/>
        </w:rPr>
      </w:pPr>
    </w:p>
    <w:p w14:paraId="69689D99" w14:textId="2488F68C" w:rsidR="006A24B8" w:rsidRPr="00841F8C" w:rsidRDefault="004E672B" w:rsidP="00A53BBC">
      <w:pPr>
        <w:ind w:left="1440"/>
      </w:pPr>
      <w:r w:rsidRPr="00841F8C">
        <w:t>If international travel is proposed for your project, please note that your organization must comply with the International Air Transportation Fair Competitive Practices Act of 1974 (49 USC 40118), commonly referred to as the “Fly America Act,” and implementing regulations at 41 CFR 301-10.131 through 301-10.143. The law and regulations require air transport of people or property to, from, between, or within a country other than the United States, the cost of which is supported under this award, to be performed by or under a cost-sharing arrangement with a U</w:t>
      </w:r>
      <w:r w:rsidR="001563A9">
        <w:t xml:space="preserve">nited </w:t>
      </w:r>
      <w:r w:rsidRPr="00841F8C">
        <w:t>S</w:t>
      </w:r>
      <w:r w:rsidR="001563A9">
        <w:t>tates</w:t>
      </w:r>
      <w:r w:rsidRPr="00841F8C">
        <w:t xml:space="preserve"> flag carrier, if service is available.</w:t>
      </w:r>
      <w:r w:rsidR="001A3502" w:rsidRPr="00841F8C">
        <w:t xml:space="preserve"> </w:t>
      </w:r>
      <w:r w:rsidR="00DB6205" w:rsidRPr="00841F8C">
        <w:t>Foreign travel costs are allowable only with the written prior approval of the Contracting Officer assigned to the award.</w:t>
      </w:r>
    </w:p>
    <w:p w14:paraId="76FBFC36" w14:textId="77777777" w:rsidR="006A24B8" w:rsidRPr="008858B4" w:rsidRDefault="006A24B8" w:rsidP="008858B4"/>
    <w:p w14:paraId="3C079ECD" w14:textId="4F0462D8" w:rsidR="006A24B8" w:rsidRPr="00872882" w:rsidRDefault="004E672B" w:rsidP="004D5367">
      <w:pPr>
        <w:pStyle w:val="FOAHeading3"/>
        <w:numPr>
          <w:ilvl w:val="0"/>
          <w:numId w:val="42"/>
        </w:numPr>
        <w:ind w:left="1440"/>
        <w:outlineLvl w:val="2"/>
      </w:pPr>
      <w:bookmarkStart w:id="385" w:name="_Toc519602380"/>
      <w:bookmarkStart w:id="386" w:name="_Toc176864476"/>
      <w:r w:rsidRPr="00C72CE2">
        <w:t>Equipment and Supplies</w:t>
      </w:r>
      <w:bookmarkEnd w:id="385"/>
      <w:bookmarkEnd w:id="386"/>
    </w:p>
    <w:p w14:paraId="0B63E9A1" w14:textId="77777777" w:rsidR="006A24B8" w:rsidRPr="008858B4" w:rsidRDefault="004E672B" w:rsidP="00A53BBC">
      <w:pPr>
        <w:ind w:left="1440"/>
      </w:pPr>
      <w:r w:rsidRPr="008858B4">
        <w:t>To the greatest extent practicable, all equipment and products purchased with funds made available under this FOA should be American-made. This requirement does not apply to used or leased equipment.</w:t>
      </w:r>
    </w:p>
    <w:p w14:paraId="395444BB" w14:textId="7204BFEE" w:rsidR="00A1543B" w:rsidRPr="008858B4" w:rsidRDefault="00A1543B" w:rsidP="00A53BBC">
      <w:pPr>
        <w:ind w:left="1440"/>
      </w:pPr>
    </w:p>
    <w:p w14:paraId="386D772E" w14:textId="77777777" w:rsidR="001563A9" w:rsidRPr="00D54C61" w:rsidRDefault="001563A9" w:rsidP="001563A9">
      <w:pPr>
        <w:pStyle w:val="FOAHeading3"/>
        <w:ind w:left="1440"/>
        <w:outlineLvl w:val="2"/>
        <w:rPr>
          <w:sz w:val="24"/>
          <w:szCs w:val="24"/>
        </w:rPr>
      </w:pPr>
      <w:bookmarkStart w:id="387" w:name="_Toc122697792"/>
      <w:bookmarkStart w:id="388" w:name="_Toc122679798"/>
      <w:bookmarkStart w:id="389" w:name="_Toc140060976"/>
      <w:bookmarkStart w:id="390" w:name="_Toc110346578"/>
      <w:bookmarkStart w:id="391" w:name="_Toc519602381"/>
      <w:bookmarkStart w:id="392" w:name="_Toc176864477"/>
      <w:r w:rsidRPr="00D54C61">
        <w:t>Build America Buy America Requirements for Infrastructure Projects</w:t>
      </w:r>
      <w:bookmarkEnd w:id="387"/>
      <w:bookmarkEnd w:id="388"/>
      <w:bookmarkEnd w:id="389"/>
      <w:bookmarkEnd w:id="392"/>
    </w:p>
    <w:bookmarkEnd w:id="390"/>
    <w:p w14:paraId="475DC73F" w14:textId="77777777" w:rsidR="001563A9" w:rsidRPr="00D54C61" w:rsidRDefault="001563A9" w:rsidP="001563A9">
      <w:pPr>
        <w:ind w:left="1440"/>
      </w:pPr>
    </w:p>
    <w:p w14:paraId="73B1A708" w14:textId="77777777" w:rsidR="001563A9" w:rsidRPr="00D54C61" w:rsidRDefault="001563A9" w:rsidP="001563A9">
      <w:pPr>
        <w:ind w:left="1440"/>
      </w:pPr>
      <w:r w:rsidRPr="00D54C61">
        <w:t xml:space="preserve">Pursuant to the Build America Buy America Act, subtitle IX of BIL (Buy America, or BABA), federally assisted projects that involve infrastructure work, undertaken by applicable recipient types, require that: </w:t>
      </w:r>
    </w:p>
    <w:p w14:paraId="0161D45F" w14:textId="77777777" w:rsidR="001563A9" w:rsidRPr="00D54C61" w:rsidRDefault="001563A9" w:rsidP="001563A9">
      <w:pPr>
        <w:pStyle w:val="FOATemplateBody"/>
        <w:ind w:left="1440"/>
        <w:rPr>
          <w:szCs w:val="24"/>
        </w:rPr>
      </w:pPr>
    </w:p>
    <w:p w14:paraId="211CFABC" w14:textId="77777777" w:rsidR="001563A9" w:rsidRPr="00D54C61" w:rsidRDefault="001563A9" w:rsidP="001563A9">
      <w:pPr>
        <w:pStyle w:val="ListParagraph"/>
        <w:numPr>
          <w:ilvl w:val="0"/>
          <w:numId w:val="117"/>
        </w:numPr>
        <w:ind w:left="1800"/>
      </w:pPr>
      <w:bookmarkStart w:id="393" w:name="_Toc105686341"/>
      <w:r w:rsidRPr="00D54C61">
        <w:t>All iron, steel, and manufactured products used in the infrastructure work are produced in the United States; and</w:t>
      </w:r>
      <w:bookmarkEnd w:id="393"/>
      <w:r w:rsidRPr="00D54C61">
        <w:t xml:space="preserve"> </w:t>
      </w:r>
    </w:p>
    <w:p w14:paraId="6FCBB6F1" w14:textId="77777777" w:rsidR="001563A9" w:rsidRPr="00D54C61" w:rsidRDefault="001563A9" w:rsidP="001563A9">
      <w:pPr>
        <w:pStyle w:val="ListParagraph"/>
        <w:numPr>
          <w:ilvl w:val="0"/>
          <w:numId w:val="117"/>
        </w:numPr>
        <w:ind w:left="1800"/>
      </w:pPr>
      <w:bookmarkStart w:id="394" w:name="_Toc105686342"/>
      <w:r w:rsidRPr="00D54C61">
        <w:t>All construction materials used in the infrastructure work are manufactured in the United States.</w:t>
      </w:r>
      <w:bookmarkEnd w:id="394"/>
      <w:r w:rsidRPr="00D54C61">
        <w:rPr>
          <w:rFonts w:eastAsiaTheme="minorEastAsia" w:cstheme="minorBidi"/>
        </w:rPr>
        <w:t xml:space="preserve"> </w:t>
      </w:r>
    </w:p>
    <w:p w14:paraId="75362D2D" w14:textId="77777777" w:rsidR="001563A9" w:rsidRPr="00D54C61" w:rsidRDefault="001563A9" w:rsidP="001563A9">
      <w:pPr>
        <w:pStyle w:val="FOATemplateBody"/>
        <w:ind w:left="1440"/>
        <w:rPr>
          <w:szCs w:val="24"/>
        </w:rPr>
      </w:pPr>
    </w:p>
    <w:p w14:paraId="3A70160D" w14:textId="77777777" w:rsidR="001563A9" w:rsidRPr="00D54C61" w:rsidRDefault="001563A9" w:rsidP="001563A9">
      <w:pPr>
        <w:ind w:left="1440"/>
      </w:pPr>
      <w:bookmarkStart w:id="395" w:name="_Toc105686343"/>
      <w:r w:rsidRPr="00D54C61">
        <w:t>Whether a given project must apply this requirement is project-specific and dependent on several factors, such as the recipient’s entity type, whether the work involves “infrastructure,” as defined in Section 70914 of the BIL, and whether the infrastructure in question is publicly owned or serves a public function.</w:t>
      </w:r>
      <w:bookmarkEnd w:id="395"/>
    </w:p>
    <w:p w14:paraId="790AD08E" w14:textId="77777777" w:rsidR="001563A9" w:rsidRPr="00D54C61" w:rsidRDefault="001563A9" w:rsidP="001563A9">
      <w:pPr>
        <w:ind w:left="1440"/>
        <w:rPr>
          <w:szCs w:val="24"/>
        </w:rPr>
      </w:pPr>
    </w:p>
    <w:p w14:paraId="2EEFBDA4" w14:textId="77777777" w:rsidR="001563A9" w:rsidRPr="00D54C61" w:rsidRDefault="001563A9" w:rsidP="001563A9">
      <w:pPr>
        <w:ind w:left="1440"/>
      </w:pPr>
      <w:bookmarkStart w:id="396" w:name="_Toc105686344"/>
      <w:r w:rsidRPr="00D54C61">
        <w:t xml:space="preserve">Applicants are strongly encouraged to consult Appendix D of this FOA to determine whether their project may have to apply this requirement, both to </w:t>
      </w:r>
      <w:r w:rsidRPr="00D54C61">
        <w:lastRenderedPageBreak/>
        <w:t>make an early determination as to the need of a waiver, as well as to determine what impact, if any, this requirement may have on the proposed project’s budget.</w:t>
      </w:r>
      <w:bookmarkEnd w:id="396"/>
      <w:r w:rsidRPr="00D54C61">
        <w:t xml:space="preserve"> </w:t>
      </w:r>
    </w:p>
    <w:p w14:paraId="3E4AFF57" w14:textId="77777777" w:rsidR="001563A9" w:rsidRPr="00D54C61" w:rsidRDefault="001563A9" w:rsidP="001563A9">
      <w:pPr>
        <w:ind w:left="1440"/>
      </w:pPr>
    </w:p>
    <w:p w14:paraId="5E328060" w14:textId="01B37765" w:rsidR="001563A9" w:rsidRPr="00D54C61" w:rsidRDefault="001563A9" w:rsidP="001563A9">
      <w:pPr>
        <w:ind w:left="1440"/>
      </w:pPr>
      <w:r w:rsidRPr="00D54C61">
        <w:t xml:space="preserve">Please note that, based on implementation guidance from the Office of Management and Budget issued on April 18, 2022, the Buy America requirements of the BIL do not apply to DOE projects in which the prime recipient is a for-profit entity; the requirements only apply to projects whose prime recipient is a “non-Federal entity,” e.g., a State, local government, Indian </w:t>
      </w:r>
      <w:r w:rsidR="0092727C">
        <w:t>Tribe</w:t>
      </w:r>
      <w:r w:rsidRPr="00D54C61">
        <w:t xml:space="preserve">, Institution of Higher Education, or nonprofit organization. Subawards should conform to the terms of the prime award from which they flow; in other words, for-profit prime recipients are not required to flow down these Buy America requirements to subrecipients, even if those subrecipients are non-Federal entities as defined above. Conversely, prime recipients which are non-Federal entities must flow the Buy America requirements down to all subrecipients, even if those subrecipients are for-profit entities.  Finally, for all applicants—both non-Federal entities and for-profit entities—DOE is including a Program Policy Factor that the Selection Official may consider in determining which Full Applications to select for award negotiations that considers whether the applicant has made a commitment to procure U.S. iron, steel, manufactured products, and construction materials in its project. </w:t>
      </w:r>
    </w:p>
    <w:p w14:paraId="5273BF8F" w14:textId="77777777" w:rsidR="001563A9" w:rsidRPr="00D54C61" w:rsidRDefault="001563A9" w:rsidP="001563A9">
      <w:pPr>
        <w:ind w:left="1440"/>
      </w:pPr>
      <w:r w:rsidRPr="00D54C61">
        <w:t xml:space="preserve"> </w:t>
      </w:r>
    </w:p>
    <w:p w14:paraId="43038B67" w14:textId="1161DE7A" w:rsidR="001563A9" w:rsidRPr="00D54C61" w:rsidRDefault="001563A9" w:rsidP="001F1296">
      <w:pPr>
        <w:ind w:left="1440"/>
      </w:pPr>
      <w:r w:rsidRPr="00D54C61">
        <w:t xml:space="preserve">The DOE financial assistance agreement will require each recipient to: (1) fulfill the commitments made in its application regarding the procurement of U.S.-produced products and (2) fulfill the commitments made in its application regarding the procurement of other key component metals and domestically manufactured products that are deemed available in sufficient and reasonably available quantities or of a satisfactory quality at the time of award negotiation.  Applicants may seek waivers of these requirements in very limited circumstances and for good cause shown. Further details on requesting a waiver can be found in Appendix D and the terms and conditions of an award. </w:t>
      </w:r>
    </w:p>
    <w:p w14:paraId="574A67F0" w14:textId="2E872977" w:rsidR="001563A9" w:rsidRPr="00D54C61" w:rsidRDefault="001563A9" w:rsidP="008B0D95">
      <w:pPr>
        <w:pStyle w:val="FOATemplateBody"/>
        <w:rPr>
          <w:szCs w:val="24"/>
        </w:rPr>
      </w:pPr>
    </w:p>
    <w:p w14:paraId="5C823522" w14:textId="77777777" w:rsidR="001563A9" w:rsidRPr="00A2003A" w:rsidRDefault="001563A9" w:rsidP="001563A9">
      <w:pPr>
        <w:pStyle w:val="FOATemplateBody"/>
        <w:ind w:left="1440"/>
        <w:rPr>
          <w:highlight w:val="green"/>
        </w:rPr>
      </w:pPr>
      <w:r w:rsidRPr="00D54C61">
        <w:t>Applicants are strongly encouraged to consult Appendix D for more information.</w:t>
      </w:r>
    </w:p>
    <w:p w14:paraId="0A3D361E" w14:textId="77777777" w:rsidR="001563A9" w:rsidRPr="008858B4" w:rsidRDefault="001563A9" w:rsidP="001563A9"/>
    <w:p w14:paraId="44B553B0" w14:textId="2C5B6DD9" w:rsidR="006A24B8" w:rsidRPr="00872882" w:rsidRDefault="004E672B" w:rsidP="004D5367">
      <w:pPr>
        <w:pStyle w:val="FOAHeading3"/>
        <w:numPr>
          <w:ilvl w:val="0"/>
          <w:numId w:val="42"/>
        </w:numPr>
        <w:ind w:left="1440"/>
        <w:outlineLvl w:val="2"/>
      </w:pPr>
      <w:bookmarkStart w:id="397" w:name="_Toc176864478"/>
      <w:r w:rsidRPr="00C72CE2">
        <w:t>Lobbying</w:t>
      </w:r>
      <w:bookmarkEnd w:id="391"/>
      <w:bookmarkEnd w:id="397"/>
    </w:p>
    <w:p w14:paraId="7B585D67" w14:textId="77777777" w:rsidR="006A24B8" w:rsidRPr="008858B4" w:rsidRDefault="004E672B" w:rsidP="00A53BBC">
      <w:pPr>
        <w:ind w:left="1440"/>
      </w:pPr>
      <w:r w:rsidRPr="008858B4">
        <w:t xml:space="preserve">Recipients and </w:t>
      </w:r>
      <w:r w:rsidR="00496B2A">
        <w:t>s</w:t>
      </w:r>
      <w:r w:rsidR="00496B2A" w:rsidRPr="008858B4">
        <w:t xml:space="preserve">ubrecipients </w:t>
      </w:r>
      <w:r w:rsidRPr="008858B4">
        <w:t xml:space="preserve">may not use any </w:t>
      </w:r>
      <w:r w:rsidR="00506F43">
        <w:t>f</w:t>
      </w:r>
      <w:r w:rsidR="00506F43" w:rsidRPr="008858B4">
        <w:t xml:space="preserve">ederal </w:t>
      </w:r>
      <w:r w:rsidRPr="008858B4">
        <w:t>funds to influence or attempt to influence, directly or indirectly, congressional action on any legislative or appropriation matters.</w:t>
      </w:r>
    </w:p>
    <w:p w14:paraId="080429CA" w14:textId="77777777" w:rsidR="006A24B8" w:rsidRPr="008858B4" w:rsidRDefault="006A24B8" w:rsidP="00A53BBC">
      <w:pPr>
        <w:ind w:left="1440" w:hanging="180"/>
      </w:pPr>
    </w:p>
    <w:p w14:paraId="22C3D71E" w14:textId="7A89FDF0" w:rsidR="006A24B8" w:rsidRPr="008858B4" w:rsidRDefault="004E672B" w:rsidP="00A53BBC">
      <w:pPr>
        <w:ind w:left="1440"/>
      </w:pPr>
      <w:r w:rsidRPr="008858B4">
        <w:t xml:space="preserve">Recipients and </w:t>
      </w:r>
      <w:r w:rsidR="00496B2A">
        <w:t>s</w:t>
      </w:r>
      <w:r w:rsidR="00496B2A" w:rsidRPr="008858B4">
        <w:t xml:space="preserve">ubrecipients </w:t>
      </w:r>
      <w:r w:rsidRPr="008858B4">
        <w:t>are required to complete and submit SF-LLL, “Disclosure of Lobbying Activities” (</w:t>
      </w:r>
      <w:hyperlink r:id="rId44" w:history="1">
        <w:r w:rsidR="00A52A6D">
          <w:rPr>
            <w:rStyle w:val="Hyperlink"/>
          </w:rPr>
          <w:t>https://www.grants.gov/web/grants/forms/sf-424-individual-family.html</w:t>
        </w:r>
      </w:hyperlink>
      <w:r w:rsidRPr="008858B4">
        <w:t xml:space="preserve">) </w:t>
      </w:r>
      <w:r w:rsidR="00A52A6D" w:rsidRPr="00AF2304">
        <w:rPr>
          <w:rFonts w:ascii="Calibri" w:hAnsi="Calibri"/>
        </w:rPr>
        <w:t>to ensure that non-</w:t>
      </w:r>
      <w:r w:rsidR="00506F43">
        <w:rPr>
          <w:rFonts w:ascii="Calibri" w:hAnsi="Calibri"/>
        </w:rPr>
        <w:t>f</w:t>
      </w:r>
      <w:r w:rsidR="00506F43" w:rsidRPr="00AF2304">
        <w:rPr>
          <w:rFonts w:ascii="Calibri" w:hAnsi="Calibri"/>
        </w:rPr>
        <w:t xml:space="preserve">ederal </w:t>
      </w:r>
      <w:r w:rsidR="00A52A6D" w:rsidRPr="00AF2304">
        <w:rPr>
          <w:rFonts w:ascii="Calibri" w:hAnsi="Calibri"/>
        </w:rPr>
        <w:t xml:space="preserve">funds have not been paid </w:t>
      </w:r>
      <w:r w:rsidR="001F3E66" w:rsidRPr="00AF2304">
        <w:rPr>
          <w:rFonts w:ascii="Calibri" w:hAnsi="Calibri"/>
        </w:rPr>
        <w:t>and</w:t>
      </w:r>
      <w:r w:rsidR="00A52A6D" w:rsidRPr="00AF2304">
        <w:rPr>
          <w:rFonts w:ascii="Calibri" w:hAnsi="Calibri"/>
        </w:rPr>
        <w:t xml:space="preserve"> will not be paid to any </w:t>
      </w:r>
      <w:r w:rsidR="00A52A6D" w:rsidRPr="00AF2304">
        <w:rPr>
          <w:rFonts w:ascii="Calibri" w:hAnsi="Calibri"/>
        </w:rPr>
        <w:lastRenderedPageBreak/>
        <w:t xml:space="preserve">person for influencing or attempting to influence any of the following in connection with </w:t>
      </w:r>
      <w:r w:rsidR="004A082A">
        <w:rPr>
          <w:rFonts w:ascii="Calibri" w:hAnsi="Calibri"/>
        </w:rPr>
        <w:t>the</w:t>
      </w:r>
      <w:r w:rsidR="004A082A" w:rsidRPr="00AF2304">
        <w:rPr>
          <w:rFonts w:ascii="Calibri" w:hAnsi="Calibri"/>
        </w:rPr>
        <w:t xml:space="preserve"> </w:t>
      </w:r>
      <w:r w:rsidR="00A52A6D" w:rsidRPr="00AF2304">
        <w:rPr>
          <w:rFonts w:ascii="Calibri" w:hAnsi="Calibri"/>
        </w:rPr>
        <w:t>application:</w:t>
      </w:r>
    </w:p>
    <w:p w14:paraId="4E205E3C" w14:textId="0636815E" w:rsidR="006A24B8" w:rsidRPr="008858B4" w:rsidRDefault="006A24B8" w:rsidP="007F355D">
      <w:pPr>
        <w:ind w:left="1440"/>
      </w:pPr>
    </w:p>
    <w:p w14:paraId="4ACBF073" w14:textId="774C8F62" w:rsidR="006A24B8" w:rsidRPr="008858B4" w:rsidRDefault="004E672B" w:rsidP="00324F39">
      <w:pPr>
        <w:pStyle w:val="ListParagraph"/>
        <w:numPr>
          <w:ilvl w:val="0"/>
          <w:numId w:val="16"/>
        </w:numPr>
        <w:ind w:left="1800"/>
      </w:pPr>
      <w:r w:rsidRPr="008858B4">
        <w:t xml:space="preserve">An officer or employee of any </w:t>
      </w:r>
      <w:r w:rsidR="00506F43">
        <w:t>f</w:t>
      </w:r>
      <w:r w:rsidR="00506F43" w:rsidRPr="008858B4">
        <w:t xml:space="preserve">ederal </w:t>
      </w:r>
      <w:r w:rsidRPr="008858B4">
        <w:t>agency;</w:t>
      </w:r>
    </w:p>
    <w:p w14:paraId="0CD43EA7" w14:textId="70C6F74F" w:rsidR="006A24B8" w:rsidRPr="008858B4" w:rsidRDefault="004E672B" w:rsidP="00324F39">
      <w:pPr>
        <w:pStyle w:val="ListParagraph"/>
        <w:numPr>
          <w:ilvl w:val="0"/>
          <w:numId w:val="16"/>
        </w:numPr>
        <w:ind w:left="1800"/>
      </w:pPr>
      <w:r w:rsidRPr="008858B4">
        <w:t>A Member of Congress;</w:t>
      </w:r>
    </w:p>
    <w:p w14:paraId="45743C19" w14:textId="5A6155B3" w:rsidR="006A24B8" w:rsidRPr="008858B4" w:rsidRDefault="004E672B" w:rsidP="00324F39">
      <w:pPr>
        <w:pStyle w:val="ListParagraph"/>
        <w:numPr>
          <w:ilvl w:val="0"/>
          <w:numId w:val="16"/>
        </w:numPr>
        <w:ind w:left="1800"/>
      </w:pPr>
      <w:r w:rsidRPr="008858B4">
        <w:t>An officer or employee of Congress; or</w:t>
      </w:r>
    </w:p>
    <w:p w14:paraId="1732641A" w14:textId="19C7E9C3" w:rsidR="006A24B8" w:rsidRPr="008858B4" w:rsidRDefault="004E672B" w:rsidP="00324F39">
      <w:pPr>
        <w:pStyle w:val="ListParagraph"/>
        <w:numPr>
          <w:ilvl w:val="0"/>
          <w:numId w:val="16"/>
        </w:numPr>
        <w:ind w:left="1800"/>
      </w:pPr>
      <w:r w:rsidRPr="008858B4">
        <w:t>An employee of a Member of Congress.</w:t>
      </w:r>
    </w:p>
    <w:p w14:paraId="0336E4D5" w14:textId="77777777" w:rsidR="006A24B8" w:rsidRPr="008858B4" w:rsidRDefault="006A24B8" w:rsidP="008858B4"/>
    <w:p w14:paraId="6BF5795F" w14:textId="48CF280F" w:rsidR="006A24B8" w:rsidRPr="00872882" w:rsidRDefault="004E672B" w:rsidP="004D5367">
      <w:pPr>
        <w:pStyle w:val="FOAHeading3"/>
        <w:numPr>
          <w:ilvl w:val="0"/>
          <w:numId w:val="42"/>
        </w:numPr>
        <w:ind w:left="1440"/>
        <w:outlineLvl w:val="2"/>
      </w:pPr>
      <w:bookmarkStart w:id="398" w:name="_Toc519602382"/>
      <w:bookmarkStart w:id="399" w:name="_Toc176864479"/>
      <w:r w:rsidRPr="00C72CE2">
        <w:t>Risk Assessment</w:t>
      </w:r>
      <w:bookmarkEnd w:id="398"/>
      <w:bookmarkEnd w:id="399"/>
    </w:p>
    <w:p w14:paraId="6037E617" w14:textId="77777777" w:rsidR="001563A9" w:rsidRDefault="001563A9" w:rsidP="001563A9">
      <w:pPr>
        <w:ind w:left="1440"/>
      </w:pPr>
      <w:r>
        <w:t xml:space="preserve">Pursuant to 2 CFR 200.206, </w:t>
      </w:r>
      <w:r w:rsidRPr="008858B4">
        <w:t xml:space="preserve">DOE </w:t>
      </w:r>
      <w:r>
        <w:t>will</w:t>
      </w:r>
      <w:r w:rsidRPr="008858B4">
        <w:t xml:space="preserve"> </w:t>
      </w:r>
      <w:r>
        <w:t xml:space="preserve">conduct an additional </w:t>
      </w:r>
      <w:r w:rsidRPr="008858B4">
        <w:t xml:space="preserve">review </w:t>
      </w:r>
      <w:r>
        <w:t xml:space="preserve">of the risk posed by applications submitted under this FOA. Such risk assessment will consider: </w:t>
      </w:r>
    </w:p>
    <w:p w14:paraId="5B82FB9C" w14:textId="77777777" w:rsidR="001563A9" w:rsidRDefault="001563A9" w:rsidP="001563A9">
      <w:pPr>
        <w:ind w:left="1440"/>
      </w:pPr>
    </w:p>
    <w:p w14:paraId="4AFB8828" w14:textId="77777777" w:rsidR="001563A9" w:rsidRPr="006C56C2" w:rsidRDefault="001563A9" w:rsidP="001563A9">
      <w:pPr>
        <w:pStyle w:val="FOAHeading4"/>
        <w:keepNext/>
        <w:numPr>
          <w:ilvl w:val="0"/>
          <w:numId w:val="118"/>
        </w:numPr>
        <w:ind w:left="2232"/>
        <w:rPr>
          <w:rFonts w:cs="Times New Roman"/>
          <w:b w:val="0"/>
        </w:rPr>
      </w:pPr>
      <w:r w:rsidRPr="00F51A4A">
        <w:rPr>
          <w:rFonts w:cs="Arial"/>
          <w:b w:val="0"/>
        </w:rPr>
        <w:t xml:space="preserve">Financial stability; </w:t>
      </w:r>
    </w:p>
    <w:p w14:paraId="2EA3435E" w14:textId="77777777" w:rsidR="001563A9" w:rsidRPr="006C56C2" w:rsidRDefault="001563A9" w:rsidP="001563A9">
      <w:pPr>
        <w:pStyle w:val="FOAHeading4"/>
        <w:keepNext/>
        <w:numPr>
          <w:ilvl w:val="0"/>
          <w:numId w:val="118"/>
        </w:numPr>
        <w:ind w:left="2232"/>
        <w:rPr>
          <w:rFonts w:cs="Times New Roman"/>
          <w:b w:val="0"/>
        </w:rPr>
      </w:pPr>
      <w:r w:rsidRPr="00F51A4A">
        <w:rPr>
          <w:rFonts w:cs="Arial"/>
          <w:b w:val="0"/>
        </w:rPr>
        <w:t xml:space="preserve">Quality of management systems and ability to meet the management standards prescribed in 2 CFR 200 as amended and adopted by 2 CFR 910; </w:t>
      </w:r>
    </w:p>
    <w:p w14:paraId="485C4903" w14:textId="77777777" w:rsidR="001563A9" w:rsidRPr="006C56C2" w:rsidRDefault="001563A9" w:rsidP="001563A9">
      <w:pPr>
        <w:pStyle w:val="FOAHeading4"/>
        <w:keepNext/>
        <w:numPr>
          <w:ilvl w:val="0"/>
          <w:numId w:val="118"/>
        </w:numPr>
        <w:ind w:left="2232"/>
        <w:rPr>
          <w:rFonts w:cs="Times New Roman"/>
          <w:b w:val="0"/>
        </w:rPr>
      </w:pPr>
      <w:r w:rsidRPr="00F51A4A">
        <w:rPr>
          <w:rFonts w:cs="Arial"/>
          <w:b w:val="0"/>
        </w:rPr>
        <w:t>History of performance;</w:t>
      </w:r>
      <w:r w:rsidRPr="00F51A4A">
        <w:rPr>
          <w:rFonts w:cs="Tahoma"/>
          <w:b w:val="0"/>
        </w:rPr>
        <w:t xml:space="preserve"> </w:t>
      </w:r>
    </w:p>
    <w:p w14:paraId="1769C618" w14:textId="77777777" w:rsidR="001563A9" w:rsidRPr="006C56C2" w:rsidRDefault="001563A9" w:rsidP="001563A9">
      <w:pPr>
        <w:pStyle w:val="FOAHeading4"/>
        <w:keepNext/>
        <w:numPr>
          <w:ilvl w:val="0"/>
          <w:numId w:val="118"/>
        </w:numPr>
        <w:ind w:left="2232"/>
        <w:rPr>
          <w:rFonts w:cs="Times New Roman"/>
          <w:b w:val="0"/>
        </w:rPr>
      </w:pPr>
      <w:r w:rsidRPr="00F51A4A">
        <w:rPr>
          <w:rFonts w:cs="Tahoma"/>
          <w:b w:val="0"/>
        </w:rPr>
        <w:t xml:space="preserve">Audit </w:t>
      </w:r>
      <w:r w:rsidRPr="00F51A4A">
        <w:rPr>
          <w:rFonts w:cs="Arial"/>
          <w:b w:val="0"/>
        </w:rPr>
        <w:t xml:space="preserve">reports and findings; and </w:t>
      </w:r>
    </w:p>
    <w:p w14:paraId="4FE13D91" w14:textId="77777777" w:rsidR="001563A9" w:rsidRPr="006C56C2" w:rsidRDefault="001563A9" w:rsidP="001563A9">
      <w:pPr>
        <w:pStyle w:val="FOAHeading4"/>
        <w:keepNext/>
        <w:numPr>
          <w:ilvl w:val="0"/>
          <w:numId w:val="118"/>
        </w:numPr>
        <w:ind w:left="2232"/>
        <w:rPr>
          <w:rFonts w:cs="Times New Roman"/>
          <w:b w:val="0"/>
        </w:rPr>
      </w:pPr>
      <w:r w:rsidRPr="00F51A4A">
        <w:rPr>
          <w:rFonts w:cs="Arial"/>
          <w:b w:val="0"/>
        </w:rPr>
        <w:t>The applicant's ability to effectively implement statutory, regulatory, or other requirements imposed on non-federal entities.</w:t>
      </w:r>
    </w:p>
    <w:p w14:paraId="0F03BC05" w14:textId="77777777" w:rsidR="001563A9" w:rsidRPr="00AF2304" w:rsidRDefault="001563A9" w:rsidP="001563A9">
      <w:pPr>
        <w:ind w:left="1440"/>
        <w:rPr>
          <w:rFonts w:cs="Arial"/>
          <w:szCs w:val="24"/>
        </w:rPr>
      </w:pPr>
    </w:p>
    <w:p w14:paraId="1D50C537" w14:textId="77777777" w:rsidR="001563A9" w:rsidRPr="00F51A4A" w:rsidRDefault="001563A9" w:rsidP="001563A9">
      <w:pPr>
        <w:ind w:left="1440"/>
        <w:rPr>
          <w:rFonts w:cs="Arial"/>
        </w:rPr>
      </w:pPr>
      <w:r w:rsidRPr="00F51A4A">
        <w:rPr>
          <w:rFonts w:cs="Arial"/>
        </w:rPr>
        <w:t xml:space="preserve">DOE may make use of other publicly available information and the history of an applicant’s performance under DOE or other federal agency awards. </w:t>
      </w:r>
    </w:p>
    <w:p w14:paraId="3EAA87B4" w14:textId="77777777" w:rsidR="001563A9" w:rsidRDefault="001563A9" w:rsidP="001563A9">
      <w:pPr>
        <w:ind w:left="1440"/>
        <w:rPr>
          <w:rFonts w:cs="Arial"/>
          <w:szCs w:val="24"/>
        </w:rPr>
      </w:pPr>
    </w:p>
    <w:p w14:paraId="2F24CB20" w14:textId="77777777" w:rsidR="001563A9" w:rsidRPr="00F51A4A" w:rsidRDefault="001563A9" w:rsidP="001563A9">
      <w:pPr>
        <w:ind w:left="1440"/>
        <w:rPr>
          <w:rFonts w:cs="Arial"/>
        </w:rPr>
      </w:pPr>
      <w:r w:rsidRPr="008A1597">
        <w:t xml:space="preserve">Depending on the severity of the findings and whether the findings were resolved, </w:t>
      </w:r>
      <w:r>
        <w:t>DOE</w:t>
      </w:r>
      <w:r w:rsidRPr="008A1597">
        <w:t xml:space="preserve"> may elect not to fund the applicant.</w:t>
      </w:r>
      <w:r>
        <w:t xml:space="preserve"> </w:t>
      </w:r>
    </w:p>
    <w:p w14:paraId="5AE16749" w14:textId="77777777" w:rsidR="00101E99" w:rsidRPr="00AF2304" w:rsidRDefault="00101E99" w:rsidP="009F07F7">
      <w:pPr>
        <w:rPr>
          <w:rFonts w:cs="Arial"/>
          <w:szCs w:val="24"/>
        </w:rPr>
      </w:pPr>
    </w:p>
    <w:p w14:paraId="54E75E07" w14:textId="06CA8632" w:rsidR="006A24B8" w:rsidRDefault="004E672B" w:rsidP="00A53BBC">
      <w:pPr>
        <w:ind w:left="1440"/>
        <w:rPr>
          <w:rFonts w:cs="Arial"/>
          <w:szCs w:val="24"/>
        </w:rPr>
      </w:pPr>
      <w:r w:rsidRPr="00AF2304">
        <w:rPr>
          <w:rFonts w:cs="Arial"/>
          <w:szCs w:val="24"/>
        </w:rPr>
        <w:t>In addition to this review, DOE must comply with the guidelines on government-wide suspension and debarment in 2 CFR 180 and must require non-</w:t>
      </w:r>
      <w:r w:rsidR="00506F43">
        <w:rPr>
          <w:rFonts w:cs="Arial"/>
          <w:szCs w:val="24"/>
        </w:rPr>
        <w:t>f</w:t>
      </w:r>
      <w:r w:rsidR="00506F43" w:rsidRPr="00AF2304">
        <w:rPr>
          <w:rFonts w:cs="Arial"/>
          <w:szCs w:val="24"/>
        </w:rPr>
        <w:t xml:space="preserve">ederal </w:t>
      </w:r>
      <w:r w:rsidRPr="00AF2304">
        <w:rPr>
          <w:rFonts w:cs="Arial"/>
          <w:szCs w:val="24"/>
        </w:rPr>
        <w:t xml:space="preserve">entities to comply with these provisions. These provisions restrict </w:t>
      </w:r>
      <w:r w:rsidR="00506F43">
        <w:rPr>
          <w:rFonts w:cs="Arial"/>
          <w:szCs w:val="24"/>
        </w:rPr>
        <w:t>f</w:t>
      </w:r>
      <w:r w:rsidR="00506F43" w:rsidRPr="00AF2304">
        <w:rPr>
          <w:rFonts w:cs="Arial"/>
          <w:szCs w:val="24"/>
        </w:rPr>
        <w:t xml:space="preserve">ederal </w:t>
      </w:r>
      <w:r w:rsidRPr="00AF2304">
        <w:rPr>
          <w:rFonts w:cs="Arial"/>
          <w:szCs w:val="24"/>
        </w:rPr>
        <w:t xml:space="preserve">awards, subawards and contracts with certain parties that are debarred, </w:t>
      </w:r>
      <w:r w:rsidR="004345EE" w:rsidRPr="00AF2304">
        <w:rPr>
          <w:rFonts w:cs="Arial"/>
          <w:szCs w:val="24"/>
        </w:rPr>
        <w:t>suspended,</w:t>
      </w:r>
      <w:r w:rsidRPr="00AF2304">
        <w:rPr>
          <w:rFonts w:cs="Arial"/>
          <w:szCs w:val="24"/>
        </w:rPr>
        <w:t xml:space="preserve"> or otherwise excluded from or ineligible for participation in </w:t>
      </w:r>
      <w:r w:rsidR="00506F43">
        <w:rPr>
          <w:rFonts w:cs="Arial"/>
          <w:szCs w:val="24"/>
        </w:rPr>
        <w:t>f</w:t>
      </w:r>
      <w:r w:rsidR="00506F43" w:rsidRPr="00AF2304">
        <w:rPr>
          <w:rFonts w:cs="Arial"/>
          <w:szCs w:val="24"/>
        </w:rPr>
        <w:t xml:space="preserve">ederal </w:t>
      </w:r>
      <w:r w:rsidRPr="00AF2304">
        <w:rPr>
          <w:rFonts w:cs="Arial"/>
          <w:szCs w:val="24"/>
        </w:rPr>
        <w:t>programs or activities.</w:t>
      </w:r>
    </w:p>
    <w:p w14:paraId="52A922BD" w14:textId="77777777" w:rsidR="001563A9" w:rsidRDefault="001563A9" w:rsidP="00A53BBC">
      <w:pPr>
        <w:ind w:left="1440"/>
        <w:rPr>
          <w:rFonts w:cs="Arial"/>
          <w:szCs w:val="24"/>
        </w:rPr>
      </w:pPr>
    </w:p>
    <w:p w14:paraId="3837F189" w14:textId="42D3AFD2" w:rsidR="001563A9" w:rsidRPr="001563A9" w:rsidRDefault="0075272E" w:rsidP="001563A9">
      <w:pPr>
        <w:ind w:left="1440"/>
        <w:rPr>
          <w:rFonts w:cs="Arial"/>
        </w:rPr>
      </w:pPr>
      <w:r w:rsidRPr="001563A9">
        <w:rPr>
          <w:rFonts w:cs="Arial"/>
        </w:rPr>
        <w:t xml:space="preserve">Further, as DOE </w:t>
      </w:r>
      <w:r>
        <w:rPr>
          <w:rFonts w:cs="Arial"/>
        </w:rPr>
        <w:t>i</w:t>
      </w:r>
      <w:r w:rsidR="001563A9" w:rsidRPr="001563A9">
        <w:rPr>
          <w:rFonts w:cs="Arial"/>
        </w:rPr>
        <w:t>nvests in critical infrastructure an</w:t>
      </w:r>
      <w:r>
        <w:rPr>
          <w:rFonts w:cs="Arial"/>
        </w:rPr>
        <w:t xml:space="preserve">d </w:t>
      </w:r>
      <w:r w:rsidRPr="001563A9">
        <w:rPr>
          <w:rFonts w:cs="Arial"/>
        </w:rPr>
        <w:t>funds critical and emerging technology areas, DOE also considers possible threats to United States research, technology, and economic security from undue foreign government influence when evaluating risk. If high risks are identified and cannot be sufficiently mitigated, DOE may elect to not fund the applicant.</w:t>
      </w:r>
      <w:r w:rsidR="001563A9" w:rsidRPr="00F51A4A">
        <w:rPr>
          <w:rFonts w:cs="Arial"/>
        </w:rPr>
        <w:t xml:space="preserve"> </w:t>
      </w:r>
      <w:r w:rsidR="00584958" w:rsidRPr="00223C8D">
        <w:rPr>
          <w:rFonts w:cs="Arial"/>
        </w:rPr>
        <w:t>As part of the research, technology, and economic security risk review, DOE may contact the applicant and/or proposed project team members for additional information to inform the review. This risk review is conducted separately from the technical merit review. </w:t>
      </w:r>
    </w:p>
    <w:p w14:paraId="4B0F08DC" w14:textId="77777777" w:rsidR="009A08CC" w:rsidRPr="008858B4" w:rsidRDefault="009A08CC" w:rsidP="00A53BBC">
      <w:pPr>
        <w:ind w:left="1620"/>
        <w:rPr>
          <w:rFonts w:cs="Arial"/>
          <w:szCs w:val="24"/>
        </w:rPr>
      </w:pPr>
    </w:p>
    <w:p w14:paraId="22BD26CB" w14:textId="77777777" w:rsidR="001563A9" w:rsidRPr="00872882" w:rsidRDefault="001563A9" w:rsidP="001563A9">
      <w:pPr>
        <w:pStyle w:val="FOAHeading3"/>
        <w:ind w:left="1440"/>
        <w:outlineLvl w:val="2"/>
      </w:pPr>
      <w:bookmarkStart w:id="400" w:name="_Toc519602383"/>
      <w:bookmarkStart w:id="401" w:name="_Toc140060979"/>
      <w:bookmarkStart w:id="402" w:name="_Toc176864480"/>
      <w:r w:rsidRPr="00C72CE2">
        <w:t>Invoice Review and Approval</w:t>
      </w:r>
      <w:bookmarkEnd w:id="400"/>
      <w:bookmarkEnd w:id="401"/>
      <w:bookmarkEnd w:id="402"/>
    </w:p>
    <w:p w14:paraId="48FA2EF5" w14:textId="77777777" w:rsidR="005B7647" w:rsidRDefault="004E672B" w:rsidP="00A53BBC">
      <w:pPr>
        <w:ind w:left="1440"/>
      </w:pPr>
      <w:r>
        <w:t>DOE employs a risk-based approach to determine the level of supporting documentation required for approving invoice payment</w:t>
      </w:r>
      <w:r w:rsidR="003779D9">
        <w:t>s</w:t>
      </w:r>
      <w:r>
        <w:t xml:space="preserve">. </w:t>
      </w:r>
      <w:r w:rsidR="003C78F2">
        <w:t>Recipients may be required to provide some or all of the following items with their requests for reimbursement:</w:t>
      </w:r>
    </w:p>
    <w:p w14:paraId="40E84FFC" w14:textId="77777777" w:rsidR="003C78F2" w:rsidRPr="00023062" w:rsidRDefault="004E672B" w:rsidP="004D5367">
      <w:pPr>
        <w:pStyle w:val="ListParagraph"/>
        <w:numPr>
          <w:ilvl w:val="0"/>
          <w:numId w:val="31"/>
        </w:numPr>
        <w:ind w:left="1800"/>
      </w:pPr>
      <w:r w:rsidRPr="00023062">
        <w:t>Summa</w:t>
      </w:r>
      <w:r w:rsidR="005B3606" w:rsidRPr="00023062">
        <w:t>ry of costs by cost categories</w:t>
      </w:r>
      <w:r w:rsidR="009A02DB">
        <w:t>;</w:t>
      </w:r>
    </w:p>
    <w:p w14:paraId="2B514E5D" w14:textId="77777777" w:rsidR="003C78F2" w:rsidRPr="00023062" w:rsidRDefault="004E672B" w:rsidP="004D5367">
      <w:pPr>
        <w:pStyle w:val="ListParagraph"/>
        <w:numPr>
          <w:ilvl w:val="0"/>
          <w:numId w:val="31"/>
        </w:numPr>
        <w:ind w:left="1800"/>
      </w:pPr>
      <w:r w:rsidRPr="00023062">
        <w:t>Timesheets or personnel hours report</w:t>
      </w:r>
      <w:r w:rsidR="009A02DB">
        <w:t>;</w:t>
      </w:r>
    </w:p>
    <w:p w14:paraId="69381B20" w14:textId="77777777" w:rsidR="003C78F2" w:rsidRPr="00023062" w:rsidRDefault="004E672B" w:rsidP="004D5367">
      <w:pPr>
        <w:pStyle w:val="ListParagraph"/>
        <w:numPr>
          <w:ilvl w:val="0"/>
          <w:numId w:val="31"/>
        </w:numPr>
        <w:ind w:left="1800"/>
      </w:pPr>
      <w:r w:rsidRPr="00023062">
        <w:t>Invoices/receipts for all travel, equipment, supplies, contractual, and other costs</w:t>
      </w:r>
      <w:r w:rsidR="009A02DB">
        <w:t>;</w:t>
      </w:r>
    </w:p>
    <w:p w14:paraId="2875968F" w14:textId="77777777" w:rsidR="003C78F2" w:rsidRPr="00023062" w:rsidRDefault="004E672B" w:rsidP="004D5367">
      <w:pPr>
        <w:pStyle w:val="ListParagraph"/>
        <w:numPr>
          <w:ilvl w:val="0"/>
          <w:numId w:val="31"/>
        </w:numPr>
        <w:ind w:left="1800"/>
      </w:pPr>
      <w:r w:rsidRPr="00023062">
        <w:t xml:space="preserve">UCC filing proof for equipment </w:t>
      </w:r>
      <w:r w:rsidR="00DA23FD" w:rsidRPr="00023062">
        <w:t>acquired with project funds by</w:t>
      </w:r>
      <w:r w:rsidRPr="00023062">
        <w:t xml:space="preserve"> for-profit recipients </w:t>
      </w:r>
      <w:r w:rsidR="005B3606" w:rsidRPr="00023062">
        <w:t>and subrecipients</w:t>
      </w:r>
      <w:r w:rsidR="009A02DB">
        <w:t>;</w:t>
      </w:r>
    </w:p>
    <w:p w14:paraId="421DB00F" w14:textId="77777777" w:rsidR="00F10C9E" w:rsidRPr="00023062" w:rsidRDefault="004E672B" w:rsidP="004D5367">
      <w:pPr>
        <w:pStyle w:val="ListParagraph"/>
        <w:numPr>
          <w:ilvl w:val="0"/>
          <w:numId w:val="31"/>
        </w:numPr>
        <w:ind w:left="1800"/>
      </w:pPr>
      <w:r w:rsidRPr="00023062">
        <w:t>Explanation of cost share for invoicing period</w:t>
      </w:r>
      <w:r w:rsidR="009A02DB">
        <w:t>;</w:t>
      </w:r>
      <w:r w:rsidRPr="00023062">
        <w:tab/>
      </w:r>
    </w:p>
    <w:p w14:paraId="07F80D90" w14:textId="77777777" w:rsidR="00F10C9E" w:rsidRPr="00023062" w:rsidRDefault="004E672B" w:rsidP="004D5367">
      <w:pPr>
        <w:pStyle w:val="ListParagraph"/>
        <w:numPr>
          <w:ilvl w:val="0"/>
          <w:numId w:val="31"/>
        </w:numPr>
        <w:ind w:left="1800"/>
      </w:pPr>
      <w:r w:rsidRPr="00023062">
        <w:t>Analogous information for some subrecipients</w:t>
      </w:r>
      <w:r w:rsidR="009A02DB">
        <w:t>; and</w:t>
      </w:r>
      <w:r w:rsidRPr="00023062">
        <w:tab/>
      </w:r>
    </w:p>
    <w:p w14:paraId="522D062F" w14:textId="77777777" w:rsidR="00104961" w:rsidRPr="00023062" w:rsidRDefault="004E672B" w:rsidP="004D5367">
      <w:pPr>
        <w:pStyle w:val="ListParagraph"/>
        <w:numPr>
          <w:ilvl w:val="0"/>
          <w:numId w:val="31"/>
        </w:numPr>
        <w:ind w:left="1800"/>
      </w:pPr>
      <w:r w:rsidRPr="00023062">
        <w:t>Other items as required by DOE</w:t>
      </w:r>
      <w:r w:rsidR="009A02DB">
        <w:t>.</w:t>
      </w:r>
    </w:p>
    <w:p w14:paraId="24530DBF" w14:textId="77777777" w:rsidR="00EF07CC" w:rsidRPr="00B5344E" w:rsidRDefault="00EF07CC" w:rsidP="00A53BBC"/>
    <w:p w14:paraId="39DFFD27" w14:textId="1964DF9A" w:rsidR="001563A9" w:rsidRPr="00D54C61" w:rsidRDefault="001563A9" w:rsidP="001563A9">
      <w:pPr>
        <w:pStyle w:val="FOAHeading3"/>
        <w:ind w:left="1440"/>
      </w:pPr>
      <w:bookmarkStart w:id="403" w:name="_Toc517799218"/>
      <w:bookmarkStart w:id="404" w:name="_Toc519602384"/>
      <w:bookmarkStart w:id="405" w:name="_Toc519602550"/>
      <w:bookmarkStart w:id="406" w:name="_Toc520382659"/>
      <w:bookmarkStart w:id="407" w:name="_Toc520455657"/>
      <w:bookmarkStart w:id="408" w:name="_Toc520455827"/>
      <w:bookmarkStart w:id="409" w:name="_Toc517799219"/>
      <w:bookmarkStart w:id="410" w:name="_Toc519602385"/>
      <w:bookmarkStart w:id="411" w:name="_Toc519602551"/>
      <w:bookmarkStart w:id="412" w:name="_Toc520382660"/>
      <w:bookmarkStart w:id="413" w:name="_Toc520455658"/>
      <w:bookmarkStart w:id="414" w:name="_Toc520455828"/>
      <w:bookmarkStart w:id="415" w:name="_Toc128145559"/>
      <w:bookmarkStart w:id="416" w:name="_Toc122697798"/>
      <w:bookmarkStart w:id="417" w:name="_Toc122679804"/>
      <w:bookmarkStart w:id="418" w:name="_Toc519602386"/>
      <w:bookmarkEnd w:id="403"/>
      <w:bookmarkEnd w:id="404"/>
      <w:bookmarkEnd w:id="405"/>
      <w:bookmarkEnd w:id="406"/>
      <w:bookmarkEnd w:id="407"/>
      <w:bookmarkEnd w:id="408"/>
      <w:bookmarkEnd w:id="409"/>
      <w:bookmarkEnd w:id="410"/>
      <w:bookmarkEnd w:id="411"/>
      <w:bookmarkEnd w:id="412"/>
      <w:bookmarkEnd w:id="413"/>
      <w:bookmarkEnd w:id="414"/>
      <w:r w:rsidRPr="00D54C61">
        <w:t>Prohibition Related to Foreign Government-Sponsored Talent Recruitment Programs</w:t>
      </w:r>
      <w:bookmarkEnd w:id="415"/>
      <w:r w:rsidRPr="00D54C61">
        <w:t xml:space="preserve"> </w:t>
      </w:r>
    </w:p>
    <w:p w14:paraId="491B4B33" w14:textId="77777777" w:rsidR="001563A9" w:rsidRPr="00D54C61" w:rsidRDefault="001563A9" w:rsidP="001563A9">
      <w:pPr>
        <w:pStyle w:val="FOATemplateBody"/>
        <w:keepNext/>
        <w:numPr>
          <w:ilvl w:val="1"/>
          <w:numId w:val="35"/>
        </w:numPr>
        <w:ind w:left="1800"/>
        <w:rPr>
          <w:rFonts w:asciiTheme="minorHAnsi" w:eastAsiaTheme="minorEastAsia" w:hAnsiTheme="minorHAnsi"/>
          <w:b/>
          <w:bCs/>
        </w:rPr>
      </w:pPr>
      <w:r w:rsidRPr="00D54C61">
        <w:rPr>
          <w:rFonts w:asciiTheme="minorHAnsi" w:eastAsiaTheme="minorEastAsia" w:hAnsiTheme="minorHAnsi"/>
          <w:b/>
          <w:bCs/>
        </w:rPr>
        <w:t>Prohibition</w:t>
      </w:r>
    </w:p>
    <w:p w14:paraId="3720C396" w14:textId="77777777" w:rsidR="001563A9" w:rsidRPr="00D54C61" w:rsidRDefault="001563A9" w:rsidP="001563A9">
      <w:pPr>
        <w:keepNext/>
        <w:ind w:left="1800"/>
      </w:pPr>
      <w:r w:rsidRPr="00D54C61">
        <w:rPr>
          <w:rFonts w:eastAsiaTheme="minorEastAsia"/>
        </w:rPr>
        <w:t>P</w:t>
      </w:r>
      <w:r w:rsidRPr="00D54C61">
        <w:t>e</w:t>
      </w:r>
      <w:r w:rsidRPr="00D54C61">
        <w:rPr>
          <w:rFonts w:eastAsiaTheme="minorEastAsia"/>
        </w:rPr>
        <w:t xml:space="preserve">rsons participating in a </w:t>
      </w:r>
      <w:r w:rsidRPr="00D54C61">
        <w:rPr>
          <w:rFonts w:eastAsiaTheme="minorEastAsia"/>
          <w:i/>
          <w:iCs/>
        </w:rPr>
        <w:t>Foreign Government-Sponsored Talent Recruitment Program of a Foreign Country of Risk</w:t>
      </w:r>
      <w:r w:rsidRPr="00D54C61">
        <w:rPr>
          <w:rFonts w:eastAsiaTheme="minorEastAsia"/>
        </w:rPr>
        <w:t xml:space="preserve"> are prohibited from participating in projects selected for federal funding under this FOA. Should an award result from this FOA, the recipient must exercise ongoing due diligence to reasonably ensure that no individuals participating on the DOE-funded project are participating in a </w:t>
      </w:r>
      <w:r w:rsidRPr="00D54C61">
        <w:rPr>
          <w:rFonts w:eastAsiaTheme="minorEastAsia"/>
          <w:i/>
          <w:iCs/>
        </w:rPr>
        <w:t>Foreign Government-Sponsored Talent Recruitment Program of a Foreign Country of Risk</w:t>
      </w:r>
      <w:r w:rsidRPr="00D54C61">
        <w:rPr>
          <w:rFonts w:eastAsiaTheme="minorEastAsia"/>
        </w:rPr>
        <w:t xml:space="preserve">. Consequences for violations of this prohibition will be determined according to applicable law, regulations, and policy. </w:t>
      </w:r>
      <w:r w:rsidRPr="00D54C61">
        <w:rPr>
          <w:rFonts w:eastAsia="Calibri"/>
        </w:rPr>
        <w:t xml:space="preserve">Further, the recipient must notify DOE within five (5) business days upon learning that an individual on the project team is or is believed to be participating in a foreign government talent recruitment program of a foreign country of risk. </w:t>
      </w:r>
      <w:r w:rsidRPr="00D54C61">
        <w:rPr>
          <w:rFonts w:eastAsiaTheme="minorEastAsia"/>
        </w:rPr>
        <w:t>DOE may modify and add requirements related to this prohibition to the extent required by law.</w:t>
      </w:r>
    </w:p>
    <w:p w14:paraId="7EFC2615" w14:textId="77777777" w:rsidR="001563A9" w:rsidRPr="00D54C61" w:rsidRDefault="001563A9" w:rsidP="001563A9">
      <w:pPr>
        <w:pStyle w:val="FOATemplateBody"/>
        <w:ind w:left="1080"/>
        <w:rPr>
          <w:rFonts w:asciiTheme="minorHAnsi" w:eastAsiaTheme="minorEastAsia" w:hAnsiTheme="minorHAnsi"/>
          <w:b/>
          <w:szCs w:val="24"/>
        </w:rPr>
      </w:pPr>
    </w:p>
    <w:p w14:paraId="2A4DF69B" w14:textId="77777777" w:rsidR="001563A9" w:rsidRPr="00D54C61" w:rsidRDefault="001563A9" w:rsidP="001563A9">
      <w:pPr>
        <w:pStyle w:val="FOATemplateBody"/>
        <w:keepNext/>
        <w:numPr>
          <w:ilvl w:val="1"/>
          <w:numId w:val="35"/>
        </w:numPr>
        <w:ind w:left="1800"/>
        <w:rPr>
          <w:rFonts w:asciiTheme="minorHAnsi" w:eastAsiaTheme="minorEastAsia" w:hAnsiTheme="minorHAnsi"/>
          <w:b/>
          <w:bCs/>
        </w:rPr>
      </w:pPr>
      <w:r w:rsidRPr="00D54C61">
        <w:rPr>
          <w:rFonts w:asciiTheme="minorHAnsi" w:eastAsiaTheme="minorEastAsia" w:hAnsiTheme="minorHAnsi"/>
          <w:b/>
          <w:bCs/>
        </w:rPr>
        <w:t xml:space="preserve">Definitions </w:t>
      </w:r>
    </w:p>
    <w:p w14:paraId="0BFA5F45" w14:textId="77777777" w:rsidR="001563A9" w:rsidRPr="00D54C61" w:rsidRDefault="001563A9" w:rsidP="001563A9">
      <w:pPr>
        <w:pStyle w:val="FOATemplateBody"/>
        <w:ind w:left="1080"/>
        <w:rPr>
          <w:rFonts w:asciiTheme="minorHAnsi" w:eastAsiaTheme="minorEastAsia" w:hAnsiTheme="minorHAnsi"/>
          <w:b/>
          <w:szCs w:val="24"/>
        </w:rPr>
      </w:pPr>
    </w:p>
    <w:p w14:paraId="1F258E12" w14:textId="77777777" w:rsidR="001563A9" w:rsidRPr="00D54C61" w:rsidRDefault="001563A9" w:rsidP="001563A9">
      <w:pPr>
        <w:pStyle w:val="FOATemplateBody"/>
        <w:numPr>
          <w:ilvl w:val="0"/>
          <w:numId w:val="119"/>
        </w:numPr>
        <w:spacing w:after="240"/>
        <w:rPr>
          <w:rFonts w:asciiTheme="minorHAnsi" w:eastAsiaTheme="minorEastAsia" w:hAnsiTheme="minorHAnsi"/>
        </w:rPr>
      </w:pPr>
      <w:r w:rsidRPr="00D54C61">
        <w:rPr>
          <w:rFonts w:asciiTheme="minorHAnsi" w:eastAsiaTheme="minorEastAsia" w:hAnsiTheme="minorHAnsi"/>
          <w:b/>
          <w:bCs/>
        </w:rPr>
        <w:t xml:space="preserve">Foreign Government-Sponsored Talent Recruitment Program. </w:t>
      </w:r>
      <w:r w:rsidRPr="00D54C61">
        <w:rPr>
          <w:rFonts w:asciiTheme="minorHAnsi" w:eastAsiaTheme="minorEastAsia" w:hAnsiTheme="minorHAnsi"/>
        </w:rPr>
        <w:t xml:space="preserve">An effort directly or indirectly organized, managed, or funded by a foreign government, or a foreign government instrumentality or entity, to recruit science and technology professionals or students (regardless of citizenship or national origin, or whether having a full-time or part-time position). Some foreign government-sponsored talent recruitment programs operate with the intent to import or otherwise acquire from </w:t>
      </w:r>
      <w:r w:rsidRPr="00D54C61">
        <w:rPr>
          <w:rFonts w:asciiTheme="minorHAnsi" w:eastAsiaTheme="minorEastAsia" w:hAnsiTheme="minorHAnsi"/>
        </w:rPr>
        <w:lastRenderedPageBreak/>
        <w:t>abroad, sometimes through illicit means, proprietary technology or software, unpublished data and methods, and intellectual property to further the military modernization goals and/or economic goals of a foreign government. Many, but not all, programs aim to incentivize the targeted individual to relocate physically to the foreign state for the above purpose. Some programs allow for or encourage continued employment at United States research facilities or receipt of federal research funds while concurrently working at and/or receiving compensation from a foreign institution, and some direct participants not to disclose their participation to U.S. entities. Compensation could take many forms including cash, research funding, complimentary foreign travel, honorific titles, career advancement opportunities, promised future compensation, or other types of remuneration or consideration, including in-kind compensation.</w:t>
      </w:r>
    </w:p>
    <w:p w14:paraId="7EC7FE42" w14:textId="484F9B13" w:rsidR="001563A9" w:rsidRPr="00D54C61" w:rsidRDefault="001563A9" w:rsidP="001563A9">
      <w:pPr>
        <w:pStyle w:val="FOATemplateBody"/>
        <w:numPr>
          <w:ilvl w:val="0"/>
          <w:numId w:val="119"/>
        </w:numPr>
        <w:spacing w:before="120"/>
        <w:rPr>
          <w:rFonts w:asciiTheme="minorHAnsi" w:eastAsiaTheme="minorEastAsia" w:hAnsiTheme="minorHAnsi"/>
        </w:rPr>
      </w:pPr>
      <w:r w:rsidRPr="00D54C61">
        <w:rPr>
          <w:rFonts w:asciiTheme="minorHAnsi" w:eastAsiaTheme="minorEastAsia" w:hAnsiTheme="minorHAnsi"/>
          <w:b/>
          <w:bCs/>
        </w:rPr>
        <w:t>Foreign Country of Risk.</w:t>
      </w:r>
      <w:r w:rsidRPr="00D54C61">
        <w:rPr>
          <w:rFonts w:asciiTheme="minorHAnsi" w:eastAsiaTheme="minorEastAsia" w:hAnsiTheme="minorHAnsi"/>
        </w:rPr>
        <w:t xml:space="preserve"> DOE has designated the following countries as foreign countries of risk: Iran, North Korea, Russia, and China. This list is subject to change.</w:t>
      </w:r>
    </w:p>
    <w:p w14:paraId="5972333E" w14:textId="77777777" w:rsidR="001563A9" w:rsidRPr="001563A9" w:rsidRDefault="001563A9" w:rsidP="001563A9">
      <w:pPr>
        <w:pStyle w:val="FOATemplateBody"/>
        <w:ind w:left="1872"/>
        <w:rPr>
          <w:rFonts w:eastAsia="Calibri" w:cs="Arial"/>
          <w:bCs/>
          <w:szCs w:val="24"/>
        </w:rPr>
      </w:pPr>
    </w:p>
    <w:p w14:paraId="0D24C8BD" w14:textId="77777777" w:rsidR="001563A9" w:rsidRPr="00D54C61" w:rsidRDefault="001563A9" w:rsidP="001563A9">
      <w:pPr>
        <w:pStyle w:val="FOAHeading3"/>
        <w:ind w:left="1440"/>
        <w:outlineLvl w:val="2"/>
        <w:rPr>
          <w:rFonts w:eastAsia="Calibri" w:cs="Calibri"/>
        </w:rPr>
      </w:pPr>
      <w:bookmarkStart w:id="419" w:name="_Toc140060980"/>
      <w:bookmarkStart w:id="420" w:name="_Toc176864481"/>
      <w:r w:rsidRPr="00D54C61">
        <w:rPr>
          <w:rFonts w:eastAsia="Calibri" w:cs="Calibri"/>
        </w:rPr>
        <w:t>Affirmative Action and Pay Transparency Requirements</w:t>
      </w:r>
      <w:bookmarkEnd w:id="416"/>
      <w:bookmarkEnd w:id="417"/>
      <w:bookmarkEnd w:id="419"/>
      <w:bookmarkEnd w:id="420"/>
    </w:p>
    <w:p w14:paraId="5735ADC3" w14:textId="77777777" w:rsidR="001563A9" w:rsidRPr="00D54C61" w:rsidRDefault="001563A9" w:rsidP="001563A9">
      <w:pPr>
        <w:ind w:left="1440"/>
      </w:pPr>
      <w:r w:rsidRPr="00D54C61">
        <w:t>All applicants must comply with all applicable federal labor and employment laws, including but not limited to Title VII of the Civil Rights Act of 1964, the Fair Labor Standards Act, the Occupational Safety and Health Act, and the National Labor Relations Act, which protects employees’ right to bargain collectively and engage in concerted activities for the purpose of workers’ mutual aid or protection.</w:t>
      </w:r>
    </w:p>
    <w:p w14:paraId="4157E709" w14:textId="77777777" w:rsidR="001563A9" w:rsidRPr="00D54C61" w:rsidRDefault="001563A9" w:rsidP="001563A9">
      <w:pPr>
        <w:ind w:left="1440"/>
      </w:pPr>
    </w:p>
    <w:p w14:paraId="64470BE6" w14:textId="77777777" w:rsidR="001563A9" w:rsidRPr="00D54C61" w:rsidRDefault="001563A9" w:rsidP="001563A9">
      <w:pPr>
        <w:ind w:left="1440"/>
      </w:pPr>
      <w:r w:rsidRPr="00D54C61">
        <w:t xml:space="preserve">All federally assisted construction contracts exceeding $10,000 annually will be subject to the requirements of Executive Order 11246: </w:t>
      </w:r>
    </w:p>
    <w:p w14:paraId="14A06946" w14:textId="77777777" w:rsidR="001563A9" w:rsidRPr="00D54C61" w:rsidRDefault="001563A9" w:rsidP="001563A9">
      <w:pPr>
        <w:pStyle w:val="FOATemplateBody"/>
        <w:rPr>
          <w:rFonts w:eastAsia="Calibri" w:cs="Arial"/>
          <w:szCs w:val="24"/>
        </w:rPr>
      </w:pPr>
    </w:p>
    <w:p w14:paraId="68F3596D" w14:textId="77777777" w:rsidR="001563A9" w:rsidRPr="00D54C61" w:rsidRDefault="001563A9" w:rsidP="001563A9">
      <w:pPr>
        <w:pStyle w:val="FOATemplateBody"/>
        <w:ind w:left="1872"/>
      </w:pPr>
      <w:r w:rsidRPr="00D54C61">
        <w:t xml:space="preserve">(1) Recipients, subrecipients, contractors, and subcontractors are prohibited from discriminating in employment decisions on the basis of race, color, religion, sex, sexual orientation, gender identity, or national origin. </w:t>
      </w:r>
    </w:p>
    <w:p w14:paraId="5ABA90E0" w14:textId="77777777" w:rsidR="001563A9" w:rsidRPr="00D54C61" w:rsidRDefault="001563A9" w:rsidP="001563A9">
      <w:pPr>
        <w:pStyle w:val="FOATemplateBody"/>
        <w:ind w:left="1872"/>
        <w:rPr>
          <w:rFonts w:eastAsia="Calibri" w:cs="Arial"/>
          <w:b/>
          <w:bCs/>
          <w:szCs w:val="24"/>
        </w:rPr>
      </w:pPr>
    </w:p>
    <w:p w14:paraId="4254B8E4" w14:textId="77777777" w:rsidR="001563A9" w:rsidRPr="00D54C61" w:rsidRDefault="001563A9" w:rsidP="001563A9">
      <w:pPr>
        <w:pStyle w:val="FOATemplateBody"/>
        <w:ind w:left="1872"/>
        <w:rPr>
          <w:rFonts w:eastAsia="Calibri" w:cs="Arial"/>
          <w:b/>
          <w:bCs/>
        </w:rPr>
      </w:pPr>
      <w:r w:rsidRPr="00D54C61">
        <w:t>(2)</w:t>
      </w:r>
      <w:r w:rsidRPr="00D54C61">
        <w:tab/>
        <w:t>Recipients</w:t>
      </w:r>
      <w:r w:rsidRPr="00D54C61">
        <w:rPr>
          <w:spacing w:val="-6"/>
        </w:rPr>
        <w:t xml:space="preserve"> </w:t>
      </w:r>
      <w:r w:rsidRPr="00D54C61">
        <w:t>and</w:t>
      </w:r>
      <w:r w:rsidRPr="00D54C61">
        <w:rPr>
          <w:spacing w:val="-3"/>
        </w:rPr>
        <w:t xml:space="preserve"> </w:t>
      </w:r>
      <w:r w:rsidRPr="00D54C61">
        <w:t>contractors are required to take affirmative action to ensure that equal opportunity is provided in all aspects of their employment. This includes flowing down the appropriate language to all subrecipients, contractors, and subcontractors.</w:t>
      </w:r>
    </w:p>
    <w:p w14:paraId="4745E2A9" w14:textId="77777777" w:rsidR="001563A9" w:rsidRPr="00D54C61" w:rsidRDefault="001563A9" w:rsidP="001563A9">
      <w:pPr>
        <w:pStyle w:val="FOATemplateBody"/>
        <w:ind w:left="1872"/>
        <w:rPr>
          <w:rFonts w:eastAsia="Calibri" w:cs="Arial"/>
          <w:b/>
          <w:bCs/>
          <w:szCs w:val="24"/>
        </w:rPr>
      </w:pPr>
    </w:p>
    <w:p w14:paraId="5F155372" w14:textId="77777777" w:rsidR="001563A9" w:rsidRPr="00D54C61" w:rsidRDefault="001563A9" w:rsidP="001563A9">
      <w:pPr>
        <w:pStyle w:val="FOATemplateBody"/>
        <w:ind w:left="1872"/>
        <w:rPr>
          <w:rFonts w:eastAsia="Calibri" w:cs="Arial"/>
          <w:b/>
          <w:bCs/>
        </w:rPr>
      </w:pPr>
      <w:r w:rsidRPr="00D54C61">
        <w:t>(3)</w:t>
      </w:r>
      <w:r w:rsidRPr="00D54C61">
        <w:tab/>
        <w:t>Recipients,</w:t>
      </w:r>
      <w:r w:rsidRPr="00D54C61">
        <w:rPr>
          <w:spacing w:val="-7"/>
        </w:rPr>
        <w:t xml:space="preserve"> </w:t>
      </w:r>
      <w:r w:rsidRPr="00D54C61">
        <w:t>subrecipients,</w:t>
      </w:r>
      <w:r w:rsidRPr="00D54C61">
        <w:rPr>
          <w:spacing w:val="-5"/>
        </w:rPr>
        <w:t xml:space="preserve"> </w:t>
      </w:r>
      <w:r w:rsidRPr="00D54C61">
        <w:t>contractors,</w:t>
      </w:r>
      <w:r w:rsidRPr="00D54C61">
        <w:rPr>
          <w:spacing w:val="-7"/>
        </w:rPr>
        <w:t xml:space="preserve"> </w:t>
      </w:r>
      <w:r w:rsidRPr="00D54C61">
        <w:t>and</w:t>
      </w:r>
      <w:r w:rsidRPr="00D54C61">
        <w:rPr>
          <w:spacing w:val="-6"/>
        </w:rPr>
        <w:t xml:space="preserve"> </w:t>
      </w:r>
      <w:r w:rsidRPr="00D54C61">
        <w:t>subcontractors are prohibited from taking adverse employment actions against applicants and employees for asking about, discussing, or sharing information about their pay or, under certain circumstances, the pay of their co‐workers.</w:t>
      </w:r>
    </w:p>
    <w:p w14:paraId="502F2563" w14:textId="77777777" w:rsidR="001563A9" w:rsidRPr="00D54C61" w:rsidRDefault="001563A9" w:rsidP="001563A9">
      <w:pPr>
        <w:pStyle w:val="FOATemplateBody"/>
        <w:ind w:left="720" w:firstLine="720"/>
        <w:rPr>
          <w:rFonts w:eastAsia="Calibri" w:cs="Arial"/>
          <w:szCs w:val="24"/>
        </w:rPr>
      </w:pPr>
    </w:p>
    <w:p w14:paraId="3BBA3329" w14:textId="77777777" w:rsidR="001563A9" w:rsidRPr="00F51D93" w:rsidRDefault="001563A9" w:rsidP="001563A9">
      <w:pPr>
        <w:pStyle w:val="FOATemplateBody"/>
        <w:ind w:left="1440"/>
        <w:rPr>
          <w:highlight w:val="green"/>
        </w:rPr>
      </w:pPr>
      <w:r w:rsidRPr="00D54C61">
        <w:t xml:space="preserve">DOL’s </w:t>
      </w:r>
      <w:bookmarkStart w:id="421" w:name="_Hlk112844725"/>
      <w:r w:rsidRPr="00D54C61">
        <w:t xml:space="preserve">Office of Federal Contractor Compliance Programs (OFCCP) </w:t>
      </w:r>
      <w:bookmarkEnd w:id="421"/>
      <w:r w:rsidRPr="00D54C61">
        <w:t>uses a neutral process to schedule compliance evaluations. Consult OFCCP’s Technical Assistance Guide</w:t>
      </w:r>
      <w:r w:rsidRPr="00D54C61">
        <w:rPr>
          <w:rStyle w:val="FootnoteReference"/>
        </w:rPr>
        <w:footnoteReference w:id="52"/>
      </w:r>
      <w:r w:rsidRPr="00D54C61">
        <w:t xml:space="preserve"> to gain an understanding of the requirements and possible actions the recipients, subrecipients, contractors, and subcontractors must take. Additional guidance may also be found in the National Policy Assurances, produced by DOE.</w:t>
      </w:r>
      <w:r w:rsidRPr="00F51D93">
        <w:rPr>
          <w:highlight w:val="green"/>
        </w:rPr>
        <w:t xml:space="preserve"> </w:t>
      </w:r>
    </w:p>
    <w:p w14:paraId="714990D2" w14:textId="77777777" w:rsidR="001563A9" w:rsidRPr="00F51D93" w:rsidRDefault="001563A9" w:rsidP="001563A9">
      <w:pPr>
        <w:pStyle w:val="FOATemplateBody"/>
        <w:ind w:left="1440"/>
        <w:rPr>
          <w:highlight w:val="green"/>
        </w:rPr>
      </w:pPr>
    </w:p>
    <w:p w14:paraId="2E45BBD4" w14:textId="77777777" w:rsidR="001563A9" w:rsidRPr="00D54C61" w:rsidRDefault="001563A9" w:rsidP="001563A9">
      <w:pPr>
        <w:pStyle w:val="FOAHeading3"/>
        <w:ind w:left="1440"/>
        <w:outlineLvl w:val="2"/>
      </w:pPr>
      <w:bookmarkStart w:id="422" w:name="_Toc140060981"/>
      <w:bookmarkStart w:id="423" w:name="_Toc176864482"/>
      <w:r w:rsidRPr="00D54C61">
        <w:t>Foreign Collaboration Considerations</w:t>
      </w:r>
      <w:bookmarkEnd w:id="422"/>
      <w:bookmarkEnd w:id="423"/>
    </w:p>
    <w:p w14:paraId="44439174" w14:textId="392C6870" w:rsidR="001563A9" w:rsidRPr="00B67FDD" w:rsidRDefault="001563A9" w:rsidP="00B67FDD">
      <w:pPr>
        <w:pStyle w:val="FOATemplateBody"/>
        <w:keepNext/>
        <w:numPr>
          <w:ilvl w:val="1"/>
          <w:numId w:val="35"/>
        </w:numPr>
        <w:ind w:left="1800"/>
        <w:rPr>
          <w:rFonts w:asciiTheme="minorHAnsi" w:eastAsiaTheme="minorEastAsia" w:hAnsiTheme="minorHAnsi"/>
        </w:rPr>
      </w:pPr>
      <w:r w:rsidRPr="00B67FDD">
        <w:rPr>
          <w:rFonts w:asciiTheme="minorHAnsi" w:eastAsiaTheme="minorEastAsia" w:hAnsiTheme="minorHAnsi"/>
        </w:rPr>
        <w:t>Consideration of new collaborations with foreign entities</w:t>
      </w:r>
      <w:r w:rsidR="00584958">
        <w:rPr>
          <w:rFonts w:asciiTheme="minorHAnsi" w:eastAsiaTheme="minorEastAsia" w:hAnsiTheme="minorHAnsi"/>
        </w:rPr>
        <w:t>, organizations</w:t>
      </w:r>
      <w:r w:rsidRPr="00B67FDD">
        <w:rPr>
          <w:rFonts w:asciiTheme="minorHAnsi" w:eastAsiaTheme="minorEastAsia" w:hAnsiTheme="minorHAnsi"/>
        </w:rPr>
        <w:t xml:space="preserve"> and governments. The recipient will be required to provide DOE with advanced written notification of any potential collaboration with foreign entities</w:t>
      </w:r>
      <w:r w:rsidR="00584958">
        <w:rPr>
          <w:rFonts w:asciiTheme="minorHAnsi" w:eastAsiaTheme="minorEastAsia" w:hAnsiTheme="minorHAnsi"/>
        </w:rPr>
        <w:t>, organizations</w:t>
      </w:r>
      <w:r w:rsidRPr="00B67FDD">
        <w:rPr>
          <w:rFonts w:asciiTheme="minorHAnsi" w:eastAsiaTheme="minorEastAsia" w:hAnsiTheme="minorHAnsi"/>
        </w:rPr>
        <w:t xml:space="preserve"> or governments in connection with its DOE-funded award scope. The recipient will then be required to await further guidance from DOE prior to contacting the proposed foreign entity</w:t>
      </w:r>
      <w:r w:rsidR="00584958">
        <w:rPr>
          <w:rFonts w:asciiTheme="minorHAnsi" w:eastAsiaTheme="minorEastAsia" w:hAnsiTheme="minorHAnsi"/>
        </w:rPr>
        <w:t>, organization,</w:t>
      </w:r>
      <w:r w:rsidRPr="00B67FDD">
        <w:rPr>
          <w:rFonts w:asciiTheme="minorHAnsi" w:eastAsiaTheme="minorEastAsia" w:hAnsiTheme="minorHAnsi"/>
        </w:rPr>
        <w:t xml:space="preserve"> or government regarding the potential collaboration or negotiating the terms of any potential agreement. </w:t>
      </w:r>
    </w:p>
    <w:p w14:paraId="6F2FD605" w14:textId="77777777" w:rsidR="001563A9" w:rsidRPr="00B67FDD" w:rsidRDefault="001563A9" w:rsidP="00B67FDD">
      <w:pPr>
        <w:pStyle w:val="FOATemplateBody"/>
        <w:keepNext/>
        <w:ind w:left="1800"/>
        <w:rPr>
          <w:rFonts w:asciiTheme="minorHAnsi" w:eastAsiaTheme="minorEastAsia" w:hAnsiTheme="minorHAnsi"/>
        </w:rPr>
      </w:pPr>
    </w:p>
    <w:p w14:paraId="19327794" w14:textId="30D4D8C7" w:rsidR="001563A9" w:rsidRPr="00B67FDD" w:rsidRDefault="001563A9" w:rsidP="00B67FDD">
      <w:pPr>
        <w:pStyle w:val="FOATemplateBody"/>
        <w:keepNext/>
        <w:numPr>
          <w:ilvl w:val="1"/>
          <w:numId w:val="35"/>
        </w:numPr>
        <w:ind w:left="1800"/>
        <w:rPr>
          <w:rFonts w:asciiTheme="minorHAnsi" w:eastAsiaTheme="minorEastAsia" w:hAnsiTheme="minorHAnsi"/>
        </w:rPr>
      </w:pPr>
      <w:r w:rsidRPr="00B67FDD">
        <w:rPr>
          <w:rFonts w:asciiTheme="minorHAnsi" w:eastAsiaTheme="minorEastAsia" w:hAnsiTheme="minorHAnsi"/>
        </w:rPr>
        <w:t>Existing collaborations with foreign entities</w:t>
      </w:r>
      <w:r w:rsidR="006D5887">
        <w:rPr>
          <w:rFonts w:asciiTheme="minorHAnsi" w:eastAsiaTheme="minorEastAsia" w:hAnsiTheme="minorHAnsi"/>
        </w:rPr>
        <w:t>, organizations,</w:t>
      </w:r>
      <w:r w:rsidRPr="00B67FDD">
        <w:rPr>
          <w:rFonts w:asciiTheme="minorHAnsi" w:eastAsiaTheme="minorEastAsia" w:hAnsiTheme="minorHAnsi"/>
        </w:rPr>
        <w:t xml:space="preserve"> and governments. The recipient will be required to provide DOE with a written list of all existing foreign collaborations in which has entered in connection with its DOE-funded award scope. </w:t>
      </w:r>
    </w:p>
    <w:p w14:paraId="402222AF" w14:textId="77777777" w:rsidR="001563A9" w:rsidRPr="00B67FDD" w:rsidRDefault="001563A9" w:rsidP="00B67FDD">
      <w:pPr>
        <w:pStyle w:val="FOATemplateBody"/>
        <w:keepNext/>
        <w:ind w:left="1800"/>
        <w:rPr>
          <w:rFonts w:asciiTheme="minorHAnsi" w:eastAsiaTheme="minorEastAsia" w:hAnsiTheme="minorHAnsi"/>
        </w:rPr>
      </w:pPr>
    </w:p>
    <w:p w14:paraId="33601227" w14:textId="407F177A" w:rsidR="001563A9" w:rsidRPr="003E19B1" w:rsidRDefault="001563A9" w:rsidP="003E19B1">
      <w:pPr>
        <w:pStyle w:val="FOATemplateBody"/>
        <w:keepNext/>
        <w:numPr>
          <w:ilvl w:val="1"/>
          <w:numId w:val="35"/>
        </w:numPr>
        <w:ind w:left="1800"/>
      </w:pPr>
      <w:r w:rsidRPr="00B67FDD">
        <w:rPr>
          <w:rFonts w:asciiTheme="minorHAnsi" w:eastAsiaTheme="minorEastAsia" w:hAnsiTheme="minorHAnsi"/>
        </w:rPr>
        <w:t>Description of collaborations that should be reported. In general, a collaboration will involve some provision of a thing of value to, or from, the recipient. A thing of value includes but may not be limited to all resources made available to, or from, the recipient in support of and/or related to the DOE award, regardless of whether or not they have monetary value. Things of value also may include in-kind contributions (such as office/laboratory space, data, equipment, supplies, employees, students). In-kind contributions not intended for direct</w:t>
      </w:r>
      <w:r w:rsidRPr="00B67FDD">
        <w:t xml:space="preserve"> use on the DOE award but resulting in provision of a thing</w:t>
      </w:r>
      <w:r w:rsidRPr="00D54C61">
        <w:t xml:space="preserve"> of value from or to the DOE award must also be reported. Collaborations do not include routine workshops, conferences, use of the recipient’s services and facilities by foreign investigators resulting from its standard published process for evaluating requests for access, or the routine use of foreign facilities by awardee staff in accordance with the recipient’s standard policies and procedures.</w:t>
      </w:r>
    </w:p>
    <w:bookmarkEnd w:id="418"/>
    <w:p w14:paraId="1DDFCC2F" w14:textId="77777777" w:rsidR="006035F9" w:rsidRDefault="006035F9" w:rsidP="00A53BBC"/>
    <w:p w14:paraId="63BFD206" w14:textId="77777777" w:rsidR="001D6622" w:rsidRPr="00B5344E" w:rsidRDefault="001D6622" w:rsidP="00A53BBC"/>
    <w:p w14:paraId="2DA8D947" w14:textId="6D5353F1" w:rsidR="006A24B8" w:rsidRPr="00126FBB" w:rsidRDefault="004E672B" w:rsidP="00B159B5">
      <w:pPr>
        <w:pStyle w:val="FOAHeading1"/>
      </w:pPr>
      <w:bookmarkStart w:id="424" w:name="_Toc517798924"/>
      <w:bookmarkStart w:id="425" w:name="_Toc519602252"/>
      <w:bookmarkStart w:id="426" w:name="_Toc519602387"/>
      <w:bookmarkStart w:id="427" w:name="_Toc176864483"/>
      <w:r w:rsidRPr="00126FBB">
        <w:lastRenderedPageBreak/>
        <w:t>Application Review Information</w:t>
      </w:r>
      <w:bookmarkEnd w:id="424"/>
      <w:bookmarkEnd w:id="425"/>
      <w:bookmarkEnd w:id="426"/>
      <w:bookmarkEnd w:id="427"/>
    </w:p>
    <w:p w14:paraId="41A44718" w14:textId="77777777" w:rsidR="006035F9" w:rsidRPr="00B5344E" w:rsidRDefault="006035F9" w:rsidP="00A53BBC"/>
    <w:p w14:paraId="56483670" w14:textId="30D48A71" w:rsidR="006A24B8" w:rsidRPr="001B113C" w:rsidRDefault="001563A9" w:rsidP="001612A1">
      <w:pPr>
        <w:pStyle w:val="FOAHeading2"/>
      </w:pPr>
      <w:bookmarkStart w:id="428" w:name="_Toc517798925"/>
      <w:bookmarkStart w:id="429" w:name="_Toc519602253"/>
      <w:bookmarkStart w:id="430" w:name="_Toc519602388"/>
      <w:bookmarkStart w:id="431" w:name="_Toc140060984"/>
      <w:bookmarkStart w:id="432" w:name="_Toc176864484"/>
      <w:r w:rsidRPr="001B113C">
        <w:t>Technical Review Criteria</w:t>
      </w:r>
      <w:bookmarkEnd w:id="428"/>
      <w:bookmarkEnd w:id="429"/>
      <w:bookmarkEnd w:id="430"/>
      <w:bookmarkEnd w:id="431"/>
      <w:bookmarkEnd w:id="432"/>
    </w:p>
    <w:p w14:paraId="2B5D54E9" w14:textId="3EAB9C82" w:rsidR="006035F9" w:rsidRPr="00B5344E" w:rsidRDefault="006035F9" w:rsidP="00A53BBC"/>
    <w:p w14:paraId="368F298A" w14:textId="114D1702" w:rsidR="006A24B8" w:rsidRPr="00872882" w:rsidRDefault="004E672B" w:rsidP="004D5367">
      <w:pPr>
        <w:pStyle w:val="FOAHeading3"/>
        <w:numPr>
          <w:ilvl w:val="0"/>
          <w:numId w:val="44"/>
        </w:numPr>
        <w:ind w:left="1440"/>
        <w:outlineLvl w:val="2"/>
      </w:pPr>
      <w:bookmarkStart w:id="433" w:name="_Toc519602389"/>
      <w:bookmarkStart w:id="434" w:name="_Toc176864485"/>
      <w:r w:rsidRPr="00C72CE2">
        <w:t>Concept Papers</w:t>
      </w:r>
      <w:bookmarkEnd w:id="433"/>
      <w:bookmarkEnd w:id="434"/>
    </w:p>
    <w:p w14:paraId="2D396422" w14:textId="19A0BB3A" w:rsidR="006A24B8" w:rsidRPr="008858B4" w:rsidRDefault="004E672B" w:rsidP="00A53BBC">
      <w:pPr>
        <w:ind w:left="1440"/>
      </w:pPr>
      <w:r w:rsidRPr="008858B4">
        <w:t>Concept Papers are evaluated based on consideration the following factors.</w:t>
      </w:r>
      <w:r w:rsidR="004F0212">
        <w:t xml:space="preserve"> All sub-criteria are of equal weight.</w:t>
      </w:r>
    </w:p>
    <w:p w14:paraId="5677D680" w14:textId="589391BD" w:rsidR="0049292D" w:rsidRDefault="0049292D" w:rsidP="00A53BBC">
      <w:pPr>
        <w:pStyle w:val="PlainText"/>
        <w:ind w:left="1440"/>
        <w:rPr>
          <w:b/>
          <w:sz w:val="24"/>
          <w:szCs w:val="24"/>
        </w:rPr>
      </w:pPr>
    </w:p>
    <w:p w14:paraId="0D3A5925" w14:textId="77777777" w:rsidR="001563A9" w:rsidRPr="006C56C2" w:rsidRDefault="001563A9" w:rsidP="001563A9">
      <w:pPr>
        <w:pStyle w:val="PlainText"/>
        <w:ind w:left="1440"/>
        <w:rPr>
          <w:rFonts w:asciiTheme="minorHAnsi" w:hAnsiTheme="minorHAnsi"/>
          <w:b/>
          <w:bCs/>
          <w:sz w:val="24"/>
          <w:szCs w:val="24"/>
        </w:rPr>
      </w:pPr>
      <w:r w:rsidRPr="00F51A4A">
        <w:rPr>
          <w:rFonts w:asciiTheme="minorHAnsi" w:hAnsiTheme="minorHAnsi"/>
          <w:b/>
          <w:bCs/>
          <w:sz w:val="24"/>
          <w:szCs w:val="24"/>
        </w:rPr>
        <w:t>Concept Paper Criterion: Overall FOA Responsiveness and Viability of the Project (Weight: 100%)</w:t>
      </w:r>
    </w:p>
    <w:p w14:paraId="127AAA79" w14:textId="77777777" w:rsidR="001563A9" w:rsidRPr="006C56C2" w:rsidRDefault="001563A9" w:rsidP="001563A9">
      <w:pPr>
        <w:pStyle w:val="PlainText"/>
        <w:spacing w:after="240"/>
        <w:ind w:left="1440"/>
        <w:rPr>
          <w:rFonts w:asciiTheme="minorHAnsi" w:hAnsiTheme="minorHAnsi"/>
          <w:sz w:val="24"/>
          <w:szCs w:val="24"/>
        </w:rPr>
      </w:pPr>
      <w:r w:rsidRPr="5F2B9FEB">
        <w:rPr>
          <w:rFonts w:asciiTheme="minorHAnsi" w:hAnsiTheme="minorHAnsi"/>
          <w:sz w:val="24"/>
          <w:szCs w:val="24"/>
        </w:rPr>
        <w:t>This criterion involves consideration of the following factors:</w:t>
      </w:r>
    </w:p>
    <w:p w14:paraId="06EAA91F" w14:textId="77777777" w:rsidR="001563A9" w:rsidRPr="006C56C2" w:rsidRDefault="001563A9" w:rsidP="001563A9">
      <w:pPr>
        <w:pStyle w:val="PlainText"/>
        <w:numPr>
          <w:ilvl w:val="0"/>
          <w:numId w:val="69"/>
        </w:numPr>
        <w:ind w:left="1710" w:hanging="345"/>
        <w:rPr>
          <w:rFonts w:asciiTheme="minorHAnsi" w:hAnsiTheme="minorHAnsi"/>
          <w:sz w:val="24"/>
          <w:szCs w:val="24"/>
        </w:rPr>
      </w:pPr>
      <w:r w:rsidRPr="5F2B9FEB">
        <w:rPr>
          <w:rFonts w:asciiTheme="minorHAnsi" w:hAnsiTheme="minorHAnsi"/>
          <w:sz w:val="24"/>
          <w:szCs w:val="24"/>
        </w:rPr>
        <w:t>The applicant clearly describes the proposed technology, how the technology is unique and innovative, and how the technology will advance the current state of the art;</w:t>
      </w:r>
    </w:p>
    <w:p w14:paraId="7366B079" w14:textId="77777777" w:rsidR="001563A9" w:rsidRPr="006C56C2" w:rsidRDefault="001563A9" w:rsidP="001563A9">
      <w:pPr>
        <w:pStyle w:val="PlainText"/>
        <w:numPr>
          <w:ilvl w:val="0"/>
          <w:numId w:val="69"/>
        </w:numPr>
        <w:ind w:left="1710" w:hanging="345"/>
        <w:rPr>
          <w:rFonts w:asciiTheme="minorHAnsi" w:hAnsiTheme="minorHAnsi"/>
          <w:sz w:val="24"/>
          <w:szCs w:val="24"/>
        </w:rPr>
      </w:pPr>
      <w:r w:rsidRPr="5F2B9FEB">
        <w:rPr>
          <w:rFonts w:asciiTheme="minorHAnsi" w:hAnsiTheme="minorHAnsi"/>
          <w:sz w:val="24"/>
          <w:szCs w:val="24"/>
        </w:rPr>
        <w:t>The applicant has identified risks and challenges of the technology, regulatory and financial aspects of the proposal including possible mitigation strategies, and has shown the impact that EERE funding and the proposed project would have on the relevant field and application;</w:t>
      </w:r>
    </w:p>
    <w:p w14:paraId="458D0439" w14:textId="50A62058" w:rsidR="001563A9" w:rsidRPr="006C56C2" w:rsidRDefault="001563A9" w:rsidP="001563A9">
      <w:pPr>
        <w:pStyle w:val="PlainText"/>
        <w:numPr>
          <w:ilvl w:val="0"/>
          <w:numId w:val="69"/>
        </w:numPr>
        <w:ind w:left="1710" w:hanging="345"/>
        <w:rPr>
          <w:rFonts w:asciiTheme="minorHAnsi" w:hAnsiTheme="minorHAnsi"/>
          <w:sz w:val="24"/>
          <w:szCs w:val="24"/>
        </w:rPr>
      </w:pPr>
      <w:r w:rsidRPr="5F2B9FEB">
        <w:rPr>
          <w:rFonts w:asciiTheme="minorHAnsi" w:hAnsiTheme="minorHAnsi"/>
          <w:sz w:val="24"/>
          <w:szCs w:val="24"/>
        </w:rPr>
        <w:t xml:space="preserve">The applicant has the qualifications, experience, </w:t>
      </w:r>
      <w:r w:rsidR="004345EE" w:rsidRPr="5F2B9FEB">
        <w:rPr>
          <w:rFonts w:asciiTheme="minorHAnsi" w:hAnsiTheme="minorHAnsi"/>
          <w:sz w:val="24"/>
          <w:szCs w:val="24"/>
        </w:rPr>
        <w:t>capabilities,</w:t>
      </w:r>
      <w:r w:rsidRPr="5F2B9FEB">
        <w:rPr>
          <w:rFonts w:asciiTheme="minorHAnsi" w:hAnsiTheme="minorHAnsi"/>
          <w:sz w:val="24"/>
          <w:szCs w:val="24"/>
        </w:rPr>
        <w:t xml:space="preserve"> and other resources necessary to complete the proposed project; and</w:t>
      </w:r>
    </w:p>
    <w:p w14:paraId="5B3D636C" w14:textId="0D890700" w:rsidR="001563A9" w:rsidRPr="001563A9" w:rsidRDefault="001563A9" w:rsidP="001563A9">
      <w:pPr>
        <w:pStyle w:val="PlainText"/>
        <w:numPr>
          <w:ilvl w:val="0"/>
          <w:numId w:val="69"/>
        </w:numPr>
        <w:ind w:left="1710" w:hanging="345"/>
        <w:rPr>
          <w:rFonts w:asciiTheme="minorHAnsi" w:hAnsiTheme="minorHAnsi"/>
          <w:sz w:val="24"/>
          <w:szCs w:val="24"/>
        </w:rPr>
      </w:pPr>
      <w:r w:rsidRPr="5F2B9FEB">
        <w:rPr>
          <w:rFonts w:asciiTheme="minorHAnsi" w:hAnsiTheme="minorHAnsi"/>
          <w:sz w:val="24"/>
          <w:szCs w:val="24"/>
        </w:rPr>
        <w:t>The proposed work, if successfully accomplished, would clearly meet the objectives as stated in the FOA.</w:t>
      </w:r>
    </w:p>
    <w:p w14:paraId="2EFF2229" w14:textId="7A22B355" w:rsidR="00B07932" w:rsidRPr="008858B4" w:rsidRDefault="00B07932" w:rsidP="008858B4"/>
    <w:p w14:paraId="0CCE513F" w14:textId="7CA574B8" w:rsidR="00B07932" w:rsidRPr="00872882" w:rsidRDefault="004E672B" w:rsidP="004D5367">
      <w:pPr>
        <w:pStyle w:val="FOAHeading3"/>
        <w:numPr>
          <w:ilvl w:val="0"/>
          <w:numId w:val="44"/>
        </w:numPr>
        <w:ind w:left="1440"/>
        <w:outlineLvl w:val="2"/>
      </w:pPr>
      <w:bookmarkStart w:id="435" w:name="_Toc519602390"/>
      <w:bookmarkStart w:id="436" w:name="_Toc176864486"/>
      <w:r w:rsidRPr="00C72CE2">
        <w:t>Full Applications</w:t>
      </w:r>
      <w:bookmarkEnd w:id="435"/>
      <w:bookmarkEnd w:id="436"/>
    </w:p>
    <w:p w14:paraId="26F16F25" w14:textId="2A66EDE6" w:rsidR="00F174C5" w:rsidRDefault="004E672B" w:rsidP="002B3BCA">
      <w:pPr>
        <w:pStyle w:val="PlainText"/>
        <w:ind w:left="1440"/>
        <w:rPr>
          <w:rFonts w:asciiTheme="minorHAnsi" w:hAnsiTheme="minorHAnsi"/>
          <w:sz w:val="24"/>
          <w:szCs w:val="24"/>
        </w:rPr>
      </w:pPr>
      <w:r w:rsidRPr="008D396A">
        <w:rPr>
          <w:rFonts w:asciiTheme="minorHAnsi" w:hAnsiTheme="minorHAnsi"/>
          <w:sz w:val="24"/>
          <w:szCs w:val="24"/>
        </w:rPr>
        <w:t xml:space="preserve">Applications will be evaluated against the </w:t>
      </w:r>
      <w:r w:rsidR="00365895">
        <w:rPr>
          <w:rFonts w:asciiTheme="minorHAnsi" w:hAnsiTheme="minorHAnsi"/>
          <w:sz w:val="24"/>
          <w:szCs w:val="24"/>
        </w:rPr>
        <w:t>technical</w:t>
      </w:r>
      <w:r w:rsidRPr="008D396A">
        <w:rPr>
          <w:rFonts w:asciiTheme="minorHAnsi" w:hAnsiTheme="minorHAnsi"/>
          <w:sz w:val="24"/>
          <w:szCs w:val="24"/>
        </w:rPr>
        <w:t xml:space="preserve"> review criteria shown below. All sub-criteria are of equal weight.</w:t>
      </w:r>
    </w:p>
    <w:p w14:paraId="47D43756" w14:textId="77777777" w:rsidR="006361B5" w:rsidRDefault="006361B5" w:rsidP="002B3BCA">
      <w:pPr>
        <w:pStyle w:val="PlainText"/>
        <w:ind w:left="1440"/>
        <w:rPr>
          <w:rFonts w:asciiTheme="minorHAnsi" w:hAnsiTheme="minorHAnsi"/>
          <w:sz w:val="24"/>
          <w:szCs w:val="24"/>
        </w:rPr>
      </w:pPr>
    </w:p>
    <w:p w14:paraId="10E48C20" w14:textId="26AB009A" w:rsidR="006361B5" w:rsidRPr="006C56C2" w:rsidRDefault="006361B5" w:rsidP="006361B5">
      <w:pPr>
        <w:pStyle w:val="PlainText"/>
        <w:ind w:left="1440"/>
        <w:rPr>
          <w:rFonts w:asciiTheme="minorHAnsi" w:hAnsiTheme="minorHAnsi"/>
          <w:b/>
          <w:bCs/>
          <w:sz w:val="24"/>
          <w:szCs w:val="24"/>
        </w:rPr>
      </w:pPr>
      <w:r w:rsidRPr="00D13B6F">
        <w:rPr>
          <w:rFonts w:asciiTheme="minorHAnsi" w:hAnsiTheme="minorHAnsi"/>
          <w:b/>
          <w:bCs/>
          <w:sz w:val="24"/>
          <w:szCs w:val="24"/>
        </w:rPr>
        <w:t>Criterion 1: Technical Merit, Innovation, and Impact (50%)</w:t>
      </w:r>
    </w:p>
    <w:p w14:paraId="2AE0678A" w14:textId="77777777" w:rsidR="006361B5" w:rsidRPr="006C56C2" w:rsidRDefault="006361B5" w:rsidP="006361B5">
      <w:pPr>
        <w:pStyle w:val="PlainText"/>
        <w:ind w:left="1440"/>
        <w:rPr>
          <w:rFonts w:asciiTheme="minorHAnsi" w:hAnsiTheme="minorHAnsi"/>
          <w:sz w:val="24"/>
          <w:szCs w:val="24"/>
        </w:rPr>
      </w:pPr>
      <w:r w:rsidRPr="5F2B9FEB">
        <w:rPr>
          <w:rFonts w:asciiTheme="minorHAnsi" w:hAnsiTheme="minorHAnsi"/>
          <w:sz w:val="24"/>
          <w:szCs w:val="24"/>
        </w:rPr>
        <w:t>This criterion involves consideration of the following factors:</w:t>
      </w:r>
    </w:p>
    <w:p w14:paraId="7DF0F0A5" w14:textId="77777777" w:rsidR="006361B5" w:rsidRDefault="006361B5" w:rsidP="006361B5">
      <w:pPr>
        <w:pStyle w:val="PlainText"/>
        <w:ind w:left="1440"/>
        <w:rPr>
          <w:rFonts w:asciiTheme="minorHAnsi" w:hAnsiTheme="minorHAnsi"/>
          <w:sz w:val="24"/>
          <w:szCs w:val="24"/>
        </w:rPr>
      </w:pPr>
    </w:p>
    <w:p w14:paraId="77333299" w14:textId="77777777" w:rsidR="006361B5" w:rsidRDefault="006361B5" w:rsidP="006361B5">
      <w:pPr>
        <w:keepNext/>
        <w:ind w:left="1440"/>
        <w:rPr>
          <w:rFonts w:ascii="Calibri" w:eastAsia="Calibri" w:hAnsi="Calibri" w:cs="Calibri"/>
          <w:color w:val="000000" w:themeColor="text1"/>
          <w:u w:val="single"/>
        </w:rPr>
      </w:pPr>
      <w:r w:rsidRPr="007E24B4">
        <w:rPr>
          <w:rFonts w:ascii="Calibri" w:eastAsia="Calibri" w:hAnsi="Calibri" w:cs="Calibri"/>
          <w:color w:val="000000" w:themeColor="text1"/>
          <w:u w:val="single"/>
        </w:rPr>
        <w:t>Technical Merit and Innovation</w:t>
      </w:r>
    </w:p>
    <w:p w14:paraId="02290488"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Extent to which the proposed technology, process, or project is innovative or replicable;</w:t>
      </w:r>
    </w:p>
    <w:p w14:paraId="7A9F8D13" w14:textId="6C0C112D"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 xml:space="preserve">Degree to which the current state of the technology and the proposed advancement </w:t>
      </w:r>
      <w:r w:rsidRPr="008B0D95">
        <w:rPr>
          <w:rFonts w:eastAsia="Calibri" w:cs="Calibri"/>
          <w:sz w:val="24"/>
          <w:szCs w:val="24"/>
        </w:rPr>
        <w:t>to demonstration and commercialization</w:t>
      </w:r>
      <w:r w:rsidRPr="5F2B9FEB">
        <w:rPr>
          <w:rFonts w:asciiTheme="minorHAnsi" w:hAnsiTheme="minorHAnsi"/>
          <w:sz w:val="24"/>
          <w:szCs w:val="24"/>
        </w:rPr>
        <w:t xml:space="preserve"> are clearly described;</w:t>
      </w:r>
    </w:p>
    <w:p w14:paraId="55F41088" w14:textId="48890002"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 xml:space="preserve">Extent to which the application specifically and convincingly demonstrates how the applicant will move the state of the art to the proposed advancement </w:t>
      </w:r>
      <w:r w:rsidRPr="008B0D95">
        <w:rPr>
          <w:rFonts w:eastAsia="Calibri" w:cs="Calibri"/>
          <w:sz w:val="24"/>
          <w:szCs w:val="24"/>
        </w:rPr>
        <w:t>to demonstration and commercialization</w:t>
      </w:r>
      <w:r w:rsidRPr="5F2B9FEB">
        <w:rPr>
          <w:rFonts w:asciiTheme="minorHAnsi" w:hAnsiTheme="minorHAnsi"/>
          <w:sz w:val="24"/>
          <w:szCs w:val="24"/>
        </w:rPr>
        <w:t xml:space="preserve">; </w:t>
      </w:r>
    </w:p>
    <w:p w14:paraId="0F2B2147"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 xml:space="preserve">Sufficiency of technical detail in the application to assess whether the proposed work is scientifically meritorious and revolutionary, including </w:t>
      </w:r>
      <w:r w:rsidRPr="5F2B9FEB">
        <w:rPr>
          <w:rFonts w:asciiTheme="minorHAnsi" w:hAnsiTheme="minorHAnsi"/>
          <w:sz w:val="24"/>
          <w:szCs w:val="24"/>
        </w:rPr>
        <w:lastRenderedPageBreak/>
        <w:t>relevant data, calculations, and discussion of prior work, with analyses that support the viability of the proposed work;</w:t>
      </w:r>
    </w:p>
    <w:p w14:paraId="04A85B8A" w14:textId="7D7CDF0E"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 xml:space="preserve">Extent to which project has buy-in from needed stakeholders to ensure success </w:t>
      </w:r>
      <w:r w:rsidRPr="008B0D95">
        <w:rPr>
          <w:rFonts w:asciiTheme="minorHAnsi" w:hAnsiTheme="minorHAnsi"/>
          <w:sz w:val="24"/>
          <w:szCs w:val="24"/>
        </w:rPr>
        <w:t>of the demonstration</w:t>
      </w:r>
      <w:r w:rsidRPr="5F2B9FEB">
        <w:rPr>
          <w:rFonts w:asciiTheme="minorHAnsi" w:hAnsiTheme="minorHAnsi"/>
          <w:sz w:val="24"/>
          <w:szCs w:val="24"/>
        </w:rPr>
        <w:t>;</w:t>
      </w:r>
    </w:p>
    <w:p w14:paraId="49CC8032"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Degree to which key manufacturing and supply chain challenges are considered, as applicable, for viable scale-up in this and future demonstrations;</w:t>
      </w:r>
    </w:p>
    <w:p w14:paraId="455EC772"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Degree to which siting and environmental constraints are considered for deployment;</w:t>
      </w:r>
    </w:p>
    <w:p w14:paraId="60162C9D"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Extent to which project has the potential to reduce emissions and provide clean energy acceleration benefits for a community or region; and</w:t>
      </w:r>
    </w:p>
    <w:p w14:paraId="4DBA78D2" w14:textId="7777777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Sufficiency of existing infrastructure to support addition of proposed demonstration.</w:t>
      </w:r>
    </w:p>
    <w:p w14:paraId="05B9FED0" w14:textId="77777777" w:rsidR="006361B5" w:rsidRDefault="006361B5" w:rsidP="006361B5">
      <w:pPr>
        <w:pStyle w:val="PlainText"/>
        <w:ind w:left="1440"/>
        <w:rPr>
          <w:rFonts w:asciiTheme="minorHAnsi" w:hAnsiTheme="minorHAnsi"/>
          <w:sz w:val="24"/>
          <w:szCs w:val="24"/>
        </w:rPr>
      </w:pPr>
    </w:p>
    <w:p w14:paraId="4B7121F7" w14:textId="77777777" w:rsidR="006361B5" w:rsidRPr="006C56C2" w:rsidRDefault="006361B5" w:rsidP="006361B5">
      <w:pPr>
        <w:pStyle w:val="PlainText"/>
        <w:ind w:left="1440"/>
        <w:rPr>
          <w:rFonts w:asciiTheme="minorHAnsi" w:hAnsiTheme="minorHAnsi"/>
          <w:sz w:val="24"/>
          <w:szCs w:val="24"/>
          <w:u w:val="single"/>
        </w:rPr>
      </w:pPr>
      <w:r w:rsidRPr="5F2B9FEB">
        <w:rPr>
          <w:rFonts w:asciiTheme="minorHAnsi" w:hAnsiTheme="minorHAnsi"/>
          <w:sz w:val="24"/>
          <w:szCs w:val="24"/>
          <w:u w:val="single"/>
        </w:rPr>
        <w:t>Impact of Technology Advancement</w:t>
      </w:r>
    </w:p>
    <w:p w14:paraId="4E30E79B" w14:textId="77777777" w:rsidR="006361B5" w:rsidRPr="006C3F8A" w:rsidRDefault="006361B5" w:rsidP="006361B5">
      <w:pPr>
        <w:numPr>
          <w:ilvl w:val="0"/>
          <w:numId w:val="120"/>
        </w:numPr>
      </w:pPr>
      <w:r>
        <w:rPr>
          <w:rFonts w:ascii="Calibri" w:eastAsia="Calibri" w:hAnsi="Calibri" w:cs="Calibri"/>
          <w:color w:val="000000" w:themeColor="text1"/>
        </w:rPr>
        <w:t>A</w:t>
      </w:r>
      <w:r w:rsidRPr="103AFDB8">
        <w:rPr>
          <w:rFonts w:ascii="Calibri" w:eastAsia="Calibri" w:hAnsi="Calibri" w:cs="Calibri"/>
          <w:color w:val="000000" w:themeColor="text1"/>
        </w:rPr>
        <w:t xml:space="preserve">bility </w:t>
      </w:r>
      <w:r w:rsidRPr="006C56C2">
        <w:rPr>
          <w:rFonts w:eastAsiaTheme="minorEastAsia" w:cstheme="minorBidi"/>
        </w:rPr>
        <w:t>of the project to advance industry adoption;</w:t>
      </w:r>
    </w:p>
    <w:p w14:paraId="45320E35" w14:textId="77777777" w:rsidR="006361B5" w:rsidRPr="00404CB1" w:rsidRDefault="006361B5" w:rsidP="006361B5">
      <w:pPr>
        <w:numPr>
          <w:ilvl w:val="0"/>
          <w:numId w:val="120"/>
        </w:numPr>
      </w:pPr>
      <w:r w:rsidRPr="006C56C2">
        <w:rPr>
          <w:rFonts w:eastAsiaTheme="minorEastAsia" w:cstheme="minorBidi"/>
        </w:rPr>
        <w:t xml:space="preserve">Extent to which </w:t>
      </w:r>
      <w:r w:rsidRPr="00F51A4A">
        <w:t>the project supports the topic area objectives and target specifications and metrics;</w:t>
      </w:r>
    </w:p>
    <w:p w14:paraId="2C57EC7C" w14:textId="3DAA1207" w:rsidR="006361B5" w:rsidRPr="006C56C2" w:rsidRDefault="006361B5" w:rsidP="006361B5">
      <w:pPr>
        <w:pStyle w:val="PlainText"/>
        <w:numPr>
          <w:ilvl w:val="0"/>
          <w:numId w:val="120"/>
        </w:numPr>
        <w:rPr>
          <w:rFonts w:asciiTheme="minorHAnsi" w:hAnsiTheme="minorHAnsi"/>
          <w:sz w:val="24"/>
          <w:szCs w:val="24"/>
        </w:rPr>
      </w:pPr>
      <w:r w:rsidRPr="5F2B9FEB">
        <w:rPr>
          <w:rFonts w:asciiTheme="minorHAnsi" w:hAnsiTheme="minorHAnsi"/>
          <w:sz w:val="24"/>
          <w:szCs w:val="24"/>
        </w:rPr>
        <w:t>Potential impact of the project on advancing the state</w:t>
      </w:r>
      <w:r w:rsidR="00DF4B82">
        <w:rPr>
          <w:rFonts w:asciiTheme="minorHAnsi" w:hAnsiTheme="minorHAnsi"/>
          <w:sz w:val="24"/>
          <w:szCs w:val="24"/>
        </w:rPr>
        <w:t xml:space="preserve"> </w:t>
      </w:r>
      <w:r w:rsidRPr="5F2B9FEB">
        <w:rPr>
          <w:rFonts w:asciiTheme="minorHAnsi" w:hAnsiTheme="minorHAnsi"/>
          <w:sz w:val="24"/>
          <w:szCs w:val="24"/>
        </w:rPr>
        <w:t>of</w:t>
      </w:r>
      <w:r w:rsidR="00DF4B82">
        <w:rPr>
          <w:rFonts w:asciiTheme="minorHAnsi" w:hAnsiTheme="minorHAnsi"/>
          <w:sz w:val="24"/>
          <w:szCs w:val="24"/>
        </w:rPr>
        <w:t xml:space="preserve"> </w:t>
      </w:r>
      <w:r w:rsidRPr="5F2B9FEB">
        <w:rPr>
          <w:rFonts w:asciiTheme="minorHAnsi" w:hAnsiTheme="minorHAnsi"/>
          <w:sz w:val="24"/>
          <w:szCs w:val="24"/>
        </w:rPr>
        <w:t>the</w:t>
      </w:r>
      <w:r w:rsidR="00DF4B82">
        <w:rPr>
          <w:rFonts w:asciiTheme="minorHAnsi" w:hAnsiTheme="minorHAnsi"/>
          <w:sz w:val="24"/>
          <w:szCs w:val="24"/>
        </w:rPr>
        <w:t xml:space="preserve"> </w:t>
      </w:r>
      <w:r w:rsidRPr="5F2B9FEB">
        <w:rPr>
          <w:rFonts w:asciiTheme="minorHAnsi" w:hAnsiTheme="minorHAnsi"/>
          <w:sz w:val="24"/>
          <w:szCs w:val="24"/>
        </w:rPr>
        <w:t>art;</w:t>
      </w:r>
    </w:p>
    <w:p w14:paraId="441813BC" w14:textId="77777777" w:rsidR="006361B5" w:rsidRPr="006C3F8A" w:rsidRDefault="006361B5" w:rsidP="006361B5">
      <w:pPr>
        <w:numPr>
          <w:ilvl w:val="0"/>
          <w:numId w:val="120"/>
        </w:numPr>
      </w:pPr>
      <w:r w:rsidRPr="00485B3B">
        <w:t>Extent to which demonstration/deployment is replicable and may lead to future demonstrations</w:t>
      </w:r>
      <w:r>
        <w:t>; and</w:t>
      </w:r>
    </w:p>
    <w:p w14:paraId="6AB9E019" w14:textId="77777777" w:rsidR="006361B5" w:rsidRPr="00DB2099" w:rsidRDefault="006361B5" w:rsidP="006361B5">
      <w:pPr>
        <w:numPr>
          <w:ilvl w:val="0"/>
          <w:numId w:val="120"/>
        </w:numPr>
      </w:pPr>
      <w:r>
        <w:t>Extent to which the project facilitates stakeholder relationships across new or existing stakeholders to gain technical buy-in and increase potential for future deployments.</w:t>
      </w:r>
    </w:p>
    <w:p w14:paraId="77D6FFE3" w14:textId="77777777" w:rsidR="006361B5" w:rsidRDefault="006361B5" w:rsidP="006361B5"/>
    <w:p w14:paraId="0E239B62" w14:textId="77777777" w:rsidR="006361B5" w:rsidRPr="006C56C2" w:rsidRDefault="006361B5" w:rsidP="006361B5">
      <w:pPr>
        <w:ind w:left="1440"/>
        <w:rPr>
          <w:rFonts w:eastAsiaTheme="minorEastAsia"/>
          <w:color w:val="000000" w:themeColor="text1"/>
        </w:rPr>
      </w:pPr>
      <w:r w:rsidRPr="5F2B9FEB">
        <w:rPr>
          <w:rFonts w:eastAsiaTheme="minorEastAsia"/>
          <w:u w:val="single"/>
        </w:rPr>
        <w:t xml:space="preserve">Project </w:t>
      </w:r>
      <w:r w:rsidRPr="006C3F8A">
        <w:rPr>
          <w:rFonts w:ascii="Calibri" w:eastAsia="Calibri" w:hAnsi="Calibri" w:cs="Calibri"/>
          <w:color w:val="000000" w:themeColor="text1"/>
          <w:u w:val="single"/>
        </w:rPr>
        <w:t>Management</w:t>
      </w:r>
    </w:p>
    <w:p w14:paraId="070CB215" w14:textId="77777777" w:rsidR="006361B5" w:rsidRPr="006C56C2" w:rsidRDefault="006361B5" w:rsidP="006361B5">
      <w:pPr>
        <w:numPr>
          <w:ilvl w:val="0"/>
          <w:numId w:val="86"/>
        </w:numPr>
        <w:ind w:left="1800"/>
        <w:rPr>
          <w:rFonts w:eastAsiaTheme="minorEastAsia"/>
        </w:rPr>
      </w:pPr>
      <w:r w:rsidRPr="006C56C2">
        <w:rPr>
          <w:rFonts w:eastAsiaTheme="minorEastAsia" w:cstheme="minorBidi"/>
        </w:rPr>
        <w:t>Adequacy of proposed project management systems including the ability to track scope, cost, and schedule progress and changes;</w:t>
      </w:r>
    </w:p>
    <w:p w14:paraId="0D187AF1" w14:textId="77777777" w:rsidR="006361B5" w:rsidRDefault="006361B5" w:rsidP="006361B5">
      <w:pPr>
        <w:numPr>
          <w:ilvl w:val="0"/>
          <w:numId w:val="86"/>
        </w:numPr>
        <w:ind w:left="1800"/>
        <w:rPr>
          <w:rFonts w:ascii="Symbol" w:hAnsi="Symbol"/>
        </w:rPr>
      </w:pPr>
      <w:r>
        <w:t>Reasonableness</w:t>
      </w:r>
      <w:r w:rsidRPr="006C56C2">
        <w:t xml:space="preserve"> </w:t>
      </w:r>
      <w:r>
        <w:t>of</w:t>
      </w:r>
      <w:r w:rsidRPr="006C56C2">
        <w:t xml:space="preserve"> </w:t>
      </w:r>
      <w:r>
        <w:t>budget</w:t>
      </w:r>
      <w:r w:rsidRPr="006C56C2">
        <w:t xml:space="preserve"> </w:t>
      </w:r>
      <w:r>
        <w:t>and</w:t>
      </w:r>
      <w:r w:rsidRPr="006C56C2">
        <w:t xml:space="preserve"> </w:t>
      </w:r>
      <w:r>
        <w:t>spend</w:t>
      </w:r>
      <w:r w:rsidRPr="006C56C2">
        <w:t xml:space="preserve"> </w:t>
      </w:r>
      <w:r>
        <w:t>plan</w:t>
      </w:r>
      <w:r w:rsidRPr="006C56C2">
        <w:t xml:space="preserve"> </w:t>
      </w:r>
      <w:r>
        <w:t>as</w:t>
      </w:r>
      <w:r w:rsidRPr="006C56C2">
        <w:t xml:space="preserve"> </w:t>
      </w:r>
      <w:r>
        <w:t>detailed</w:t>
      </w:r>
      <w:r w:rsidRPr="006C56C2">
        <w:t xml:space="preserve"> </w:t>
      </w:r>
      <w:r>
        <w:t>in</w:t>
      </w:r>
      <w:r w:rsidRPr="006C56C2">
        <w:t xml:space="preserve"> </w:t>
      </w:r>
      <w:r>
        <w:t>the</w:t>
      </w:r>
      <w:r w:rsidRPr="006C56C2">
        <w:t xml:space="preserve"> </w:t>
      </w:r>
      <w:r>
        <w:t>budget justification workbook for proposed project and objectives;</w:t>
      </w:r>
    </w:p>
    <w:p w14:paraId="7F312293" w14:textId="77777777" w:rsidR="006361B5" w:rsidRPr="006C56C2" w:rsidRDefault="006361B5" w:rsidP="006361B5">
      <w:pPr>
        <w:numPr>
          <w:ilvl w:val="0"/>
          <w:numId w:val="86"/>
        </w:numPr>
        <w:ind w:left="1800"/>
        <w:rPr>
          <w:rFonts w:eastAsiaTheme="minorEastAsia"/>
        </w:rPr>
      </w:pPr>
      <w:r w:rsidRPr="006C56C2">
        <w:rPr>
          <w:rFonts w:eastAsiaTheme="minorEastAsia" w:cstheme="minorBidi"/>
        </w:rPr>
        <w:t>Adequacy of contingency funding based on quality of cost estimate and identified risks;</w:t>
      </w:r>
    </w:p>
    <w:p w14:paraId="1B0855FE" w14:textId="77777777" w:rsidR="006361B5" w:rsidRPr="006C56C2" w:rsidRDefault="006361B5" w:rsidP="006361B5">
      <w:pPr>
        <w:numPr>
          <w:ilvl w:val="0"/>
          <w:numId w:val="86"/>
        </w:numPr>
        <w:ind w:left="1800"/>
        <w:rPr>
          <w:rFonts w:eastAsiaTheme="minorEastAsia"/>
        </w:rPr>
      </w:pPr>
      <w:r w:rsidRPr="006C56C2">
        <w:rPr>
          <w:rFonts w:eastAsiaTheme="minorEastAsia" w:cstheme="minorBidi"/>
        </w:rPr>
        <w:t>Adequacy, reasonableness, and soundness of the project schedule, as well as periodic Go/No-Go decisions prior to further funds disbursement, interim milestones, and metrics to track process;</w:t>
      </w:r>
    </w:p>
    <w:p w14:paraId="29D7BD07" w14:textId="77777777" w:rsidR="006361B5" w:rsidRPr="006C56C2" w:rsidRDefault="006361B5" w:rsidP="006361B5">
      <w:pPr>
        <w:numPr>
          <w:ilvl w:val="0"/>
          <w:numId w:val="86"/>
        </w:numPr>
        <w:ind w:left="1800"/>
        <w:rPr>
          <w:rFonts w:eastAsiaTheme="minorEastAsia"/>
          <w:color w:val="000000" w:themeColor="text1"/>
        </w:rPr>
      </w:pPr>
      <w:r w:rsidRPr="006C56C2">
        <w:rPr>
          <w:rFonts w:eastAsiaTheme="minorEastAsia" w:cstheme="minorBidi"/>
        </w:rPr>
        <w:t>Adequacy, reasonableness, and soundness of the project schedule, as well as annual Go</w:t>
      </w:r>
      <w:r w:rsidRPr="5F2B9FEB">
        <w:rPr>
          <w:rFonts w:eastAsiaTheme="minorEastAsia"/>
          <w:color w:val="000000" w:themeColor="text1"/>
        </w:rPr>
        <w:t>/No-Go decisions prior to a budget period continuation application, interim milestones, and metrics to track process;</w:t>
      </w:r>
    </w:p>
    <w:p w14:paraId="547B8185" w14:textId="77777777" w:rsidR="006361B5" w:rsidRPr="00E54683" w:rsidRDefault="006361B5" w:rsidP="006361B5">
      <w:pPr>
        <w:numPr>
          <w:ilvl w:val="0"/>
          <w:numId w:val="86"/>
        </w:numPr>
        <w:ind w:left="1800"/>
      </w:pPr>
      <w:r w:rsidRPr="006C56C2">
        <w:rPr>
          <w:rFonts w:eastAsiaTheme="minorEastAsia" w:cstheme="minorBidi"/>
        </w:rPr>
        <w:t>Adequacy of the identification of risks, including labor and community opposition or disputes, and “timely” and appropriate strategies for mitigation and resolution; and</w:t>
      </w:r>
    </w:p>
    <w:p w14:paraId="2124AC33" w14:textId="77777777" w:rsidR="006361B5" w:rsidRPr="00E54683" w:rsidRDefault="006361B5" w:rsidP="006361B5">
      <w:pPr>
        <w:numPr>
          <w:ilvl w:val="0"/>
          <w:numId w:val="86"/>
        </w:numPr>
        <w:ind w:left="1800"/>
      </w:pPr>
      <w:r w:rsidRPr="006C56C2">
        <w:rPr>
          <w:rFonts w:eastAsiaTheme="minorEastAsia" w:cstheme="minorBidi"/>
        </w:rPr>
        <w:lastRenderedPageBreak/>
        <w:t>Soundness of a plan to expeditiously address environmental, siting, and other regulatory requirements for the project, including evaluation of resilience to climate change</w:t>
      </w:r>
      <w:r w:rsidRPr="5F2B9FEB">
        <w:rPr>
          <w:rFonts w:eastAsiaTheme="minorEastAsia"/>
          <w:color w:val="000000" w:themeColor="text1"/>
        </w:rPr>
        <w:t>.</w:t>
      </w:r>
    </w:p>
    <w:p w14:paraId="16EEF50D" w14:textId="77777777" w:rsidR="006361B5" w:rsidRPr="00B31DB2" w:rsidRDefault="006361B5" w:rsidP="006361B5">
      <w:pPr>
        <w:pStyle w:val="PlainText"/>
        <w:ind w:left="1440"/>
        <w:rPr>
          <w:rFonts w:asciiTheme="minorHAnsi" w:hAnsiTheme="minorHAnsi"/>
          <w:sz w:val="24"/>
          <w:szCs w:val="24"/>
        </w:rPr>
      </w:pPr>
    </w:p>
    <w:p w14:paraId="683BA300" w14:textId="3A8628A7" w:rsidR="006361B5" w:rsidRPr="006C56C2" w:rsidRDefault="006361B5" w:rsidP="006361B5">
      <w:pPr>
        <w:pStyle w:val="PlainText"/>
        <w:ind w:left="1440"/>
        <w:rPr>
          <w:rFonts w:asciiTheme="minorHAnsi" w:hAnsiTheme="minorHAnsi"/>
          <w:b/>
          <w:bCs/>
          <w:sz w:val="24"/>
          <w:szCs w:val="24"/>
        </w:rPr>
      </w:pPr>
      <w:r w:rsidRPr="5F2B9FEB">
        <w:rPr>
          <w:rFonts w:asciiTheme="minorHAnsi" w:hAnsiTheme="minorHAnsi"/>
          <w:b/>
          <w:bCs/>
          <w:sz w:val="24"/>
          <w:szCs w:val="24"/>
        </w:rPr>
        <w:t>Criterion 2: Project Research and Market Transformation Plan (</w:t>
      </w:r>
      <w:r w:rsidRPr="008B0D95">
        <w:rPr>
          <w:rFonts w:asciiTheme="minorHAnsi" w:hAnsiTheme="minorHAnsi"/>
          <w:b/>
          <w:bCs/>
          <w:sz w:val="24"/>
          <w:szCs w:val="24"/>
        </w:rPr>
        <w:t>2</w:t>
      </w:r>
      <w:r w:rsidR="008D0595">
        <w:rPr>
          <w:rFonts w:asciiTheme="minorHAnsi" w:hAnsiTheme="minorHAnsi"/>
          <w:b/>
          <w:bCs/>
          <w:sz w:val="24"/>
          <w:szCs w:val="24"/>
        </w:rPr>
        <w:t>0</w:t>
      </w:r>
      <w:r w:rsidRPr="008B0D95">
        <w:rPr>
          <w:rFonts w:asciiTheme="minorHAnsi" w:hAnsiTheme="minorHAnsi"/>
          <w:b/>
          <w:bCs/>
          <w:sz w:val="24"/>
          <w:szCs w:val="24"/>
        </w:rPr>
        <w:t>%</w:t>
      </w:r>
      <w:r w:rsidRPr="00E01C64">
        <w:rPr>
          <w:rFonts w:asciiTheme="minorHAnsi" w:hAnsiTheme="minorHAnsi"/>
          <w:b/>
          <w:bCs/>
          <w:sz w:val="24"/>
          <w:szCs w:val="24"/>
        </w:rPr>
        <w:t>)</w:t>
      </w:r>
    </w:p>
    <w:p w14:paraId="52E92871" w14:textId="77777777" w:rsidR="006361B5" w:rsidRPr="006C56C2" w:rsidRDefault="006361B5" w:rsidP="006361B5">
      <w:pPr>
        <w:pStyle w:val="PlainText"/>
        <w:ind w:left="1440"/>
        <w:rPr>
          <w:rFonts w:asciiTheme="minorHAnsi" w:hAnsiTheme="minorHAnsi"/>
          <w:sz w:val="24"/>
          <w:szCs w:val="24"/>
        </w:rPr>
      </w:pPr>
      <w:r w:rsidRPr="5F2B9FEB">
        <w:rPr>
          <w:rFonts w:asciiTheme="minorHAnsi" w:hAnsiTheme="minorHAnsi"/>
          <w:sz w:val="24"/>
          <w:szCs w:val="24"/>
        </w:rPr>
        <w:t>This criterion involves consideration of the following factors:</w:t>
      </w:r>
    </w:p>
    <w:p w14:paraId="55C1510A" w14:textId="77777777" w:rsidR="006361B5" w:rsidRDefault="006361B5" w:rsidP="006361B5">
      <w:pPr>
        <w:pStyle w:val="PlainText"/>
        <w:ind w:left="1440"/>
        <w:rPr>
          <w:rFonts w:asciiTheme="minorHAnsi" w:hAnsiTheme="minorHAnsi"/>
          <w:sz w:val="24"/>
          <w:szCs w:val="24"/>
        </w:rPr>
      </w:pPr>
    </w:p>
    <w:p w14:paraId="744ECC3D" w14:textId="4C76FEB0" w:rsidR="006361B5" w:rsidRPr="006C56C2" w:rsidRDefault="006361B5" w:rsidP="006361B5">
      <w:pPr>
        <w:pStyle w:val="PlainText"/>
        <w:ind w:left="1440"/>
        <w:rPr>
          <w:rFonts w:asciiTheme="minorHAnsi" w:hAnsiTheme="minorHAnsi"/>
          <w:sz w:val="24"/>
          <w:szCs w:val="24"/>
          <w:u w:val="single"/>
        </w:rPr>
      </w:pPr>
      <w:r w:rsidRPr="5F2B9FEB">
        <w:rPr>
          <w:rFonts w:asciiTheme="minorHAnsi" w:hAnsiTheme="minorHAnsi"/>
          <w:sz w:val="24"/>
          <w:szCs w:val="24"/>
          <w:u w:val="single"/>
        </w:rPr>
        <w:t>Research Approach, Workplan</w:t>
      </w:r>
      <w:r w:rsidR="00365895">
        <w:rPr>
          <w:rFonts w:asciiTheme="minorHAnsi" w:hAnsiTheme="minorHAnsi"/>
          <w:sz w:val="24"/>
          <w:szCs w:val="24"/>
          <w:u w:val="single"/>
        </w:rPr>
        <w:t>,</w:t>
      </w:r>
      <w:r w:rsidRPr="5F2B9FEB">
        <w:rPr>
          <w:rFonts w:asciiTheme="minorHAnsi" w:hAnsiTheme="minorHAnsi"/>
          <w:sz w:val="24"/>
          <w:szCs w:val="24"/>
          <w:u w:val="single"/>
        </w:rPr>
        <w:t xml:space="preserve"> and SOPO</w:t>
      </w:r>
    </w:p>
    <w:p w14:paraId="0DFE37AD" w14:textId="77777777" w:rsidR="006361B5" w:rsidRPr="006C56C2" w:rsidRDefault="006361B5" w:rsidP="006361B5">
      <w:pPr>
        <w:pStyle w:val="PlainText"/>
        <w:numPr>
          <w:ilvl w:val="0"/>
          <w:numId w:val="123"/>
        </w:numPr>
        <w:rPr>
          <w:rFonts w:asciiTheme="minorHAnsi" w:hAnsiTheme="minorHAnsi"/>
          <w:sz w:val="24"/>
          <w:szCs w:val="24"/>
        </w:rPr>
      </w:pPr>
      <w:r w:rsidRPr="5F2B9FEB">
        <w:rPr>
          <w:rFonts w:asciiTheme="minorHAnsi" w:hAnsiTheme="minorHAnsi"/>
          <w:sz w:val="24"/>
          <w:szCs w:val="24"/>
        </w:rPr>
        <w:t>Degree to which the approach and critical path have been clearly described and thoughtfully considered; and</w:t>
      </w:r>
    </w:p>
    <w:p w14:paraId="6CAA9088" w14:textId="77777777" w:rsidR="006361B5" w:rsidRPr="006C56C2" w:rsidRDefault="006361B5" w:rsidP="006361B5">
      <w:pPr>
        <w:pStyle w:val="PlainText"/>
        <w:numPr>
          <w:ilvl w:val="0"/>
          <w:numId w:val="123"/>
        </w:numPr>
        <w:rPr>
          <w:rFonts w:asciiTheme="minorHAnsi" w:hAnsiTheme="minorHAnsi"/>
          <w:sz w:val="24"/>
          <w:szCs w:val="24"/>
        </w:rPr>
      </w:pPr>
      <w:r w:rsidRPr="5F2B9FEB">
        <w:rPr>
          <w:rFonts w:asciiTheme="minorHAnsi" w:hAnsiTheme="minorHAnsi"/>
          <w:sz w:val="24"/>
          <w:szCs w:val="24"/>
        </w:rPr>
        <w:t>Degree to which the task descriptions are clear, detailed, timely, and reasonable, resulting in a high likelihood that the proposed Workplan and SOPO will succeed in meeting the project goals.</w:t>
      </w:r>
    </w:p>
    <w:p w14:paraId="6677A372" w14:textId="77777777" w:rsidR="006361B5" w:rsidRDefault="006361B5" w:rsidP="006361B5">
      <w:pPr>
        <w:pStyle w:val="PlainText"/>
        <w:ind w:left="1440"/>
        <w:rPr>
          <w:rFonts w:asciiTheme="minorHAnsi" w:hAnsiTheme="minorHAnsi"/>
          <w:sz w:val="24"/>
          <w:szCs w:val="24"/>
        </w:rPr>
      </w:pPr>
    </w:p>
    <w:p w14:paraId="16C637F0" w14:textId="77777777" w:rsidR="006361B5" w:rsidRPr="006C56C2" w:rsidRDefault="006361B5" w:rsidP="006361B5">
      <w:pPr>
        <w:pStyle w:val="PlainText"/>
        <w:ind w:left="1440"/>
        <w:rPr>
          <w:rFonts w:asciiTheme="minorHAnsi" w:hAnsiTheme="minorHAnsi"/>
          <w:sz w:val="24"/>
          <w:szCs w:val="24"/>
          <w:u w:val="single"/>
        </w:rPr>
      </w:pPr>
      <w:r w:rsidRPr="5F2B9FEB">
        <w:rPr>
          <w:rFonts w:asciiTheme="minorHAnsi" w:hAnsiTheme="minorHAnsi"/>
          <w:sz w:val="24"/>
          <w:szCs w:val="24"/>
          <w:u w:val="single"/>
        </w:rPr>
        <w:t>Identification of Technical Risks</w:t>
      </w:r>
    </w:p>
    <w:p w14:paraId="4D5CBEC4" w14:textId="77777777" w:rsidR="006361B5" w:rsidRPr="006C56C2" w:rsidRDefault="006361B5" w:rsidP="006361B5">
      <w:pPr>
        <w:pStyle w:val="PlainText"/>
        <w:numPr>
          <w:ilvl w:val="0"/>
          <w:numId w:val="124"/>
        </w:numPr>
        <w:rPr>
          <w:rFonts w:asciiTheme="minorHAnsi" w:hAnsiTheme="minorHAnsi"/>
          <w:sz w:val="24"/>
          <w:szCs w:val="24"/>
        </w:rPr>
      </w:pPr>
      <w:r w:rsidRPr="5F2B9FEB">
        <w:rPr>
          <w:rFonts w:asciiTheme="minorHAnsi" w:hAnsiTheme="minorHAnsi"/>
          <w:sz w:val="24"/>
          <w:szCs w:val="24"/>
        </w:rPr>
        <w:t>Discussion and demonstrated understanding of the key technical risk areas involved in the proposed work and the quality of the mitigation strategies to address them.</w:t>
      </w:r>
    </w:p>
    <w:p w14:paraId="7A0F311A" w14:textId="77777777" w:rsidR="006361B5" w:rsidRDefault="006361B5" w:rsidP="006361B5">
      <w:pPr>
        <w:pStyle w:val="PlainText"/>
        <w:ind w:left="1440"/>
        <w:rPr>
          <w:rFonts w:asciiTheme="minorHAnsi" w:hAnsiTheme="minorHAnsi"/>
          <w:sz w:val="24"/>
          <w:szCs w:val="24"/>
        </w:rPr>
      </w:pPr>
    </w:p>
    <w:p w14:paraId="33DBB2B9" w14:textId="77777777" w:rsidR="006361B5" w:rsidRPr="006C56C2" w:rsidRDefault="006361B5" w:rsidP="006361B5">
      <w:pPr>
        <w:pStyle w:val="PlainText"/>
        <w:ind w:left="1440"/>
        <w:rPr>
          <w:rFonts w:asciiTheme="minorHAnsi" w:hAnsiTheme="minorHAnsi"/>
          <w:sz w:val="24"/>
          <w:szCs w:val="24"/>
          <w:u w:val="single"/>
        </w:rPr>
      </w:pPr>
      <w:r w:rsidRPr="5F2B9FEB">
        <w:rPr>
          <w:rFonts w:asciiTheme="minorHAnsi" w:hAnsiTheme="minorHAnsi"/>
          <w:sz w:val="24"/>
          <w:szCs w:val="24"/>
          <w:u w:val="single"/>
        </w:rPr>
        <w:t>Baseline, Metrics, and Deliverables</w:t>
      </w:r>
    </w:p>
    <w:p w14:paraId="0E643BDA" w14:textId="77777777" w:rsidR="006361B5" w:rsidRPr="006C56C2" w:rsidRDefault="006361B5" w:rsidP="006361B5">
      <w:pPr>
        <w:pStyle w:val="PlainText"/>
        <w:numPr>
          <w:ilvl w:val="0"/>
          <w:numId w:val="124"/>
        </w:numPr>
        <w:rPr>
          <w:rFonts w:asciiTheme="minorHAnsi" w:hAnsiTheme="minorHAnsi"/>
          <w:sz w:val="24"/>
          <w:szCs w:val="24"/>
        </w:rPr>
      </w:pPr>
      <w:r w:rsidRPr="5F2B9FEB">
        <w:rPr>
          <w:rFonts w:asciiTheme="minorHAnsi" w:hAnsiTheme="minorHAnsi"/>
          <w:sz w:val="24"/>
          <w:szCs w:val="24"/>
        </w:rPr>
        <w:t>Level of clarity in the definition of the baseline, metrics, and milestones; and</w:t>
      </w:r>
    </w:p>
    <w:p w14:paraId="3658C91A" w14:textId="77777777" w:rsidR="006361B5" w:rsidRPr="006C56C2" w:rsidRDefault="006361B5" w:rsidP="006361B5">
      <w:pPr>
        <w:pStyle w:val="PlainText"/>
        <w:numPr>
          <w:ilvl w:val="0"/>
          <w:numId w:val="124"/>
        </w:numPr>
        <w:rPr>
          <w:rFonts w:asciiTheme="minorHAnsi" w:hAnsiTheme="minorHAnsi"/>
          <w:sz w:val="24"/>
          <w:szCs w:val="24"/>
        </w:rPr>
      </w:pPr>
      <w:r w:rsidRPr="5F2B9FEB">
        <w:rPr>
          <w:rFonts w:asciiTheme="minorHAnsi" w:hAnsiTheme="minorHAnsi"/>
          <w:sz w:val="24"/>
          <w:szCs w:val="24"/>
        </w:rPr>
        <w:t>Relative to a clearly defined project baseline, the strength of the quantifiable metrics, milestones, and mid-point deliverables defined in the application, such that meaningful interim progress will be made.</w:t>
      </w:r>
    </w:p>
    <w:p w14:paraId="0727B90D" w14:textId="77777777" w:rsidR="006361B5" w:rsidRDefault="006361B5" w:rsidP="006361B5">
      <w:pPr>
        <w:pStyle w:val="PlainText"/>
        <w:ind w:left="1440"/>
        <w:rPr>
          <w:rFonts w:asciiTheme="minorHAnsi" w:hAnsiTheme="minorHAnsi"/>
          <w:sz w:val="24"/>
          <w:szCs w:val="24"/>
        </w:rPr>
      </w:pPr>
    </w:p>
    <w:p w14:paraId="19F2C998" w14:textId="77777777" w:rsidR="006361B5" w:rsidRPr="006C56C2" w:rsidRDefault="006361B5" w:rsidP="006361B5">
      <w:pPr>
        <w:pStyle w:val="PlainText"/>
        <w:ind w:left="1440"/>
        <w:rPr>
          <w:rFonts w:asciiTheme="minorHAnsi" w:hAnsiTheme="minorHAnsi"/>
          <w:sz w:val="24"/>
          <w:szCs w:val="24"/>
          <w:u w:val="single"/>
        </w:rPr>
      </w:pPr>
      <w:r w:rsidRPr="5F2B9FEB">
        <w:rPr>
          <w:rFonts w:asciiTheme="minorHAnsi" w:hAnsiTheme="minorHAnsi"/>
          <w:sz w:val="24"/>
          <w:szCs w:val="24"/>
          <w:u w:val="single"/>
        </w:rPr>
        <w:t>Market Transformation Plan</w:t>
      </w:r>
    </w:p>
    <w:p w14:paraId="122C8398" w14:textId="77777777" w:rsidR="006361B5" w:rsidRPr="006C56C2" w:rsidRDefault="006361B5" w:rsidP="006361B5">
      <w:pPr>
        <w:pStyle w:val="PlainText"/>
        <w:numPr>
          <w:ilvl w:val="0"/>
          <w:numId w:val="125"/>
        </w:numPr>
        <w:rPr>
          <w:rFonts w:asciiTheme="minorHAnsi" w:hAnsiTheme="minorHAnsi"/>
          <w:sz w:val="24"/>
          <w:szCs w:val="24"/>
        </w:rPr>
      </w:pPr>
      <w:r w:rsidRPr="5F2B9FEB">
        <w:rPr>
          <w:rFonts w:asciiTheme="minorHAnsi" w:hAnsiTheme="minorHAnsi"/>
          <w:sz w:val="24"/>
          <w:szCs w:val="24"/>
        </w:rPr>
        <w:t>Identification of target market, competitors, and distribution channels for proposed technology along with known or perceived barriers to market penetration, including mitigation plan; and</w:t>
      </w:r>
    </w:p>
    <w:p w14:paraId="50C11A9C" w14:textId="52A8809F" w:rsidR="006361B5" w:rsidRPr="006C56C2" w:rsidRDefault="006361B5" w:rsidP="006361B5">
      <w:pPr>
        <w:pStyle w:val="PlainText"/>
        <w:numPr>
          <w:ilvl w:val="0"/>
          <w:numId w:val="125"/>
        </w:numPr>
        <w:rPr>
          <w:rFonts w:asciiTheme="minorHAnsi" w:hAnsiTheme="minorHAnsi"/>
          <w:sz w:val="24"/>
          <w:szCs w:val="24"/>
        </w:rPr>
      </w:pPr>
      <w:r w:rsidRPr="5F2B9FEB">
        <w:rPr>
          <w:rFonts w:asciiTheme="minorHAnsi" w:hAnsiTheme="minorHAnsi"/>
          <w:sz w:val="24"/>
          <w:szCs w:val="24"/>
        </w:rPr>
        <w:t>Comprehensiveness of market transformation plan including but not limited to product development and/or service plan, commercialization timeline, financing, product marketing, legal/regulatory considerations including intellectual property, infrastructure requirements</w:t>
      </w:r>
      <w:r w:rsidRPr="00D24564">
        <w:rPr>
          <w:rFonts w:asciiTheme="minorHAnsi" w:hAnsiTheme="minorHAnsi"/>
          <w:sz w:val="24"/>
          <w:szCs w:val="24"/>
        </w:rPr>
        <w:t xml:space="preserve">, etc., </w:t>
      </w:r>
      <w:r w:rsidRPr="5F2B9FEB">
        <w:rPr>
          <w:rFonts w:asciiTheme="minorHAnsi" w:hAnsiTheme="minorHAnsi"/>
          <w:sz w:val="24"/>
          <w:szCs w:val="24"/>
        </w:rPr>
        <w:t>and product distribution.</w:t>
      </w:r>
    </w:p>
    <w:p w14:paraId="1B26BBF3" w14:textId="77777777" w:rsidR="006361B5" w:rsidRDefault="006361B5" w:rsidP="006361B5">
      <w:pPr>
        <w:pStyle w:val="PlainText"/>
        <w:ind w:left="1440"/>
        <w:rPr>
          <w:rFonts w:asciiTheme="minorHAnsi" w:hAnsiTheme="minorHAnsi"/>
          <w:sz w:val="24"/>
          <w:szCs w:val="24"/>
        </w:rPr>
      </w:pPr>
    </w:p>
    <w:p w14:paraId="3805149F" w14:textId="77777777" w:rsidR="006361B5" w:rsidRDefault="006361B5" w:rsidP="006361B5">
      <w:pPr>
        <w:ind w:left="1440"/>
        <w:rPr>
          <w:u w:val="single"/>
        </w:rPr>
      </w:pPr>
      <w:r w:rsidRPr="103AFDB8">
        <w:rPr>
          <w:rFonts w:ascii="Calibri" w:eastAsia="Calibri" w:hAnsi="Calibri" w:cs="Calibri"/>
          <w:u w:val="single"/>
        </w:rPr>
        <w:t>Industry Adoption Plan</w:t>
      </w:r>
    </w:p>
    <w:p w14:paraId="35F4EC35" w14:textId="77777777" w:rsidR="006361B5" w:rsidRPr="006C56C2" w:rsidRDefault="006361B5" w:rsidP="006361B5">
      <w:pPr>
        <w:numPr>
          <w:ilvl w:val="0"/>
          <w:numId w:val="86"/>
        </w:numPr>
        <w:ind w:left="1800"/>
        <w:rPr>
          <w:rFonts w:eastAsiaTheme="minorEastAsia"/>
        </w:rPr>
      </w:pPr>
      <w:r w:rsidRPr="46736724">
        <w:rPr>
          <w:rFonts w:ascii="Calibri" w:eastAsia="Calibri" w:hAnsi="Calibri" w:cs="Calibri"/>
        </w:rPr>
        <w:t>Identification of the interest and extent of industry adoption of the technology/process.</w:t>
      </w:r>
    </w:p>
    <w:p w14:paraId="10167BEF" w14:textId="77777777" w:rsidR="006361B5" w:rsidRDefault="006361B5" w:rsidP="006361B5">
      <w:pPr>
        <w:pStyle w:val="PlainText"/>
        <w:ind w:left="1440"/>
        <w:rPr>
          <w:rFonts w:asciiTheme="minorHAnsi" w:hAnsiTheme="minorHAnsi"/>
          <w:sz w:val="24"/>
          <w:szCs w:val="24"/>
        </w:rPr>
      </w:pPr>
    </w:p>
    <w:p w14:paraId="1990B834" w14:textId="77777777" w:rsidR="001D6622" w:rsidRDefault="001D6622" w:rsidP="006361B5">
      <w:pPr>
        <w:pStyle w:val="PlainText"/>
        <w:ind w:left="1440"/>
        <w:rPr>
          <w:rFonts w:asciiTheme="minorHAnsi" w:hAnsiTheme="minorHAnsi"/>
          <w:sz w:val="24"/>
          <w:szCs w:val="24"/>
        </w:rPr>
      </w:pPr>
    </w:p>
    <w:p w14:paraId="0D6C7354" w14:textId="77777777" w:rsidR="001D6622" w:rsidRDefault="001D6622" w:rsidP="006361B5">
      <w:pPr>
        <w:pStyle w:val="PlainText"/>
        <w:ind w:left="1440"/>
        <w:rPr>
          <w:rFonts w:asciiTheme="minorHAnsi" w:hAnsiTheme="minorHAnsi"/>
          <w:sz w:val="24"/>
          <w:szCs w:val="24"/>
        </w:rPr>
      </w:pPr>
    </w:p>
    <w:p w14:paraId="1C5CB0EA" w14:textId="77777777" w:rsidR="001D6622" w:rsidRDefault="001D6622" w:rsidP="006361B5">
      <w:pPr>
        <w:pStyle w:val="PlainText"/>
        <w:ind w:left="1440"/>
        <w:rPr>
          <w:rFonts w:asciiTheme="minorHAnsi" w:hAnsiTheme="minorHAnsi"/>
          <w:sz w:val="24"/>
          <w:szCs w:val="24"/>
        </w:rPr>
      </w:pPr>
    </w:p>
    <w:p w14:paraId="16058230" w14:textId="77777777" w:rsidR="001D6622" w:rsidRPr="00B31DB2" w:rsidRDefault="001D6622" w:rsidP="006361B5">
      <w:pPr>
        <w:pStyle w:val="PlainText"/>
        <w:ind w:left="1440"/>
        <w:rPr>
          <w:rFonts w:asciiTheme="minorHAnsi" w:hAnsiTheme="minorHAnsi"/>
          <w:sz w:val="24"/>
          <w:szCs w:val="24"/>
        </w:rPr>
      </w:pPr>
    </w:p>
    <w:p w14:paraId="499D28A9" w14:textId="47D25F37" w:rsidR="006361B5" w:rsidRPr="006C56C2" w:rsidRDefault="006361B5" w:rsidP="006361B5">
      <w:pPr>
        <w:pStyle w:val="PlainText"/>
        <w:ind w:left="1440"/>
        <w:rPr>
          <w:rFonts w:asciiTheme="minorHAnsi" w:hAnsiTheme="minorHAnsi"/>
          <w:b/>
          <w:bCs/>
          <w:sz w:val="24"/>
          <w:szCs w:val="24"/>
        </w:rPr>
      </w:pPr>
      <w:r w:rsidRPr="5F2B9FEB">
        <w:rPr>
          <w:rFonts w:asciiTheme="minorHAnsi" w:hAnsiTheme="minorHAnsi"/>
          <w:b/>
          <w:bCs/>
          <w:sz w:val="24"/>
          <w:szCs w:val="24"/>
        </w:rPr>
        <w:lastRenderedPageBreak/>
        <w:t>Criterion 3: Team and Resources (</w:t>
      </w:r>
      <w:r w:rsidRPr="008B0D95">
        <w:rPr>
          <w:rFonts w:asciiTheme="minorHAnsi" w:hAnsiTheme="minorHAnsi"/>
          <w:b/>
          <w:bCs/>
          <w:sz w:val="24"/>
          <w:szCs w:val="24"/>
        </w:rPr>
        <w:t>1</w:t>
      </w:r>
      <w:r w:rsidR="008D0595">
        <w:rPr>
          <w:rFonts w:asciiTheme="minorHAnsi" w:hAnsiTheme="minorHAnsi"/>
          <w:b/>
          <w:bCs/>
          <w:sz w:val="24"/>
          <w:szCs w:val="24"/>
        </w:rPr>
        <w:t>0</w:t>
      </w:r>
      <w:r w:rsidRPr="008B0D95">
        <w:rPr>
          <w:rFonts w:asciiTheme="minorHAnsi" w:hAnsiTheme="minorHAnsi"/>
          <w:b/>
          <w:bCs/>
          <w:sz w:val="24"/>
          <w:szCs w:val="24"/>
        </w:rPr>
        <w:t>%</w:t>
      </w:r>
      <w:r w:rsidRPr="5F2B9FEB">
        <w:rPr>
          <w:rFonts w:asciiTheme="minorHAnsi" w:hAnsiTheme="minorHAnsi"/>
          <w:b/>
          <w:bCs/>
          <w:sz w:val="24"/>
          <w:szCs w:val="24"/>
        </w:rPr>
        <w:t>)</w:t>
      </w:r>
    </w:p>
    <w:p w14:paraId="2D2DB503" w14:textId="77777777" w:rsidR="006361B5" w:rsidRPr="006C56C2" w:rsidRDefault="006361B5" w:rsidP="006361B5">
      <w:pPr>
        <w:pStyle w:val="PlainText"/>
        <w:ind w:left="1440"/>
        <w:rPr>
          <w:rFonts w:asciiTheme="minorHAnsi" w:hAnsiTheme="minorHAnsi"/>
          <w:sz w:val="24"/>
          <w:szCs w:val="24"/>
        </w:rPr>
      </w:pPr>
      <w:r w:rsidRPr="5F2B9FEB">
        <w:rPr>
          <w:rFonts w:asciiTheme="minorHAnsi" w:hAnsiTheme="minorHAnsi"/>
          <w:sz w:val="24"/>
          <w:szCs w:val="24"/>
        </w:rPr>
        <w:t>This criterion involves consideration of the following factors:</w:t>
      </w:r>
    </w:p>
    <w:p w14:paraId="4D85F0DB" w14:textId="77777777" w:rsidR="006361B5" w:rsidRPr="00B31DB2" w:rsidRDefault="006361B5" w:rsidP="006361B5">
      <w:pPr>
        <w:pStyle w:val="PlainText"/>
        <w:ind w:left="1440"/>
        <w:rPr>
          <w:rFonts w:asciiTheme="minorHAnsi" w:hAnsiTheme="minorHAnsi"/>
          <w:sz w:val="24"/>
          <w:szCs w:val="24"/>
        </w:rPr>
      </w:pPr>
    </w:p>
    <w:p w14:paraId="2675E750" w14:textId="77777777" w:rsidR="006361B5" w:rsidRPr="006C56C2" w:rsidRDefault="006361B5" w:rsidP="006361B5">
      <w:pPr>
        <w:pStyle w:val="PlainText"/>
        <w:numPr>
          <w:ilvl w:val="0"/>
          <w:numId w:val="126"/>
        </w:numPr>
        <w:rPr>
          <w:rFonts w:asciiTheme="minorHAnsi" w:hAnsiTheme="minorHAnsi"/>
          <w:sz w:val="24"/>
          <w:szCs w:val="24"/>
        </w:rPr>
      </w:pPr>
      <w:r w:rsidRPr="5F2B9FEB">
        <w:rPr>
          <w:rFonts w:asciiTheme="minorHAnsi" w:hAnsiTheme="minorHAnsi"/>
          <w:sz w:val="24"/>
          <w:szCs w:val="24"/>
        </w:rPr>
        <w:t>Capability of the Principal Investigator(s) and the proposed team to address all aspects of the proposed work with a high probability of success. The qualifications, relevant expertise, and time commitment of the individuals on the team;</w:t>
      </w:r>
    </w:p>
    <w:p w14:paraId="1437B52B" w14:textId="77777777" w:rsidR="006361B5" w:rsidRPr="006C56C2" w:rsidRDefault="006361B5" w:rsidP="006361B5">
      <w:pPr>
        <w:pStyle w:val="PlainText"/>
        <w:numPr>
          <w:ilvl w:val="0"/>
          <w:numId w:val="126"/>
        </w:numPr>
        <w:rPr>
          <w:rFonts w:asciiTheme="minorHAnsi" w:hAnsiTheme="minorHAnsi"/>
          <w:sz w:val="24"/>
          <w:szCs w:val="24"/>
        </w:rPr>
      </w:pPr>
      <w:bookmarkStart w:id="437" w:name="_Hlk125447395"/>
      <w:r>
        <w:t>Diversity</w:t>
      </w:r>
      <w:r w:rsidRPr="006C56C2">
        <w:t xml:space="preserve"> </w:t>
      </w:r>
      <w:r>
        <w:t>of</w:t>
      </w:r>
      <w:r w:rsidRPr="006C56C2">
        <w:t xml:space="preserve"> </w:t>
      </w:r>
      <w:r>
        <w:t>expertise</w:t>
      </w:r>
      <w:r w:rsidRPr="006C56C2">
        <w:t xml:space="preserve"> </w:t>
      </w:r>
      <w:r>
        <w:t>and</w:t>
      </w:r>
      <w:r w:rsidRPr="006C56C2">
        <w:t xml:space="preserve"> </w:t>
      </w:r>
      <w:r>
        <w:t>perspectives</w:t>
      </w:r>
      <w:r w:rsidRPr="006C56C2">
        <w:t xml:space="preserve"> </w:t>
      </w:r>
      <w:r>
        <w:t>of</w:t>
      </w:r>
      <w:r w:rsidRPr="006C56C2">
        <w:t xml:space="preserve"> </w:t>
      </w:r>
      <w:r>
        <w:t>the</w:t>
      </w:r>
      <w:r w:rsidRPr="006C56C2">
        <w:t xml:space="preserve"> </w:t>
      </w:r>
      <w:r>
        <w:t>team</w:t>
      </w:r>
      <w:r w:rsidRPr="006C56C2">
        <w:t xml:space="preserve"> </w:t>
      </w:r>
      <w:r>
        <w:t>and</w:t>
      </w:r>
      <w:r w:rsidRPr="006C56C2">
        <w:t xml:space="preserve"> </w:t>
      </w:r>
      <w:r>
        <w:t>the</w:t>
      </w:r>
      <w:r w:rsidRPr="006C56C2">
        <w:t xml:space="preserve"> </w:t>
      </w:r>
      <w:r>
        <w:t>inclusion</w:t>
      </w:r>
      <w:r w:rsidRPr="006C56C2">
        <w:t xml:space="preserve"> </w:t>
      </w:r>
      <w:r>
        <w:t>of industry partners that will amplify impact;</w:t>
      </w:r>
      <w:bookmarkEnd w:id="437"/>
    </w:p>
    <w:p w14:paraId="382DE293" w14:textId="77777777" w:rsidR="006361B5" w:rsidRPr="006C56C2" w:rsidRDefault="006361B5" w:rsidP="006361B5">
      <w:pPr>
        <w:pStyle w:val="PlainText"/>
        <w:numPr>
          <w:ilvl w:val="0"/>
          <w:numId w:val="126"/>
        </w:numPr>
        <w:rPr>
          <w:rFonts w:asciiTheme="minorHAnsi" w:hAnsiTheme="minorHAnsi"/>
          <w:sz w:val="24"/>
          <w:szCs w:val="24"/>
        </w:rPr>
      </w:pPr>
      <w:r w:rsidRPr="5F2B9FEB">
        <w:rPr>
          <w:rFonts w:asciiTheme="minorHAnsi" w:hAnsiTheme="minorHAnsi"/>
          <w:sz w:val="24"/>
          <w:szCs w:val="24"/>
        </w:rPr>
        <w:t>Sufficiency of the facilities to support the work;</w:t>
      </w:r>
    </w:p>
    <w:p w14:paraId="535A04D5" w14:textId="6260660B" w:rsidR="006361B5" w:rsidRPr="006C56C2" w:rsidRDefault="006361B5" w:rsidP="006361B5">
      <w:pPr>
        <w:pStyle w:val="PlainText"/>
        <w:numPr>
          <w:ilvl w:val="0"/>
          <w:numId w:val="126"/>
        </w:numPr>
        <w:rPr>
          <w:rFonts w:asciiTheme="minorHAnsi" w:hAnsiTheme="minorHAnsi"/>
          <w:sz w:val="24"/>
          <w:szCs w:val="24"/>
        </w:rPr>
      </w:pPr>
      <w:r w:rsidRPr="5F2B9FEB">
        <w:rPr>
          <w:rFonts w:asciiTheme="minorHAnsi" w:hAnsiTheme="minorHAnsi"/>
          <w:sz w:val="24"/>
          <w:szCs w:val="24"/>
        </w:rPr>
        <w:t xml:space="preserve">Degree to which the proposed consortia/team demonstrates the ability to facilitate and expedite further demonstration, </w:t>
      </w:r>
      <w:r w:rsidR="004345EE" w:rsidRPr="5F2B9FEB">
        <w:rPr>
          <w:rFonts w:asciiTheme="minorHAnsi" w:hAnsiTheme="minorHAnsi"/>
          <w:sz w:val="24"/>
          <w:szCs w:val="24"/>
        </w:rPr>
        <w:t>development,</w:t>
      </w:r>
      <w:r w:rsidRPr="5F2B9FEB">
        <w:rPr>
          <w:rFonts w:asciiTheme="minorHAnsi" w:hAnsiTheme="minorHAnsi"/>
          <w:sz w:val="24"/>
          <w:szCs w:val="24"/>
        </w:rPr>
        <w:t xml:space="preserve"> and commercial deployment of the proposed technologies;</w:t>
      </w:r>
    </w:p>
    <w:p w14:paraId="3F783AA4" w14:textId="77777777" w:rsidR="006361B5" w:rsidRPr="006C56C2" w:rsidRDefault="006361B5" w:rsidP="006361B5">
      <w:pPr>
        <w:pStyle w:val="PlainText"/>
        <w:numPr>
          <w:ilvl w:val="0"/>
          <w:numId w:val="126"/>
        </w:numPr>
        <w:rPr>
          <w:rFonts w:asciiTheme="minorHAnsi" w:hAnsiTheme="minorHAnsi"/>
          <w:sz w:val="24"/>
          <w:szCs w:val="24"/>
        </w:rPr>
      </w:pPr>
      <w:r w:rsidRPr="5F2B9FEB">
        <w:rPr>
          <w:rFonts w:asciiTheme="minorHAnsi" w:hAnsiTheme="minorHAnsi"/>
          <w:sz w:val="24"/>
          <w:szCs w:val="24"/>
        </w:rPr>
        <w:t>Level of participation by project participants as evidenced by letter(s) of commitment and how well they are integrated into the Workplan; and</w:t>
      </w:r>
    </w:p>
    <w:p w14:paraId="7D1076E1" w14:textId="524048BA" w:rsidR="006361B5" w:rsidRPr="000B3FDF" w:rsidRDefault="006361B5" w:rsidP="000B3FDF">
      <w:pPr>
        <w:pStyle w:val="PlainText"/>
        <w:numPr>
          <w:ilvl w:val="0"/>
          <w:numId w:val="126"/>
        </w:numPr>
        <w:rPr>
          <w:rFonts w:asciiTheme="minorHAnsi" w:hAnsiTheme="minorHAnsi"/>
          <w:sz w:val="24"/>
          <w:szCs w:val="24"/>
        </w:rPr>
      </w:pPr>
      <w:r w:rsidRPr="5F2B9FEB">
        <w:rPr>
          <w:rFonts w:asciiTheme="minorHAnsi" w:hAnsiTheme="minorHAnsi"/>
          <w:sz w:val="24"/>
          <w:szCs w:val="24"/>
        </w:rPr>
        <w:t>Reasonableness of the budget and spend plan for the proposed project and objectives.</w:t>
      </w:r>
    </w:p>
    <w:p w14:paraId="65F25D6D" w14:textId="77777777" w:rsidR="006361B5" w:rsidRPr="006361B5" w:rsidRDefault="006361B5" w:rsidP="006361B5">
      <w:pPr>
        <w:rPr>
          <w:szCs w:val="24"/>
        </w:rPr>
      </w:pPr>
    </w:p>
    <w:p w14:paraId="0D76B41A" w14:textId="6C9BA4EF" w:rsidR="00B47E7F" w:rsidRPr="00E47A6D" w:rsidRDefault="00B47E7F" w:rsidP="00B47E7F">
      <w:pPr>
        <w:ind w:left="1440"/>
        <w:rPr>
          <w:rFonts w:ascii="Calibri" w:hAnsi="Calibri"/>
          <w:b/>
          <w:szCs w:val="24"/>
        </w:rPr>
      </w:pPr>
      <w:r w:rsidRPr="0090355B">
        <w:rPr>
          <w:rFonts w:ascii="Calibri" w:hAnsi="Calibri"/>
          <w:b/>
          <w:szCs w:val="24"/>
        </w:rPr>
        <w:t>Criterion 4: Diversity, Equity, and Inclusion (</w:t>
      </w:r>
      <w:r w:rsidR="000656D5" w:rsidRPr="008B0D95">
        <w:rPr>
          <w:rFonts w:ascii="Calibri" w:hAnsi="Calibri"/>
          <w:b/>
          <w:szCs w:val="24"/>
        </w:rPr>
        <w:t>20%</w:t>
      </w:r>
      <w:r w:rsidRPr="0090355B">
        <w:rPr>
          <w:rFonts w:ascii="Calibri" w:hAnsi="Calibri"/>
          <w:b/>
          <w:szCs w:val="24"/>
        </w:rPr>
        <w:t>)</w:t>
      </w:r>
    </w:p>
    <w:p w14:paraId="1DE80B4F" w14:textId="77777777" w:rsidR="00B47E7F" w:rsidRDefault="00B47E7F" w:rsidP="00B47E7F">
      <w:pPr>
        <w:ind w:left="1440"/>
        <w:rPr>
          <w:rFonts w:ascii="Calibri" w:hAnsi="Calibri"/>
          <w:szCs w:val="24"/>
        </w:rPr>
      </w:pPr>
      <w:r w:rsidRPr="00E47A6D">
        <w:rPr>
          <w:rFonts w:ascii="Calibri" w:hAnsi="Calibri"/>
          <w:szCs w:val="24"/>
        </w:rPr>
        <w:t>This criterion involves consideration of the following factors:</w:t>
      </w:r>
    </w:p>
    <w:p w14:paraId="7134ED6B" w14:textId="77777777" w:rsidR="00F549FF" w:rsidRDefault="00F549FF" w:rsidP="00B47E7F">
      <w:pPr>
        <w:ind w:left="1440"/>
        <w:rPr>
          <w:rFonts w:ascii="Calibri" w:hAnsi="Calibri"/>
          <w:szCs w:val="24"/>
        </w:rPr>
      </w:pPr>
    </w:p>
    <w:p w14:paraId="23EBB37D" w14:textId="77777777" w:rsidR="00F549FF" w:rsidRPr="00A23557" w:rsidRDefault="00F549FF" w:rsidP="00F549FF">
      <w:pPr>
        <w:pStyle w:val="BodyText"/>
        <w:ind w:left="1440"/>
      </w:pPr>
      <w:r w:rsidRPr="00A23557">
        <w:rPr>
          <w:u w:val="single"/>
        </w:rPr>
        <w:t>Energy</w:t>
      </w:r>
      <w:r w:rsidRPr="00A23557">
        <w:rPr>
          <w:spacing w:val="-3"/>
          <w:u w:val="single"/>
        </w:rPr>
        <w:t xml:space="preserve"> </w:t>
      </w:r>
      <w:r w:rsidRPr="00A23557">
        <w:rPr>
          <w:spacing w:val="-2"/>
          <w:u w:val="single"/>
        </w:rPr>
        <w:t>Equity</w:t>
      </w:r>
      <w:r>
        <w:rPr>
          <w:spacing w:val="-2"/>
          <w:u w:val="single"/>
        </w:rPr>
        <w:t xml:space="preserve"> and Environmental Justice</w:t>
      </w:r>
    </w:p>
    <w:p w14:paraId="245191B0" w14:textId="77777777" w:rsidR="00F549FF" w:rsidRDefault="00F549FF" w:rsidP="00F549FF">
      <w:pPr>
        <w:pStyle w:val="ListParagraph"/>
        <w:widowControl w:val="0"/>
        <w:numPr>
          <w:ilvl w:val="0"/>
          <w:numId w:val="122"/>
        </w:numPr>
        <w:autoSpaceDE w:val="0"/>
        <w:autoSpaceDN w:val="0"/>
        <w:ind w:left="1800"/>
        <w:contextualSpacing w:val="0"/>
        <w:jc w:val="both"/>
      </w:pPr>
      <w:r w:rsidRPr="00A23557">
        <w:t>Clear workplan tasks, staffing, research, and timeline for engaging energy equity stakeholders and/or evaluating the possible near and long-term implications of the project for the benefit of the American public, including, but not limited to public health and public prosperity benefits;</w:t>
      </w:r>
    </w:p>
    <w:p w14:paraId="684EC728" w14:textId="77777777" w:rsidR="00F549FF" w:rsidRDefault="00F549FF" w:rsidP="00F549FF">
      <w:pPr>
        <w:pStyle w:val="ListParagraph"/>
        <w:widowControl w:val="0"/>
        <w:numPr>
          <w:ilvl w:val="0"/>
          <w:numId w:val="122"/>
        </w:numPr>
        <w:autoSpaceDE w:val="0"/>
        <w:autoSpaceDN w:val="0"/>
        <w:ind w:left="1800"/>
        <w:contextualSpacing w:val="0"/>
        <w:jc w:val="both"/>
      </w:pPr>
      <w:r>
        <w:t xml:space="preserve">Degree to </w:t>
      </w:r>
      <w:r w:rsidRPr="00A40D63">
        <w:t xml:space="preserve">which </w:t>
      </w:r>
      <w:r>
        <w:t>applicant has identified business-as-usual practices and how the proposed approach could confer benefits to the community;</w:t>
      </w:r>
    </w:p>
    <w:p w14:paraId="313B288B" w14:textId="77777777" w:rsidR="00F549FF" w:rsidRPr="00A23557" w:rsidRDefault="00F549FF" w:rsidP="00F549FF">
      <w:pPr>
        <w:pStyle w:val="ListParagraph"/>
        <w:widowControl w:val="0"/>
        <w:numPr>
          <w:ilvl w:val="0"/>
          <w:numId w:val="122"/>
        </w:numPr>
        <w:autoSpaceDE w:val="0"/>
        <w:autoSpaceDN w:val="0"/>
        <w:ind w:left="1800"/>
        <w:contextualSpacing w:val="0"/>
        <w:jc w:val="both"/>
      </w:pPr>
      <w:r>
        <w:t>Degree to which the proposed project will share learnings with community members and other interested communities;</w:t>
      </w:r>
    </w:p>
    <w:p w14:paraId="458F1C43" w14:textId="77777777" w:rsidR="00F549FF" w:rsidRPr="003D00B9" w:rsidRDefault="00F549FF" w:rsidP="00F549FF">
      <w:pPr>
        <w:pStyle w:val="ListParagraph"/>
        <w:widowControl w:val="0"/>
        <w:numPr>
          <w:ilvl w:val="0"/>
          <w:numId w:val="122"/>
        </w:numPr>
        <w:autoSpaceDE w:val="0"/>
        <w:autoSpaceDN w:val="0"/>
        <w:ind w:left="1800"/>
        <w:contextualSpacing w:val="0"/>
        <w:jc w:val="both"/>
        <w:rPr>
          <w:szCs w:val="24"/>
        </w:rPr>
      </w:pPr>
      <w:r w:rsidRPr="003D00B9">
        <w:rPr>
          <w:szCs w:val="24"/>
        </w:rPr>
        <w:t>Approach, methodology, and expertise articulated in the plan for addressing energy equity and justice issues associated with the technology innovation; and</w:t>
      </w:r>
    </w:p>
    <w:p w14:paraId="1E3BFFEC" w14:textId="77777777" w:rsidR="00F549FF" w:rsidRPr="009C3206" w:rsidRDefault="00F549FF" w:rsidP="00F549FF">
      <w:pPr>
        <w:pStyle w:val="ListParagraph"/>
        <w:widowControl w:val="0"/>
        <w:numPr>
          <w:ilvl w:val="0"/>
          <w:numId w:val="122"/>
        </w:numPr>
        <w:autoSpaceDE w:val="0"/>
        <w:autoSpaceDN w:val="0"/>
        <w:ind w:left="1800"/>
        <w:contextualSpacing w:val="0"/>
        <w:jc w:val="both"/>
        <w:rPr>
          <w:szCs w:val="24"/>
        </w:rPr>
      </w:pPr>
      <w:r w:rsidRPr="003D00B9">
        <w:rPr>
          <w:szCs w:val="24"/>
        </w:rPr>
        <w:t>Likelihood that the plan will result in improved understanding of distributional</w:t>
      </w:r>
      <w:r w:rsidRPr="003D00B9">
        <w:rPr>
          <w:spacing w:val="-5"/>
          <w:szCs w:val="24"/>
        </w:rPr>
        <w:t xml:space="preserve"> </w:t>
      </w:r>
      <w:r w:rsidRPr="003D00B9">
        <w:rPr>
          <w:szCs w:val="24"/>
        </w:rPr>
        <w:t>public</w:t>
      </w:r>
      <w:r w:rsidRPr="003D00B9">
        <w:rPr>
          <w:spacing w:val="-6"/>
          <w:szCs w:val="24"/>
        </w:rPr>
        <w:t xml:space="preserve"> </w:t>
      </w:r>
      <w:r w:rsidRPr="003D00B9">
        <w:rPr>
          <w:szCs w:val="24"/>
        </w:rPr>
        <w:t>benefits</w:t>
      </w:r>
      <w:r w:rsidRPr="003D00B9">
        <w:rPr>
          <w:spacing w:val="-5"/>
          <w:szCs w:val="24"/>
        </w:rPr>
        <w:t xml:space="preserve"> </w:t>
      </w:r>
      <w:r w:rsidRPr="003D00B9">
        <w:rPr>
          <w:szCs w:val="24"/>
        </w:rPr>
        <w:t>and</w:t>
      </w:r>
      <w:r w:rsidRPr="003D00B9">
        <w:rPr>
          <w:spacing w:val="-2"/>
          <w:szCs w:val="24"/>
        </w:rPr>
        <w:t xml:space="preserve"> </w:t>
      </w:r>
      <w:r w:rsidRPr="003D00B9">
        <w:rPr>
          <w:szCs w:val="24"/>
        </w:rPr>
        <w:t>costs</w:t>
      </w:r>
      <w:r w:rsidRPr="003D00B9">
        <w:rPr>
          <w:spacing w:val="-5"/>
          <w:szCs w:val="24"/>
        </w:rPr>
        <w:t xml:space="preserve"> </w:t>
      </w:r>
      <w:r w:rsidRPr="003D00B9">
        <w:rPr>
          <w:szCs w:val="24"/>
        </w:rPr>
        <w:t>related</w:t>
      </w:r>
      <w:r w:rsidRPr="003D00B9">
        <w:rPr>
          <w:spacing w:val="-4"/>
          <w:szCs w:val="24"/>
        </w:rPr>
        <w:t xml:space="preserve"> </w:t>
      </w:r>
      <w:r w:rsidRPr="003D00B9">
        <w:rPr>
          <w:szCs w:val="24"/>
        </w:rPr>
        <w:t>to</w:t>
      </w:r>
      <w:r w:rsidRPr="003D00B9">
        <w:rPr>
          <w:spacing w:val="-4"/>
          <w:szCs w:val="24"/>
        </w:rPr>
        <w:t xml:space="preserve"> </w:t>
      </w:r>
      <w:r w:rsidRPr="003D00B9">
        <w:rPr>
          <w:szCs w:val="24"/>
        </w:rPr>
        <w:t>the</w:t>
      </w:r>
      <w:r w:rsidRPr="003D00B9">
        <w:rPr>
          <w:spacing w:val="-2"/>
          <w:szCs w:val="24"/>
        </w:rPr>
        <w:t xml:space="preserve"> </w:t>
      </w:r>
      <w:r w:rsidRPr="003D00B9">
        <w:rPr>
          <w:szCs w:val="24"/>
        </w:rPr>
        <w:t>innovation</w:t>
      </w:r>
      <w:r w:rsidRPr="003D00B9">
        <w:rPr>
          <w:spacing w:val="-4"/>
          <w:szCs w:val="24"/>
        </w:rPr>
        <w:t xml:space="preserve"> </w:t>
      </w:r>
      <w:r w:rsidRPr="003D00B9">
        <w:rPr>
          <w:szCs w:val="24"/>
        </w:rPr>
        <w:t xml:space="preserve">if </w:t>
      </w:r>
      <w:r w:rsidRPr="003D00B9">
        <w:rPr>
          <w:spacing w:val="-2"/>
          <w:szCs w:val="24"/>
        </w:rPr>
        <w:t>successful.</w:t>
      </w:r>
    </w:p>
    <w:p w14:paraId="7ED5C271" w14:textId="77777777" w:rsidR="00F549FF" w:rsidRPr="00342CBD" w:rsidRDefault="00F549FF" w:rsidP="00F549FF">
      <w:pPr>
        <w:pStyle w:val="ListParagraph"/>
        <w:widowControl w:val="0"/>
        <w:autoSpaceDE w:val="0"/>
        <w:autoSpaceDN w:val="0"/>
        <w:ind w:left="1800"/>
        <w:contextualSpacing w:val="0"/>
        <w:jc w:val="both"/>
        <w:rPr>
          <w:szCs w:val="24"/>
        </w:rPr>
      </w:pPr>
    </w:p>
    <w:p w14:paraId="699174B7" w14:textId="77777777" w:rsidR="00F549FF" w:rsidRPr="003D00B9" w:rsidRDefault="00F549FF" w:rsidP="00F549FF">
      <w:pPr>
        <w:pStyle w:val="BodyText"/>
        <w:ind w:left="1440"/>
        <w:jc w:val="both"/>
        <w:rPr>
          <w:szCs w:val="24"/>
        </w:rPr>
      </w:pPr>
      <w:r w:rsidRPr="003D00B9">
        <w:rPr>
          <w:szCs w:val="24"/>
          <w:u w:val="single"/>
        </w:rPr>
        <w:t>Workforce</w:t>
      </w:r>
      <w:r w:rsidRPr="003D00B9">
        <w:rPr>
          <w:spacing w:val="-5"/>
          <w:szCs w:val="24"/>
          <w:u w:val="single"/>
        </w:rPr>
        <w:t xml:space="preserve"> </w:t>
      </w:r>
      <w:r w:rsidRPr="003D00B9">
        <w:rPr>
          <w:spacing w:val="-2"/>
          <w:szCs w:val="24"/>
          <w:u w:val="single"/>
        </w:rPr>
        <w:t>Implications</w:t>
      </w:r>
    </w:p>
    <w:p w14:paraId="0C378080" w14:textId="77777777" w:rsidR="00F549FF" w:rsidRPr="003D00B9" w:rsidRDefault="00F549FF" w:rsidP="00F549FF">
      <w:pPr>
        <w:pStyle w:val="ListParagraph"/>
        <w:widowControl w:val="0"/>
        <w:numPr>
          <w:ilvl w:val="0"/>
          <w:numId w:val="122"/>
        </w:numPr>
        <w:autoSpaceDE w:val="0"/>
        <w:autoSpaceDN w:val="0"/>
        <w:ind w:left="1800"/>
        <w:contextualSpacing w:val="0"/>
        <w:jc w:val="both"/>
        <w:rPr>
          <w:szCs w:val="24"/>
        </w:rPr>
      </w:pPr>
      <w:r w:rsidRPr="003D00B9">
        <w:rPr>
          <w:szCs w:val="24"/>
        </w:rPr>
        <w:t>Clear and comprehensive workplan tasks, staffing, research, and timeline for engaging workforce stakeholders and/or evaluating the possible near- and long-term implications of the project for the U.S. workforce;</w:t>
      </w:r>
    </w:p>
    <w:p w14:paraId="4849772E" w14:textId="77777777" w:rsidR="00F549FF" w:rsidRPr="003D00B9" w:rsidRDefault="00F549FF" w:rsidP="00F549FF">
      <w:pPr>
        <w:pStyle w:val="ListParagraph"/>
        <w:widowControl w:val="0"/>
        <w:numPr>
          <w:ilvl w:val="0"/>
          <w:numId w:val="122"/>
        </w:numPr>
        <w:autoSpaceDE w:val="0"/>
        <w:autoSpaceDN w:val="0"/>
        <w:ind w:left="1800"/>
        <w:contextualSpacing w:val="0"/>
        <w:jc w:val="both"/>
        <w:rPr>
          <w:szCs w:val="24"/>
        </w:rPr>
      </w:pPr>
      <w:r w:rsidRPr="003D00B9">
        <w:rPr>
          <w:szCs w:val="24"/>
        </w:rPr>
        <w:t xml:space="preserve">Approach to document the knowledge, skills, and abilities of the workforce required for successful commercial deployment of innovations resulting from </w:t>
      </w:r>
      <w:r w:rsidRPr="003D00B9">
        <w:rPr>
          <w:szCs w:val="24"/>
        </w:rPr>
        <w:lastRenderedPageBreak/>
        <w:t xml:space="preserve">this research; </w:t>
      </w:r>
    </w:p>
    <w:p w14:paraId="456E00E5" w14:textId="77777777" w:rsidR="00F549FF" w:rsidRPr="003D00B9" w:rsidRDefault="00F549FF" w:rsidP="00F549FF">
      <w:pPr>
        <w:pStyle w:val="ListParagraph"/>
        <w:widowControl w:val="0"/>
        <w:numPr>
          <w:ilvl w:val="0"/>
          <w:numId w:val="122"/>
        </w:numPr>
        <w:autoSpaceDE w:val="0"/>
        <w:autoSpaceDN w:val="0"/>
        <w:ind w:left="1800"/>
        <w:contextualSpacing w:val="0"/>
        <w:jc w:val="both"/>
        <w:rPr>
          <w:szCs w:val="24"/>
        </w:rPr>
      </w:pPr>
      <w:r w:rsidRPr="00C51209">
        <w:rPr>
          <w:rFonts w:ascii="Calibri" w:hAnsi="Calibri" w:cs="Calibri"/>
          <w:color w:val="000000"/>
          <w:szCs w:val="24"/>
        </w:rPr>
        <w:t>Extent to which the proposed approach is likely to build organizational and/or staff capacity to support the installation of clean energy technologies located in the community/ies, and/or support the community’s/ies’ participation in the clean energy economy; and</w:t>
      </w:r>
    </w:p>
    <w:p w14:paraId="28251B39" w14:textId="77777777" w:rsidR="00F549FF" w:rsidRDefault="00F549FF" w:rsidP="00F549FF">
      <w:pPr>
        <w:pStyle w:val="ListParagraph"/>
        <w:widowControl w:val="0"/>
        <w:numPr>
          <w:ilvl w:val="0"/>
          <w:numId w:val="122"/>
        </w:numPr>
        <w:autoSpaceDE w:val="0"/>
        <w:autoSpaceDN w:val="0"/>
        <w:ind w:left="1800"/>
        <w:contextualSpacing w:val="0"/>
        <w:jc w:val="both"/>
        <w:rPr>
          <w:szCs w:val="24"/>
        </w:rPr>
      </w:pPr>
      <w:r w:rsidRPr="003D00B9">
        <w:rPr>
          <w:szCs w:val="24"/>
        </w:rPr>
        <w:t>Likelihood</w:t>
      </w:r>
      <w:r w:rsidRPr="003D00B9">
        <w:rPr>
          <w:spacing w:val="-4"/>
          <w:szCs w:val="24"/>
        </w:rPr>
        <w:t xml:space="preserve"> </w:t>
      </w:r>
      <w:r w:rsidRPr="003D00B9">
        <w:rPr>
          <w:szCs w:val="24"/>
        </w:rPr>
        <w:t>that</w:t>
      </w:r>
      <w:r w:rsidRPr="003D00B9">
        <w:rPr>
          <w:spacing w:val="-4"/>
          <w:szCs w:val="24"/>
        </w:rPr>
        <w:t xml:space="preserve"> </w:t>
      </w:r>
      <w:r w:rsidRPr="003D00B9">
        <w:rPr>
          <w:szCs w:val="24"/>
        </w:rPr>
        <w:t>the</w:t>
      </w:r>
      <w:r w:rsidRPr="003D00B9">
        <w:rPr>
          <w:spacing w:val="-4"/>
          <w:szCs w:val="24"/>
        </w:rPr>
        <w:t xml:space="preserve"> </w:t>
      </w:r>
      <w:r w:rsidRPr="003D00B9">
        <w:rPr>
          <w:szCs w:val="24"/>
        </w:rPr>
        <w:t>plan</w:t>
      </w:r>
      <w:r w:rsidRPr="003D00B9">
        <w:rPr>
          <w:spacing w:val="-6"/>
          <w:szCs w:val="24"/>
        </w:rPr>
        <w:t xml:space="preserve"> </w:t>
      </w:r>
      <w:r w:rsidRPr="003D00B9">
        <w:rPr>
          <w:szCs w:val="24"/>
        </w:rPr>
        <w:t>will</w:t>
      </w:r>
      <w:r w:rsidRPr="003D00B9">
        <w:rPr>
          <w:spacing w:val="-3"/>
          <w:szCs w:val="24"/>
        </w:rPr>
        <w:t xml:space="preserve"> </w:t>
      </w:r>
      <w:r w:rsidRPr="003D00B9">
        <w:rPr>
          <w:szCs w:val="24"/>
        </w:rPr>
        <w:t>result</w:t>
      </w:r>
      <w:r w:rsidRPr="003D00B9">
        <w:rPr>
          <w:spacing w:val="-4"/>
          <w:szCs w:val="24"/>
        </w:rPr>
        <w:t xml:space="preserve"> </w:t>
      </w:r>
      <w:r w:rsidRPr="003D00B9">
        <w:rPr>
          <w:szCs w:val="24"/>
        </w:rPr>
        <w:t>in</w:t>
      </w:r>
      <w:r w:rsidRPr="003D00B9">
        <w:rPr>
          <w:spacing w:val="-4"/>
          <w:szCs w:val="24"/>
        </w:rPr>
        <w:t xml:space="preserve"> </w:t>
      </w:r>
      <w:r w:rsidRPr="003D00B9">
        <w:rPr>
          <w:szCs w:val="24"/>
        </w:rPr>
        <w:t>improved</w:t>
      </w:r>
      <w:r w:rsidRPr="003D00B9">
        <w:rPr>
          <w:spacing w:val="-4"/>
          <w:szCs w:val="24"/>
        </w:rPr>
        <w:t xml:space="preserve"> </w:t>
      </w:r>
      <w:r w:rsidRPr="003D00B9">
        <w:rPr>
          <w:szCs w:val="24"/>
        </w:rPr>
        <w:t>understanding</w:t>
      </w:r>
      <w:r w:rsidRPr="003D00B9">
        <w:rPr>
          <w:spacing w:val="-5"/>
          <w:szCs w:val="24"/>
        </w:rPr>
        <w:t xml:space="preserve"> </w:t>
      </w:r>
      <w:r w:rsidRPr="003D00B9">
        <w:rPr>
          <w:szCs w:val="24"/>
        </w:rPr>
        <w:t>of</w:t>
      </w:r>
      <w:r w:rsidRPr="003D00B9">
        <w:rPr>
          <w:spacing w:val="-4"/>
          <w:szCs w:val="24"/>
        </w:rPr>
        <w:t xml:space="preserve"> </w:t>
      </w:r>
      <w:r w:rsidRPr="003D00B9">
        <w:rPr>
          <w:szCs w:val="24"/>
        </w:rPr>
        <w:t>the workforce implications related to the innovation if successful.</w:t>
      </w:r>
    </w:p>
    <w:p w14:paraId="32921EDE" w14:textId="77777777" w:rsidR="00F549FF" w:rsidRDefault="00F549FF" w:rsidP="00F549FF">
      <w:pPr>
        <w:pStyle w:val="ListParagraph"/>
        <w:widowControl w:val="0"/>
        <w:autoSpaceDE w:val="0"/>
        <w:autoSpaceDN w:val="0"/>
        <w:ind w:left="1800"/>
        <w:contextualSpacing w:val="0"/>
        <w:jc w:val="both"/>
        <w:rPr>
          <w:szCs w:val="24"/>
        </w:rPr>
      </w:pPr>
    </w:p>
    <w:p w14:paraId="2AB6F73A" w14:textId="77777777" w:rsidR="00F549FF" w:rsidRPr="00A23557" w:rsidRDefault="00F549FF" w:rsidP="00F549FF">
      <w:pPr>
        <w:pStyle w:val="BodyText"/>
        <w:ind w:left="1440"/>
        <w:jc w:val="both"/>
      </w:pPr>
      <w:r w:rsidRPr="00A23557">
        <w:rPr>
          <w:u w:val="single"/>
        </w:rPr>
        <w:t>Diversity,</w:t>
      </w:r>
      <w:r w:rsidRPr="00A23557">
        <w:rPr>
          <w:spacing w:val="-3"/>
          <w:u w:val="single"/>
        </w:rPr>
        <w:t xml:space="preserve"> </w:t>
      </w:r>
      <w:r w:rsidRPr="00A23557">
        <w:rPr>
          <w:u w:val="single"/>
        </w:rPr>
        <w:t>Equity,</w:t>
      </w:r>
      <w:r w:rsidRPr="00A23557">
        <w:rPr>
          <w:spacing w:val="-2"/>
          <w:u w:val="single"/>
        </w:rPr>
        <w:t xml:space="preserve"> </w:t>
      </w:r>
      <w:r w:rsidRPr="00A23557">
        <w:rPr>
          <w:u w:val="single"/>
        </w:rPr>
        <w:t>Inclusion</w:t>
      </w:r>
      <w:r w:rsidRPr="00A23557">
        <w:rPr>
          <w:spacing w:val="-3"/>
          <w:u w:val="single"/>
        </w:rPr>
        <w:t xml:space="preserve"> </w:t>
      </w:r>
      <w:r w:rsidRPr="00A23557">
        <w:rPr>
          <w:u w:val="single"/>
        </w:rPr>
        <w:t>and</w:t>
      </w:r>
      <w:r w:rsidRPr="00A23557">
        <w:rPr>
          <w:spacing w:val="-2"/>
          <w:u w:val="single"/>
        </w:rPr>
        <w:t xml:space="preserve"> </w:t>
      </w:r>
      <w:r w:rsidRPr="00A23557">
        <w:rPr>
          <w:u w:val="single"/>
        </w:rPr>
        <w:t>Accessibility</w:t>
      </w:r>
      <w:r w:rsidRPr="00A23557">
        <w:rPr>
          <w:spacing w:val="-3"/>
          <w:u w:val="single"/>
        </w:rPr>
        <w:t xml:space="preserve"> </w:t>
      </w:r>
      <w:r w:rsidRPr="00A23557">
        <w:rPr>
          <w:spacing w:val="-2"/>
          <w:u w:val="single"/>
        </w:rPr>
        <w:t>(DEIA)</w:t>
      </w:r>
    </w:p>
    <w:p w14:paraId="483737F9" w14:textId="77777777" w:rsidR="00F549FF" w:rsidRPr="00A23557" w:rsidRDefault="00F549FF" w:rsidP="00F549FF">
      <w:pPr>
        <w:pStyle w:val="ListParagraph"/>
        <w:widowControl w:val="0"/>
        <w:numPr>
          <w:ilvl w:val="0"/>
          <w:numId w:val="122"/>
        </w:numPr>
        <w:tabs>
          <w:tab w:val="left" w:pos="2136"/>
        </w:tabs>
        <w:autoSpaceDE w:val="0"/>
        <w:autoSpaceDN w:val="0"/>
        <w:spacing w:before="23"/>
        <w:ind w:left="1800"/>
        <w:contextualSpacing w:val="0"/>
        <w:jc w:val="both"/>
      </w:pPr>
      <w:r>
        <w:t>Clear articulation of the project’s goals related to</w:t>
      </w:r>
      <w:r w:rsidRPr="00A40D63">
        <w:rPr>
          <w:spacing w:val="-5"/>
        </w:rPr>
        <w:t xml:space="preserve"> </w:t>
      </w:r>
      <w:r w:rsidRPr="00A40D63">
        <w:t>diversity,</w:t>
      </w:r>
      <w:r w:rsidRPr="00A40D63">
        <w:rPr>
          <w:spacing w:val="-3"/>
        </w:rPr>
        <w:t xml:space="preserve"> </w:t>
      </w:r>
      <w:r w:rsidRPr="00A40D63">
        <w:t>equity</w:t>
      </w:r>
      <w:r>
        <w:t>,</w:t>
      </w:r>
      <w:r w:rsidRPr="00A40D63">
        <w:t xml:space="preserve"> inclusion</w:t>
      </w:r>
      <w:r>
        <w:t>,</w:t>
      </w:r>
      <w:r w:rsidRPr="00A40D63">
        <w:t xml:space="preserve"> and</w:t>
      </w:r>
      <w:r>
        <w:t xml:space="preserve"> accessibility;</w:t>
      </w:r>
    </w:p>
    <w:p w14:paraId="096B2560" w14:textId="77777777" w:rsidR="00F549FF" w:rsidRPr="00A23557" w:rsidRDefault="00F549FF" w:rsidP="00F549FF">
      <w:pPr>
        <w:pStyle w:val="ListParagraph"/>
        <w:widowControl w:val="0"/>
        <w:numPr>
          <w:ilvl w:val="0"/>
          <w:numId w:val="122"/>
        </w:numPr>
        <w:tabs>
          <w:tab w:val="left" w:pos="2136"/>
        </w:tabs>
        <w:autoSpaceDE w:val="0"/>
        <w:autoSpaceDN w:val="0"/>
        <w:ind w:left="1800"/>
        <w:contextualSpacing w:val="0"/>
        <w:jc w:val="both"/>
      </w:pPr>
      <w:r w:rsidRPr="00A23557">
        <w:t>Quality</w:t>
      </w:r>
      <w:r w:rsidRPr="00A23557">
        <w:rPr>
          <w:spacing w:val="-3"/>
        </w:rPr>
        <w:t xml:space="preserve"> </w:t>
      </w:r>
      <w:r w:rsidRPr="00A23557">
        <w:t>of</w:t>
      </w:r>
      <w:r w:rsidRPr="00A23557">
        <w:rPr>
          <w:spacing w:val="-4"/>
        </w:rPr>
        <w:t xml:space="preserve"> </w:t>
      </w:r>
      <w:r w:rsidRPr="00A23557">
        <w:t>the</w:t>
      </w:r>
      <w:r w:rsidRPr="00A23557">
        <w:rPr>
          <w:spacing w:val="-4"/>
        </w:rPr>
        <w:t xml:space="preserve"> </w:t>
      </w:r>
      <w:r w:rsidRPr="00A23557">
        <w:t>project’s</w:t>
      </w:r>
      <w:r w:rsidRPr="00A23557">
        <w:rPr>
          <w:spacing w:val="-5"/>
        </w:rPr>
        <w:t xml:space="preserve"> </w:t>
      </w:r>
      <w:r w:rsidRPr="00A23557">
        <w:t>DEIA</w:t>
      </w:r>
      <w:r w:rsidRPr="00A23557">
        <w:rPr>
          <w:spacing w:val="-2"/>
        </w:rPr>
        <w:t xml:space="preserve"> </w:t>
      </w:r>
      <w:r w:rsidRPr="00A23557">
        <w:t>goals,</w:t>
      </w:r>
      <w:r w:rsidRPr="00A23557">
        <w:rPr>
          <w:spacing w:val="-2"/>
        </w:rPr>
        <w:t xml:space="preserve"> </w:t>
      </w:r>
      <w:r w:rsidRPr="00A23557">
        <w:t>as</w:t>
      </w:r>
      <w:r w:rsidRPr="00A23557">
        <w:rPr>
          <w:spacing w:val="-5"/>
        </w:rPr>
        <w:t xml:space="preserve"> </w:t>
      </w:r>
      <w:r w:rsidRPr="00A23557">
        <w:t>measured</w:t>
      </w:r>
      <w:r w:rsidRPr="00A23557">
        <w:rPr>
          <w:spacing w:val="-4"/>
        </w:rPr>
        <w:t xml:space="preserve"> </w:t>
      </w:r>
      <w:r w:rsidRPr="00A23557">
        <w:t>by</w:t>
      </w:r>
      <w:r w:rsidRPr="00A23557">
        <w:rPr>
          <w:spacing w:val="-3"/>
        </w:rPr>
        <w:t xml:space="preserve"> </w:t>
      </w:r>
      <w:r w:rsidRPr="00A23557">
        <w:t>the</w:t>
      </w:r>
      <w:r w:rsidRPr="00A23557">
        <w:rPr>
          <w:spacing w:val="-4"/>
        </w:rPr>
        <w:t xml:space="preserve"> </w:t>
      </w:r>
      <w:r w:rsidRPr="00A23557">
        <w:t>goals’</w:t>
      </w:r>
      <w:r w:rsidRPr="00A23557">
        <w:rPr>
          <w:spacing w:val="-5"/>
        </w:rPr>
        <w:t xml:space="preserve"> </w:t>
      </w:r>
      <w:r w:rsidRPr="00A23557">
        <w:t>depth, breadth,</w:t>
      </w:r>
      <w:r w:rsidRPr="00A23557">
        <w:rPr>
          <w:spacing w:val="-2"/>
        </w:rPr>
        <w:t xml:space="preserve"> </w:t>
      </w:r>
      <w:r w:rsidRPr="00A23557">
        <w:t>likelihood</w:t>
      </w:r>
      <w:r w:rsidRPr="00A23557">
        <w:rPr>
          <w:spacing w:val="-1"/>
        </w:rPr>
        <w:t xml:space="preserve"> </w:t>
      </w:r>
      <w:r w:rsidRPr="00A23557">
        <w:t>of</w:t>
      </w:r>
      <w:r w:rsidRPr="00A23557">
        <w:rPr>
          <w:spacing w:val="-1"/>
        </w:rPr>
        <w:t xml:space="preserve"> </w:t>
      </w:r>
      <w:r w:rsidRPr="00A23557">
        <w:t>success, inclusion</w:t>
      </w:r>
      <w:r w:rsidRPr="00A23557">
        <w:rPr>
          <w:spacing w:val="-1"/>
        </w:rPr>
        <w:t xml:space="preserve"> </w:t>
      </w:r>
      <w:r w:rsidRPr="00A23557">
        <w:t>of</w:t>
      </w:r>
      <w:r w:rsidRPr="00A23557">
        <w:rPr>
          <w:spacing w:val="-1"/>
        </w:rPr>
        <w:t xml:space="preserve"> </w:t>
      </w:r>
      <w:r w:rsidRPr="00A23557">
        <w:t>appropriate</w:t>
      </w:r>
      <w:r w:rsidRPr="00A23557">
        <w:rPr>
          <w:spacing w:val="-1"/>
        </w:rPr>
        <w:t xml:space="preserve"> </w:t>
      </w:r>
      <w:r w:rsidRPr="00A23557">
        <w:t>and relevant SMART milestones, and overall project integration;</w:t>
      </w:r>
    </w:p>
    <w:p w14:paraId="6E858626" w14:textId="77777777" w:rsidR="00F549FF" w:rsidRPr="00A23557" w:rsidRDefault="00F549FF" w:rsidP="00F549FF">
      <w:pPr>
        <w:pStyle w:val="ListParagraph"/>
        <w:widowControl w:val="0"/>
        <w:numPr>
          <w:ilvl w:val="0"/>
          <w:numId w:val="122"/>
        </w:numPr>
        <w:tabs>
          <w:tab w:val="left" w:pos="2135"/>
          <w:tab w:val="left" w:pos="2136"/>
        </w:tabs>
        <w:autoSpaceDE w:val="0"/>
        <w:autoSpaceDN w:val="0"/>
        <w:ind w:left="1800"/>
        <w:contextualSpacing w:val="0"/>
      </w:pPr>
      <w:r w:rsidRPr="00A23557">
        <w:t>Degree of commitment and ability to track progress toward meeting</w:t>
      </w:r>
      <w:r w:rsidRPr="00A23557">
        <w:rPr>
          <w:spacing w:val="-4"/>
        </w:rPr>
        <w:t xml:space="preserve"> </w:t>
      </w:r>
      <w:r w:rsidRPr="00A23557">
        <w:t>each</w:t>
      </w:r>
      <w:r w:rsidRPr="00A23557">
        <w:rPr>
          <w:spacing w:val="-5"/>
        </w:rPr>
        <w:t xml:space="preserve"> </w:t>
      </w:r>
      <w:r w:rsidRPr="00A23557">
        <w:t>of</w:t>
      </w:r>
      <w:r w:rsidRPr="00A23557">
        <w:rPr>
          <w:spacing w:val="-3"/>
        </w:rPr>
        <w:t xml:space="preserve"> </w:t>
      </w:r>
      <w:r w:rsidRPr="00A23557">
        <w:t>the</w:t>
      </w:r>
      <w:r w:rsidRPr="00A23557">
        <w:rPr>
          <w:spacing w:val="-5"/>
        </w:rPr>
        <w:t xml:space="preserve"> </w:t>
      </w:r>
      <w:r w:rsidRPr="00A23557">
        <w:t>DEIA</w:t>
      </w:r>
      <w:r w:rsidRPr="00A23557">
        <w:rPr>
          <w:spacing w:val="-4"/>
        </w:rPr>
        <w:t xml:space="preserve"> </w:t>
      </w:r>
      <w:r w:rsidRPr="00A23557">
        <w:t>goals;</w:t>
      </w:r>
      <w:r w:rsidRPr="00A23557">
        <w:rPr>
          <w:spacing w:val="-4"/>
        </w:rPr>
        <w:t xml:space="preserve"> </w:t>
      </w:r>
      <w:r w:rsidRPr="00A23557">
        <w:t>and</w:t>
      </w:r>
    </w:p>
    <w:p w14:paraId="13785B70" w14:textId="77777777" w:rsidR="00F549FF" w:rsidRPr="006C647F" w:rsidRDefault="00F549FF" w:rsidP="00F549FF">
      <w:pPr>
        <w:pStyle w:val="ListParagraph"/>
        <w:widowControl w:val="0"/>
        <w:numPr>
          <w:ilvl w:val="0"/>
          <w:numId w:val="122"/>
        </w:numPr>
        <w:tabs>
          <w:tab w:val="left" w:pos="2135"/>
          <w:tab w:val="left" w:pos="2136"/>
        </w:tabs>
        <w:autoSpaceDE w:val="0"/>
        <w:autoSpaceDN w:val="0"/>
        <w:ind w:left="1800"/>
        <w:contextualSpacing w:val="0"/>
      </w:pPr>
      <w:r w:rsidRPr="00A23557">
        <w:t>Extent of engagement of organizations that represent DACs</w:t>
      </w:r>
      <w:r w:rsidRPr="00A23557">
        <w:rPr>
          <w:spacing w:val="-3"/>
        </w:rPr>
        <w:t xml:space="preserve"> </w:t>
      </w:r>
      <w:r w:rsidRPr="00A23557">
        <w:t>as</w:t>
      </w:r>
      <w:r w:rsidRPr="00A23557">
        <w:rPr>
          <w:spacing w:val="-5"/>
        </w:rPr>
        <w:t xml:space="preserve"> </w:t>
      </w:r>
      <w:r w:rsidRPr="00A23557">
        <w:t>a</w:t>
      </w:r>
      <w:r w:rsidRPr="00A23557">
        <w:rPr>
          <w:spacing w:val="-2"/>
        </w:rPr>
        <w:t xml:space="preserve"> </w:t>
      </w:r>
      <w:r w:rsidRPr="00A23557">
        <w:t>core</w:t>
      </w:r>
      <w:r w:rsidRPr="00A23557">
        <w:rPr>
          <w:spacing w:val="-4"/>
        </w:rPr>
        <w:t xml:space="preserve"> </w:t>
      </w:r>
      <w:r w:rsidRPr="00A23557">
        <w:t>element</w:t>
      </w:r>
      <w:r w:rsidRPr="00A23557">
        <w:rPr>
          <w:spacing w:val="-2"/>
        </w:rPr>
        <w:t xml:space="preserve"> </w:t>
      </w:r>
      <w:r w:rsidRPr="00A23557">
        <w:t>of</w:t>
      </w:r>
      <w:r w:rsidRPr="00A23557">
        <w:rPr>
          <w:spacing w:val="-4"/>
        </w:rPr>
        <w:t xml:space="preserve"> </w:t>
      </w:r>
      <w:r w:rsidRPr="00A23557">
        <w:t>their</w:t>
      </w:r>
      <w:r w:rsidRPr="00A23557">
        <w:rPr>
          <w:spacing w:val="-5"/>
        </w:rPr>
        <w:t xml:space="preserve"> </w:t>
      </w:r>
      <w:r w:rsidRPr="00A23557">
        <w:t>mission,</w:t>
      </w:r>
      <w:r w:rsidRPr="00A23557">
        <w:rPr>
          <w:spacing w:val="-3"/>
        </w:rPr>
        <w:t xml:space="preserve"> </w:t>
      </w:r>
      <w:r w:rsidRPr="00A23557">
        <w:t>including</w:t>
      </w:r>
      <w:r w:rsidRPr="00A23557">
        <w:rPr>
          <w:spacing w:val="-3"/>
        </w:rPr>
        <w:t xml:space="preserve"> Minority Serving Institutions (</w:t>
      </w:r>
      <w:r w:rsidRPr="00A23557">
        <w:t>MSIs),</w:t>
      </w:r>
      <w:r w:rsidRPr="00A23557">
        <w:rPr>
          <w:spacing w:val="-5"/>
        </w:rPr>
        <w:t xml:space="preserve"> </w:t>
      </w:r>
      <w:r w:rsidRPr="00A23557">
        <w:t>Minority Business Entities, and nonprofit or community-based organizations.</w:t>
      </w:r>
    </w:p>
    <w:p w14:paraId="763BF67C" w14:textId="77777777" w:rsidR="00B47E7F" w:rsidRPr="008858B4" w:rsidRDefault="00B47E7F" w:rsidP="008858B4">
      <w:pPr>
        <w:rPr>
          <w:color w:val="0000FF"/>
        </w:rPr>
      </w:pPr>
    </w:p>
    <w:p w14:paraId="08BDEF49" w14:textId="73A4AB72" w:rsidR="00B07932" w:rsidRPr="00872882" w:rsidRDefault="004E672B" w:rsidP="004D5367">
      <w:pPr>
        <w:pStyle w:val="FOAHeading3"/>
        <w:numPr>
          <w:ilvl w:val="0"/>
          <w:numId w:val="44"/>
        </w:numPr>
        <w:ind w:left="1440"/>
        <w:outlineLvl w:val="2"/>
      </w:pPr>
      <w:bookmarkStart w:id="438" w:name="_Toc519602391"/>
      <w:bookmarkStart w:id="439" w:name="_Toc176864487"/>
      <w:r w:rsidRPr="00C72CE2">
        <w:t>Criteria for Replies to Reviewer Comments</w:t>
      </w:r>
      <w:bookmarkEnd w:id="438"/>
      <w:bookmarkEnd w:id="439"/>
    </w:p>
    <w:p w14:paraId="79917DE3" w14:textId="55A72C4A" w:rsidR="00B07932" w:rsidRPr="008858B4" w:rsidRDefault="004E672B" w:rsidP="00A53BBC">
      <w:pPr>
        <w:ind w:left="1440"/>
      </w:pPr>
      <w:r w:rsidRPr="008858B4">
        <w:t>EERE has not established separate criteria to evaluate Replies to Reviewer Comments. Instead, Replies to Reviewer Comments are attached to the original applications and evaluated as an extension of the Full Application.</w:t>
      </w:r>
    </w:p>
    <w:p w14:paraId="5D975A69" w14:textId="77777777" w:rsidR="00B07932" w:rsidRDefault="00B07932" w:rsidP="008858B4"/>
    <w:p w14:paraId="12744C2F" w14:textId="3CB4B792" w:rsidR="00B07932" w:rsidRPr="001B113C" w:rsidRDefault="004E672B" w:rsidP="001612A1">
      <w:pPr>
        <w:pStyle w:val="FOAHeading2"/>
      </w:pPr>
      <w:bookmarkStart w:id="440" w:name="_Toc515980134"/>
      <w:bookmarkStart w:id="441" w:name="_Toc515980229"/>
      <w:bookmarkStart w:id="442" w:name="_Toc517191929"/>
      <w:bookmarkStart w:id="443" w:name="_Toc517350978"/>
      <w:bookmarkStart w:id="444" w:name="_Toc517771570"/>
      <w:bookmarkStart w:id="445" w:name="_Toc517797787"/>
      <w:bookmarkStart w:id="446" w:name="_Toc517797867"/>
      <w:bookmarkStart w:id="447" w:name="_Toc517797945"/>
      <w:bookmarkStart w:id="448" w:name="_Toc517798060"/>
      <w:bookmarkStart w:id="449" w:name="_Toc517798285"/>
      <w:bookmarkStart w:id="450" w:name="_Toc517798366"/>
      <w:bookmarkStart w:id="451" w:name="_Toc517798926"/>
      <w:bookmarkStart w:id="452" w:name="_Toc517799226"/>
      <w:bookmarkStart w:id="453" w:name="_Toc519602182"/>
      <w:bookmarkStart w:id="454" w:name="_Toc519602254"/>
      <w:bookmarkStart w:id="455" w:name="_Toc519602392"/>
      <w:bookmarkStart w:id="456" w:name="_Toc519602558"/>
      <w:bookmarkStart w:id="457" w:name="_Toc520382667"/>
      <w:bookmarkStart w:id="458" w:name="_Toc520455665"/>
      <w:bookmarkStart w:id="459" w:name="_Toc520455835"/>
      <w:bookmarkStart w:id="460" w:name="_Toc517798927"/>
      <w:bookmarkStart w:id="461" w:name="_Toc519602255"/>
      <w:bookmarkStart w:id="462" w:name="_Toc519602393"/>
      <w:bookmarkStart w:id="463" w:name="_Toc176864488"/>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1B113C">
        <w:t>Standards for Application Evaluation</w:t>
      </w:r>
      <w:bookmarkEnd w:id="460"/>
      <w:bookmarkEnd w:id="461"/>
      <w:bookmarkEnd w:id="462"/>
      <w:bookmarkEnd w:id="463"/>
    </w:p>
    <w:p w14:paraId="129B58FB" w14:textId="1B22FD52" w:rsidR="00B07932" w:rsidRPr="008858B4" w:rsidRDefault="004E672B" w:rsidP="005D7086">
      <w:pPr>
        <w:ind w:left="1080"/>
      </w:pPr>
      <w:r w:rsidRPr="008858B4">
        <w:t>Applications that are determined to be eligible will be evaluated in accordance with this FOA, by the standards set forth in EERE’s Notice of Objective Merit Review Procedure (76 Fed. Reg. 17846, March 31, 2011) and the guidance provided in the “</w:t>
      </w:r>
      <w:r w:rsidR="00A5029A">
        <w:t>DOE</w:t>
      </w:r>
      <w:r w:rsidRPr="008858B4">
        <w:t xml:space="preserve"> Merit Review Guide for Financial Assistance,” </w:t>
      </w:r>
      <w:r w:rsidR="004A082A">
        <w:t xml:space="preserve">effective </w:t>
      </w:r>
      <w:r w:rsidR="00E9746F">
        <w:t>September 2020</w:t>
      </w:r>
      <w:r w:rsidR="004E292C">
        <w:t>,</w:t>
      </w:r>
      <w:r w:rsidR="004A082A">
        <w:t xml:space="preserve"> </w:t>
      </w:r>
      <w:r w:rsidRPr="008858B4">
        <w:t xml:space="preserve">which is available at: </w:t>
      </w:r>
      <w:hyperlink r:id="rId45" w:history="1">
        <w:r w:rsidR="00333535">
          <w:rPr>
            <w:rStyle w:val="Hyperlink"/>
          </w:rPr>
          <w:t>https://energy.gov/management/downloads/merit-review-guide-financial-assistance-and-unsolicited-proposals-current</w:t>
        </w:r>
      </w:hyperlink>
      <w:r w:rsidRPr="008858B4">
        <w:t>.</w:t>
      </w:r>
    </w:p>
    <w:p w14:paraId="6CB1479C" w14:textId="77777777" w:rsidR="00B07932" w:rsidRDefault="00B07932" w:rsidP="008858B4"/>
    <w:p w14:paraId="68150EE0" w14:textId="05590867" w:rsidR="00B07932" w:rsidRPr="001B113C" w:rsidRDefault="004E672B" w:rsidP="001612A1">
      <w:pPr>
        <w:pStyle w:val="FOAHeading2"/>
      </w:pPr>
      <w:bookmarkStart w:id="464" w:name="_Toc520455667"/>
      <w:bookmarkStart w:id="465" w:name="_Toc520455837"/>
      <w:bookmarkStart w:id="466" w:name="_Toc520455668"/>
      <w:bookmarkStart w:id="467" w:name="_Toc520455838"/>
      <w:bookmarkStart w:id="468" w:name="_Toc520455669"/>
      <w:bookmarkStart w:id="469" w:name="_Toc520455839"/>
      <w:bookmarkStart w:id="470" w:name="_Toc517191931"/>
      <w:bookmarkStart w:id="471" w:name="_Toc517350980"/>
      <w:bookmarkStart w:id="472" w:name="_Toc517771572"/>
      <w:bookmarkStart w:id="473" w:name="_Toc517797789"/>
      <w:bookmarkStart w:id="474" w:name="_Toc517797869"/>
      <w:bookmarkStart w:id="475" w:name="_Toc517797947"/>
      <w:bookmarkStart w:id="476" w:name="_Toc517798062"/>
      <w:bookmarkStart w:id="477" w:name="_Toc517798287"/>
      <w:bookmarkStart w:id="478" w:name="_Toc517798368"/>
      <w:bookmarkStart w:id="479" w:name="_Toc517798928"/>
      <w:bookmarkStart w:id="480" w:name="_Toc517799228"/>
      <w:bookmarkStart w:id="481" w:name="_Toc519602184"/>
      <w:bookmarkStart w:id="482" w:name="_Toc519602256"/>
      <w:bookmarkStart w:id="483" w:name="_Toc519602394"/>
      <w:bookmarkStart w:id="484" w:name="_Toc519602560"/>
      <w:bookmarkStart w:id="485" w:name="_Toc520382669"/>
      <w:bookmarkStart w:id="486" w:name="_Toc520455670"/>
      <w:bookmarkStart w:id="487" w:name="_Toc520455840"/>
      <w:bookmarkStart w:id="488" w:name="_Toc517798929"/>
      <w:bookmarkStart w:id="489" w:name="_Toc519602257"/>
      <w:bookmarkStart w:id="490" w:name="_Toc519602395"/>
      <w:bookmarkStart w:id="491" w:name="_Toc17686448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1B113C">
        <w:t>Other Selection Factors</w:t>
      </w:r>
      <w:bookmarkEnd w:id="488"/>
      <w:bookmarkEnd w:id="489"/>
      <w:bookmarkEnd w:id="490"/>
      <w:bookmarkEnd w:id="491"/>
      <w:r w:rsidR="00853350">
        <w:br/>
      </w:r>
    </w:p>
    <w:p w14:paraId="17864C11" w14:textId="46CFB707" w:rsidR="00B07932" w:rsidRPr="00872882" w:rsidRDefault="004E672B" w:rsidP="004D5367">
      <w:pPr>
        <w:pStyle w:val="FOAHeading3"/>
        <w:numPr>
          <w:ilvl w:val="0"/>
          <w:numId w:val="45"/>
        </w:numPr>
        <w:ind w:left="1440"/>
        <w:outlineLvl w:val="2"/>
      </w:pPr>
      <w:bookmarkStart w:id="492" w:name="_Toc519602396"/>
      <w:bookmarkStart w:id="493" w:name="_Toc176864490"/>
      <w:r w:rsidRPr="00C72CE2">
        <w:t>Program Policy Factors</w:t>
      </w:r>
      <w:bookmarkEnd w:id="492"/>
      <w:bookmarkEnd w:id="493"/>
    </w:p>
    <w:p w14:paraId="139DF4C5" w14:textId="0C18373B" w:rsidR="00A43974" w:rsidRDefault="004E672B" w:rsidP="005C295F">
      <w:pPr>
        <w:ind w:left="1440"/>
      </w:pPr>
      <w:r w:rsidRPr="008858B4">
        <w:t>In addition to the above criteria, the Selection Official may consider the following program policy factors in determining which Full Applications to select for award negotiations:</w:t>
      </w:r>
    </w:p>
    <w:p w14:paraId="4BDA1FEE" w14:textId="7EFFCF38" w:rsidR="00766A9E" w:rsidRDefault="00766A9E" w:rsidP="00766A9E">
      <w:pPr>
        <w:pStyle w:val="ListParagraph"/>
        <w:ind w:left="1440"/>
      </w:pPr>
    </w:p>
    <w:p w14:paraId="27AC36F8" w14:textId="77777777" w:rsidR="00AA2109" w:rsidRDefault="004E672B" w:rsidP="00AC77FA">
      <w:pPr>
        <w:pStyle w:val="ListParagraph"/>
        <w:numPr>
          <w:ilvl w:val="0"/>
          <w:numId w:val="73"/>
        </w:numPr>
      </w:pPr>
      <w:r w:rsidRPr="00FF4C9C">
        <w:lastRenderedPageBreak/>
        <w:t>The degree to which the proposed project exhibits technological diversity when compared to the existing DOE project portfolio and other projects selected from the subject FOA</w:t>
      </w:r>
      <w:r>
        <w:t>;</w:t>
      </w:r>
    </w:p>
    <w:p w14:paraId="14C58610" w14:textId="77777777" w:rsidR="00AA2109" w:rsidRDefault="004E672B" w:rsidP="00AC77FA">
      <w:pPr>
        <w:pStyle w:val="ListParagraph"/>
        <w:numPr>
          <w:ilvl w:val="0"/>
          <w:numId w:val="73"/>
        </w:numPr>
      </w:pPr>
      <w:r w:rsidRPr="00FF4C9C">
        <w:t>The degree to which the proposed project, including proposed cost share, optimizes the use of available EERE funding to achieve programmatic objectives</w:t>
      </w:r>
      <w:r>
        <w:t>;</w:t>
      </w:r>
    </w:p>
    <w:p w14:paraId="78B4CF9A" w14:textId="77777777" w:rsidR="00AA2109" w:rsidRDefault="004E672B" w:rsidP="00AC77FA">
      <w:pPr>
        <w:pStyle w:val="ListParagraph"/>
        <w:numPr>
          <w:ilvl w:val="0"/>
          <w:numId w:val="73"/>
        </w:numPr>
      </w:pPr>
      <w:r>
        <w:t>The level of industry involvement and demonstrated ability to accelerate commercialization and overcome key market barriers;</w:t>
      </w:r>
    </w:p>
    <w:p w14:paraId="5B65D442" w14:textId="65582893" w:rsidR="006216F8" w:rsidRPr="006216F8" w:rsidRDefault="006216F8" w:rsidP="00AC77FA">
      <w:pPr>
        <w:pStyle w:val="ListParagraph"/>
        <w:numPr>
          <w:ilvl w:val="0"/>
          <w:numId w:val="73"/>
        </w:numPr>
      </w:pPr>
      <w:r w:rsidRPr="006216F8">
        <w:t>The degree to which the proposed project will accelerate transformational technological advances in areas that industry by itself is not likely to undertake because of technical and financial uncertainty;</w:t>
      </w:r>
    </w:p>
    <w:p w14:paraId="7317BDBC" w14:textId="77777777" w:rsidR="0003247F" w:rsidRDefault="0003247F" w:rsidP="0003247F">
      <w:pPr>
        <w:pStyle w:val="ListParagraph"/>
        <w:numPr>
          <w:ilvl w:val="0"/>
          <w:numId w:val="73"/>
        </w:numPr>
      </w:pPr>
      <w:bookmarkStart w:id="494" w:name="_Hlk85627892"/>
      <w:r>
        <w:t>The degree to which the proposed project, or group of projects, represent a desired geographic distribution (considering past awards and current applications);</w:t>
      </w:r>
    </w:p>
    <w:p w14:paraId="02A9267C" w14:textId="7505DC05" w:rsidR="00245734" w:rsidRPr="00536696" w:rsidRDefault="0003247F" w:rsidP="00DE1C37">
      <w:pPr>
        <w:numPr>
          <w:ilvl w:val="0"/>
          <w:numId w:val="73"/>
        </w:numPr>
        <w:pBdr>
          <w:top w:val="nil"/>
          <w:left w:val="nil"/>
          <w:bottom w:val="nil"/>
          <w:right w:val="nil"/>
          <w:between w:val="nil"/>
        </w:pBdr>
      </w:pPr>
      <w:bookmarkStart w:id="495" w:name="_Hlk70316102"/>
      <w:r w:rsidRPr="00E47A6D">
        <w:rPr>
          <w:rFonts w:ascii="Calibri" w:hAnsi="Calibri"/>
          <w:color w:val="000000"/>
        </w:rPr>
        <w:t>Th</w:t>
      </w:r>
      <w:r>
        <w:rPr>
          <w:rFonts w:ascii="Calibri" w:hAnsi="Calibri"/>
          <w:color w:val="000000"/>
        </w:rPr>
        <w:t xml:space="preserve">e degree </w:t>
      </w:r>
      <w:r w:rsidRPr="181D1EA3">
        <w:rPr>
          <w:rFonts w:ascii="Calibri" w:hAnsi="Calibri"/>
          <w:color w:val="000000" w:themeColor="text1"/>
        </w:rPr>
        <w:t xml:space="preserve">to which the proposed project incorporates applicant or team members from Minority Serving Institutions (e.g., </w:t>
      </w:r>
      <w:bookmarkStart w:id="496" w:name="_Hlk112844773"/>
      <w:r w:rsidRPr="181D1EA3">
        <w:rPr>
          <w:rFonts w:ascii="Calibri" w:hAnsi="Calibri"/>
          <w:color w:val="000000" w:themeColor="text1"/>
        </w:rPr>
        <w:t>Historically Black Colleges and Universities (HBCUs)/Other Minority Institutions</w:t>
      </w:r>
      <w:bookmarkEnd w:id="496"/>
      <w:r>
        <w:rPr>
          <w:rFonts w:ascii="Calibri" w:hAnsi="Calibri"/>
          <w:color w:val="000000" w:themeColor="text1"/>
        </w:rPr>
        <w:t xml:space="preserve"> (OMIs)</w:t>
      </w:r>
      <w:r w:rsidRPr="181D1EA3">
        <w:rPr>
          <w:rFonts w:ascii="Calibri" w:hAnsi="Calibri"/>
          <w:color w:val="000000" w:themeColor="text1"/>
        </w:rPr>
        <w:t xml:space="preserve">); and partnerships with Minority Business Enterprises, </w:t>
      </w:r>
      <w:r>
        <w:rPr>
          <w:rFonts w:ascii="Calibri" w:hAnsi="Calibri"/>
          <w:color w:val="000000" w:themeColor="text1"/>
        </w:rPr>
        <w:t>m</w:t>
      </w:r>
      <w:r w:rsidRPr="181D1EA3">
        <w:rPr>
          <w:rFonts w:ascii="Calibri" w:hAnsi="Calibri"/>
          <w:color w:val="000000" w:themeColor="text1"/>
        </w:rPr>
        <w:t>inority</w:t>
      </w:r>
      <w:r>
        <w:rPr>
          <w:rFonts w:ascii="Calibri" w:hAnsi="Calibri"/>
          <w:color w:val="000000" w:themeColor="text1"/>
        </w:rPr>
        <w:t>-o</w:t>
      </w:r>
      <w:r w:rsidRPr="181D1EA3">
        <w:rPr>
          <w:rFonts w:ascii="Calibri" w:hAnsi="Calibri"/>
          <w:color w:val="000000" w:themeColor="text1"/>
        </w:rPr>
        <w:t xml:space="preserve">wned </w:t>
      </w:r>
      <w:r>
        <w:rPr>
          <w:rFonts w:ascii="Calibri" w:hAnsi="Calibri"/>
          <w:color w:val="000000" w:themeColor="text1"/>
        </w:rPr>
        <w:t>b</w:t>
      </w:r>
      <w:r w:rsidRPr="181D1EA3">
        <w:rPr>
          <w:rFonts w:ascii="Calibri" w:hAnsi="Calibri"/>
          <w:color w:val="000000" w:themeColor="text1"/>
        </w:rPr>
        <w:t xml:space="preserve">usinesses, </w:t>
      </w:r>
      <w:r>
        <w:rPr>
          <w:rFonts w:ascii="Calibri" w:hAnsi="Calibri"/>
          <w:color w:val="000000" w:themeColor="text1"/>
        </w:rPr>
        <w:t>w</w:t>
      </w:r>
      <w:r w:rsidRPr="181D1EA3">
        <w:rPr>
          <w:rFonts w:ascii="Calibri" w:hAnsi="Calibri"/>
          <w:color w:val="000000" w:themeColor="text1"/>
        </w:rPr>
        <w:t>oman</w:t>
      </w:r>
      <w:r>
        <w:rPr>
          <w:rFonts w:ascii="Calibri" w:hAnsi="Calibri"/>
          <w:color w:val="000000" w:themeColor="text1"/>
        </w:rPr>
        <w:t>-o</w:t>
      </w:r>
      <w:r w:rsidRPr="181D1EA3">
        <w:rPr>
          <w:rFonts w:ascii="Calibri" w:hAnsi="Calibri"/>
          <w:color w:val="000000" w:themeColor="text1"/>
        </w:rPr>
        <w:t xml:space="preserve">wned </w:t>
      </w:r>
      <w:r>
        <w:rPr>
          <w:rFonts w:ascii="Calibri" w:hAnsi="Calibri"/>
          <w:color w:val="000000" w:themeColor="text1"/>
        </w:rPr>
        <w:t>b</w:t>
      </w:r>
      <w:r w:rsidRPr="181D1EA3">
        <w:rPr>
          <w:rFonts w:ascii="Calibri" w:hAnsi="Calibri"/>
          <w:color w:val="000000" w:themeColor="text1"/>
        </w:rPr>
        <w:t xml:space="preserve">usinesses, </w:t>
      </w:r>
      <w:r>
        <w:rPr>
          <w:rFonts w:ascii="Calibri" w:hAnsi="Calibri"/>
          <w:color w:val="000000" w:themeColor="text1"/>
        </w:rPr>
        <w:t>v</w:t>
      </w:r>
      <w:r w:rsidRPr="181D1EA3">
        <w:rPr>
          <w:rFonts w:ascii="Calibri" w:hAnsi="Calibri"/>
          <w:color w:val="000000" w:themeColor="text1"/>
        </w:rPr>
        <w:t>eteran</w:t>
      </w:r>
      <w:r>
        <w:rPr>
          <w:rFonts w:ascii="Calibri" w:hAnsi="Calibri"/>
          <w:color w:val="000000" w:themeColor="text1"/>
        </w:rPr>
        <w:t>-o</w:t>
      </w:r>
      <w:r w:rsidRPr="181D1EA3">
        <w:rPr>
          <w:rFonts w:ascii="Calibri" w:hAnsi="Calibri"/>
          <w:color w:val="000000" w:themeColor="text1"/>
        </w:rPr>
        <w:t xml:space="preserve">wned </w:t>
      </w:r>
      <w:r>
        <w:rPr>
          <w:rFonts w:ascii="Calibri" w:hAnsi="Calibri"/>
          <w:color w:val="000000" w:themeColor="text1"/>
        </w:rPr>
        <w:t>b</w:t>
      </w:r>
      <w:r w:rsidRPr="181D1EA3">
        <w:rPr>
          <w:rFonts w:ascii="Calibri" w:hAnsi="Calibri"/>
          <w:color w:val="000000" w:themeColor="text1"/>
        </w:rPr>
        <w:t xml:space="preserve">usinesses, or </w:t>
      </w:r>
      <w:r>
        <w:rPr>
          <w:rFonts w:ascii="Calibri" w:hAnsi="Calibri"/>
          <w:color w:val="000000" w:themeColor="text1"/>
        </w:rPr>
        <w:t xml:space="preserve">Indian </w:t>
      </w:r>
      <w:r w:rsidR="0078754A">
        <w:rPr>
          <w:rFonts w:ascii="Calibri" w:hAnsi="Calibri"/>
          <w:color w:val="000000" w:themeColor="text1"/>
        </w:rPr>
        <w:t>Tribes</w:t>
      </w:r>
      <w:r>
        <w:rPr>
          <w:rFonts w:ascii="Calibri" w:hAnsi="Calibri"/>
          <w:color w:val="000000" w:themeColor="text1"/>
        </w:rPr>
        <w:t>;</w:t>
      </w:r>
      <w:r w:rsidR="00245734" w:rsidRPr="00330888">
        <w:rPr>
          <w:rFonts w:ascii="Calibri" w:hAnsi="Calibri"/>
          <w:color w:val="000000" w:themeColor="text1"/>
        </w:rPr>
        <w:t xml:space="preserve"> </w:t>
      </w:r>
      <w:r w:rsidR="00245734">
        <w:rPr>
          <w:rFonts w:ascii="Calibri" w:hAnsi="Calibri"/>
          <w:color w:val="000000" w:themeColor="text1"/>
        </w:rPr>
        <w:t>and</w:t>
      </w:r>
    </w:p>
    <w:p w14:paraId="23A2EB71" w14:textId="2E36061E" w:rsidR="0003247F" w:rsidRPr="008B0D95" w:rsidRDefault="00245734" w:rsidP="00245734">
      <w:pPr>
        <w:numPr>
          <w:ilvl w:val="0"/>
          <w:numId w:val="73"/>
        </w:numPr>
        <w:pBdr>
          <w:top w:val="nil"/>
          <w:left w:val="nil"/>
          <w:bottom w:val="nil"/>
          <w:right w:val="nil"/>
          <w:between w:val="nil"/>
        </w:pBdr>
        <w:rPr>
          <w:rStyle w:val="normaltextrun"/>
        </w:rPr>
      </w:pPr>
      <w:r w:rsidRPr="00F51A4A">
        <w:rPr>
          <w:rStyle w:val="normaltextrun"/>
          <w:rFonts w:ascii="Calibri" w:hAnsi="Calibri" w:cs="Calibri"/>
          <w:color w:val="000000"/>
          <w:shd w:val="clear" w:color="auto" w:fill="FFFFFF"/>
        </w:rPr>
        <w:t>The degree to which the proposed project will employ procurement of U.S. iron, steel, manufactured products, and construction materials.</w:t>
      </w:r>
    </w:p>
    <w:p w14:paraId="155973A4" w14:textId="77777777" w:rsidR="00210D01" w:rsidRPr="00FF4C9C" w:rsidRDefault="00210D01" w:rsidP="00210D01">
      <w:pPr>
        <w:pStyle w:val="ListParagraph"/>
        <w:numPr>
          <w:ilvl w:val="0"/>
          <w:numId w:val="73"/>
        </w:numPr>
      </w:pPr>
      <w:r w:rsidRPr="00FF4C9C">
        <w:t>The degree to which the proposed project</w:t>
      </w:r>
      <w:r w:rsidRPr="5F2B9FEB">
        <w:t xml:space="preserve"> </w:t>
      </w:r>
      <w:r>
        <w:t>contributes to the diversity of organizations and organization types and sizes selected from the subject FOA when compared to the existing DOE project portfolio</w:t>
      </w:r>
      <w:r w:rsidRPr="5F2B9FEB">
        <w:t>.</w:t>
      </w:r>
    </w:p>
    <w:p w14:paraId="23B61A7E" w14:textId="77777777" w:rsidR="00210D01" w:rsidRPr="00FF4C9C" w:rsidRDefault="00210D01" w:rsidP="00210D01">
      <w:pPr>
        <w:pStyle w:val="ListParagraph"/>
        <w:numPr>
          <w:ilvl w:val="0"/>
          <w:numId w:val="73"/>
        </w:numPr>
      </w:pPr>
      <w:r>
        <w:t>The degree to which the proposed project has broad public support from the communities most directly impacted by the project.</w:t>
      </w:r>
    </w:p>
    <w:p w14:paraId="1C232B4B" w14:textId="77777777" w:rsidR="00210D01" w:rsidRPr="00FF4C9C" w:rsidRDefault="00210D01" w:rsidP="00210D01">
      <w:pPr>
        <w:pStyle w:val="ListParagraph"/>
        <w:numPr>
          <w:ilvl w:val="0"/>
          <w:numId w:val="73"/>
        </w:numPr>
      </w:pPr>
      <w:r w:rsidRPr="00FF4C9C">
        <w:t>The degree to which the proposed project avoids duplication/overlap with other publicly or privately funded work.</w:t>
      </w:r>
    </w:p>
    <w:p w14:paraId="0C4095B8" w14:textId="77777777" w:rsidR="00210D01" w:rsidRPr="000B0C6E" w:rsidRDefault="00210D01" w:rsidP="00210D01">
      <w:pPr>
        <w:pStyle w:val="ListParagraph"/>
        <w:numPr>
          <w:ilvl w:val="0"/>
          <w:numId w:val="73"/>
        </w:numPr>
      </w:pPr>
      <w:r w:rsidRPr="00FF4C9C">
        <w:t>The degree to which the proposed project supports complementary efforts or projects, which, when taken together, will best achieve the research goals and objectives.</w:t>
      </w:r>
    </w:p>
    <w:p w14:paraId="24BC7389" w14:textId="77777777" w:rsidR="00210D01" w:rsidRPr="00FF4C9C" w:rsidRDefault="00210D01" w:rsidP="00210D01">
      <w:pPr>
        <w:pStyle w:val="ListParagraph"/>
        <w:numPr>
          <w:ilvl w:val="0"/>
          <w:numId w:val="73"/>
        </w:numPr>
      </w:pPr>
      <w:r w:rsidRPr="00FF4C9C">
        <w:t>The degree to which the proposed project enables new and expanding market segments.</w:t>
      </w:r>
    </w:p>
    <w:p w14:paraId="6CA91161" w14:textId="77777777" w:rsidR="00210D01" w:rsidRPr="00FF4C9C" w:rsidRDefault="00210D01" w:rsidP="00210D01">
      <w:pPr>
        <w:pStyle w:val="ListParagraph"/>
        <w:numPr>
          <w:ilvl w:val="0"/>
          <w:numId w:val="73"/>
        </w:numPr>
      </w:pPr>
      <w:r w:rsidRPr="00FF4C9C">
        <w:t>The degree to which the project’s solution or strategy will maximize deployment or replication.</w:t>
      </w:r>
    </w:p>
    <w:p w14:paraId="6194E3FE" w14:textId="25010582" w:rsidR="009A3DDD" w:rsidRPr="006C56C2" w:rsidRDefault="00210D01" w:rsidP="008B0D95">
      <w:pPr>
        <w:pStyle w:val="ListParagraph"/>
        <w:rPr>
          <w:color w:val="0000FF"/>
          <w:highlight w:val="cyan"/>
        </w:rPr>
      </w:pPr>
      <w:r w:rsidRPr="00FF4C9C">
        <w:t>The degree to which the project promotes increased coordination with nongovernmental entities for demonstration of technologies and research applications to facilitate technology transfer.</w:t>
      </w:r>
      <w:bookmarkEnd w:id="494"/>
      <w:bookmarkEnd w:id="495"/>
    </w:p>
    <w:p w14:paraId="579BA516" w14:textId="77777777" w:rsidR="0003247F" w:rsidRDefault="0003247F" w:rsidP="0003247F"/>
    <w:p w14:paraId="68BC266A" w14:textId="72764DF4" w:rsidR="00B07932" w:rsidRPr="001B113C" w:rsidRDefault="004E672B" w:rsidP="001612A1">
      <w:pPr>
        <w:pStyle w:val="FOAHeading2"/>
      </w:pPr>
      <w:bookmarkStart w:id="497" w:name="_Toc515980137"/>
      <w:bookmarkStart w:id="498" w:name="_Toc515980232"/>
      <w:bookmarkStart w:id="499" w:name="_Toc517191933"/>
      <w:bookmarkStart w:id="500" w:name="_Toc517350982"/>
      <w:bookmarkStart w:id="501" w:name="_Toc517771574"/>
      <w:bookmarkStart w:id="502" w:name="_Toc517797791"/>
      <w:bookmarkStart w:id="503" w:name="_Toc517797871"/>
      <w:bookmarkStart w:id="504" w:name="_Toc517797949"/>
      <w:bookmarkStart w:id="505" w:name="_Toc517798064"/>
      <w:bookmarkStart w:id="506" w:name="_Toc517798289"/>
      <w:bookmarkStart w:id="507" w:name="_Toc517798370"/>
      <w:bookmarkStart w:id="508" w:name="_Toc517798930"/>
      <w:bookmarkStart w:id="509" w:name="_Toc517799231"/>
      <w:bookmarkStart w:id="510" w:name="_Toc519602186"/>
      <w:bookmarkStart w:id="511" w:name="_Toc519602258"/>
      <w:bookmarkStart w:id="512" w:name="_Toc519602397"/>
      <w:bookmarkStart w:id="513" w:name="_Toc519602563"/>
      <w:bookmarkStart w:id="514" w:name="_Toc520382672"/>
      <w:bookmarkStart w:id="515" w:name="_Toc520455673"/>
      <w:bookmarkStart w:id="516" w:name="_Toc520455843"/>
      <w:bookmarkStart w:id="517" w:name="_Toc517798931"/>
      <w:bookmarkStart w:id="518" w:name="_Toc519602259"/>
      <w:bookmarkStart w:id="519" w:name="_Toc519602398"/>
      <w:bookmarkStart w:id="520" w:name="_Toc176864491"/>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1B113C">
        <w:lastRenderedPageBreak/>
        <w:t>Evaluation and Selection Process</w:t>
      </w:r>
      <w:bookmarkEnd w:id="517"/>
      <w:bookmarkEnd w:id="518"/>
      <w:bookmarkEnd w:id="519"/>
      <w:bookmarkEnd w:id="520"/>
      <w:r w:rsidR="00853350">
        <w:br/>
      </w:r>
    </w:p>
    <w:p w14:paraId="3C332931" w14:textId="61B77AB1" w:rsidR="00B07932" w:rsidRPr="00872882" w:rsidRDefault="004E672B" w:rsidP="004D5367">
      <w:pPr>
        <w:pStyle w:val="FOAHeading3"/>
        <w:numPr>
          <w:ilvl w:val="0"/>
          <w:numId w:val="46"/>
        </w:numPr>
        <w:ind w:left="1440"/>
        <w:outlineLvl w:val="2"/>
      </w:pPr>
      <w:bookmarkStart w:id="521" w:name="_Toc519602399"/>
      <w:bookmarkStart w:id="522" w:name="_Toc176864492"/>
      <w:r w:rsidRPr="00C72CE2">
        <w:t>Overview</w:t>
      </w:r>
      <w:bookmarkEnd w:id="521"/>
      <w:bookmarkEnd w:id="522"/>
    </w:p>
    <w:p w14:paraId="0FF5317B" w14:textId="6C601B04" w:rsidR="00B07932" w:rsidRPr="001D6622" w:rsidRDefault="004E672B" w:rsidP="001D6622">
      <w:pPr>
        <w:ind w:left="1440"/>
        <w:rPr>
          <w:highlight w:val="yellow"/>
        </w:rPr>
      </w:pPr>
      <w:r w:rsidRPr="008858B4">
        <w:t>The evaluation process consists of multiple phases; each includes an initial eligibility review and a thorough technical review. Rigorous technical reviews of eligible submissions are conducted by reviewers that are experts in the subject matter of the FOA. Ultimately, the Selection Official considers the recommendations of the reviewers, along with other considerations such as program policy factors</w:t>
      </w:r>
      <w:r w:rsidR="00584958">
        <w:t xml:space="preserve"> and risk reviews</w:t>
      </w:r>
      <w:r w:rsidRPr="008858B4">
        <w:t xml:space="preserve">, in determining which applications to select. </w:t>
      </w:r>
    </w:p>
    <w:p w14:paraId="4F3CE15F" w14:textId="77777777" w:rsidR="00B07932" w:rsidRPr="008858B4" w:rsidRDefault="00B07932" w:rsidP="008858B4"/>
    <w:p w14:paraId="6D9EDDFD" w14:textId="5E29967E" w:rsidR="00B07932" w:rsidRPr="00872882" w:rsidRDefault="004E672B" w:rsidP="004D5367">
      <w:pPr>
        <w:pStyle w:val="FOAHeading3"/>
        <w:numPr>
          <w:ilvl w:val="0"/>
          <w:numId w:val="46"/>
        </w:numPr>
        <w:ind w:left="1440"/>
        <w:outlineLvl w:val="2"/>
      </w:pPr>
      <w:bookmarkStart w:id="523" w:name="_Toc519602401"/>
      <w:bookmarkStart w:id="524" w:name="_Toc176864493"/>
      <w:r w:rsidRPr="00C72CE2">
        <w:t>Pre-Selection Clarification</w:t>
      </w:r>
      <w:bookmarkEnd w:id="523"/>
      <w:bookmarkEnd w:id="524"/>
    </w:p>
    <w:p w14:paraId="02B72302" w14:textId="0036AB11" w:rsidR="00B07932" w:rsidRPr="008858B4" w:rsidRDefault="004E672B" w:rsidP="00A53BBC">
      <w:pPr>
        <w:ind w:left="1440"/>
        <w:rPr>
          <w:szCs w:val="24"/>
        </w:rPr>
      </w:pPr>
      <w:r w:rsidRPr="008858B4">
        <w:t>EERE may determine that pre-selection clarifications are necessary from one or more applicants. Pre-selection clarifications are distinct from and less formal than pre-selection interviews.</w:t>
      </w:r>
      <w:r w:rsidR="001A3502">
        <w:t xml:space="preserve"> </w:t>
      </w:r>
      <w:r w:rsidRPr="008858B4">
        <w:t xml:space="preserve">These pre-selection clarifications will solely be for the purposes of clarifying the application. The pre-selection clarifications may occur before, during or after the merit </w:t>
      </w:r>
      <w:r w:rsidRPr="00120F39">
        <w:t>review evaluation proce</w:t>
      </w:r>
      <w:r w:rsidRPr="009061D6">
        <w:t>ss. Information provided by an applicant that is not necessary to address the pre-selection clarification question will not be reviewed or considered. Typically, a pre-selection clarification will be carried out through either written responses to EERE’s written clarification questions or video or conference calls with EERE representatives.</w:t>
      </w:r>
    </w:p>
    <w:p w14:paraId="46C6AD03" w14:textId="77777777" w:rsidR="00B07932" w:rsidRPr="008858B4" w:rsidRDefault="004E672B" w:rsidP="00973D28">
      <w:pPr>
        <w:ind w:left="1440"/>
        <w:rPr>
          <w:szCs w:val="24"/>
        </w:rPr>
      </w:pPr>
      <w:r w:rsidRPr="008858B4">
        <w:rPr>
          <w:szCs w:val="24"/>
        </w:rPr>
        <w:t xml:space="preserve"> </w:t>
      </w:r>
    </w:p>
    <w:p w14:paraId="4EE82927" w14:textId="77777777" w:rsidR="00B07932" w:rsidRPr="00AF2304" w:rsidRDefault="004E672B" w:rsidP="00A53BBC">
      <w:pPr>
        <w:pStyle w:val="PlainText"/>
        <w:ind w:left="1440"/>
        <w:rPr>
          <w:rFonts w:asciiTheme="minorHAnsi" w:hAnsiTheme="minorHAnsi"/>
          <w:sz w:val="24"/>
          <w:szCs w:val="24"/>
        </w:rPr>
      </w:pPr>
      <w:r w:rsidRPr="00AF2304">
        <w:rPr>
          <w:rFonts w:asciiTheme="minorHAnsi" w:hAnsiTheme="minorHAnsi"/>
          <w:sz w:val="24"/>
          <w:szCs w:val="24"/>
        </w:rPr>
        <w:t>The information provided by applicants to EERE through pre-selection clarifications is incorporated in their applications and contributes to the merit review evaluation and EERE’s selection decisions. If EERE contacts an applicant for pre-selection clarification purposes, it does not signify that the applicant has been selected for negotiation of award or that the applicant is among the top ranked applications.</w:t>
      </w:r>
    </w:p>
    <w:p w14:paraId="3B7F9E93" w14:textId="77777777" w:rsidR="00B07932" w:rsidRPr="008858B4" w:rsidRDefault="00B07932" w:rsidP="00A53BBC">
      <w:pPr>
        <w:ind w:left="1440"/>
        <w:rPr>
          <w:szCs w:val="24"/>
        </w:rPr>
      </w:pPr>
    </w:p>
    <w:p w14:paraId="29F34C57" w14:textId="77777777" w:rsidR="00B07932" w:rsidRDefault="004E672B" w:rsidP="00A53BBC">
      <w:pPr>
        <w:ind w:left="1440"/>
        <w:rPr>
          <w:szCs w:val="24"/>
        </w:rPr>
      </w:pPr>
      <w:r w:rsidRPr="00120F39">
        <w:t>EERE wi</w:t>
      </w:r>
      <w:r w:rsidRPr="009061D6">
        <w:t>ll not reimburse applicants for expenses relating to the pre-selection clarifications, nor will these costs be eligible for reimbursement as pre-award costs.</w:t>
      </w:r>
    </w:p>
    <w:p w14:paraId="75C45E66" w14:textId="77777777" w:rsidR="002F33C9" w:rsidRDefault="002F33C9" w:rsidP="001C6AFF">
      <w:pPr>
        <w:ind w:left="1800"/>
        <w:rPr>
          <w:szCs w:val="24"/>
        </w:rPr>
      </w:pPr>
    </w:p>
    <w:p w14:paraId="0966631F" w14:textId="7EAB7CD0" w:rsidR="00FB7FAD" w:rsidRPr="00872882" w:rsidRDefault="001D2258" w:rsidP="001D2258">
      <w:pPr>
        <w:pStyle w:val="FOAHeading3"/>
        <w:numPr>
          <w:ilvl w:val="0"/>
          <w:numId w:val="46"/>
        </w:numPr>
        <w:ind w:left="1440"/>
        <w:outlineLvl w:val="2"/>
      </w:pPr>
      <w:bookmarkStart w:id="525" w:name="_Toc140060995"/>
      <w:bookmarkStart w:id="526" w:name="_Toc519602402"/>
      <w:bookmarkStart w:id="527" w:name="_Toc176864494"/>
      <w:r w:rsidRPr="00C72CE2">
        <w:t xml:space="preserve">Recipient </w:t>
      </w:r>
      <w:bookmarkStart w:id="528" w:name="_Hlk124428734"/>
      <w:r>
        <w:t>Responsibility and Qualifications</w:t>
      </w:r>
      <w:bookmarkEnd w:id="525"/>
      <w:bookmarkEnd w:id="526"/>
      <w:bookmarkEnd w:id="528"/>
      <w:bookmarkEnd w:id="527"/>
      <w:r w:rsidR="004E672B" w:rsidRPr="00C72CE2">
        <w:t xml:space="preserve"> </w:t>
      </w:r>
    </w:p>
    <w:p w14:paraId="37F55DAD" w14:textId="0FBB27B7" w:rsidR="00FB7FAD" w:rsidRPr="008D2C1A" w:rsidRDefault="004E672B" w:rsidP="00A53BBC">
      <w:pPr>
        <w:pStyle w:val="FOATemplateBody"/>
        <w:ind w:left="1440"/>
        <w:rPr>
          <w:szCs w:val="24"/>
        </w:rPr>
      </w:pPr>
      <w:r w:rsidRPr="00120F39">
        <w:t xml:space="preserve">DOE, prior to making a </w:t>
      </w:r>
      <w:r w:rsidR="00506F43">
        <w:t>f</w:t>
      </w:r>
      <w:r w:rsidR="00506F43" w:rsidRPr="00120F39">
        <w:t xml:space="preserve">ederal </w:t>
      </w:r>
      <w:r w:rsidRPr="00120F39">
        <w:t>award with a total am</w:t>
      </w:r>
      <w:r w:rsidRPr="009061D6">
        <w:t xml:space="preserve">ount of </w:t>
      </w:r>
      <w:r w:rsidR="00506F43">
        <w:t>f</w:t>
      </w:r>
      <w:r w:rsidR="00506F43" w:rsidRPr="009061D6">
        <w:t xml:space="preserve">ederal </w:t>
      </w:r>
      <w:r w:rsidRPr="009061D6">
        <w:t xml:space="preserve">share greater than the simplified acquisition threshold, is required to review and consider any </w:t>
      </w:r>
      <w:r w:rsidR="001D2258">
        <w:t xml:space="preserve">responsibility and qualification </w:t>
      </w:r>
      <w:r w:rsidRPr="009061D6">
        <w:t xml:space="preserve">information about the applicant that is in the </w:t>
      </w:r>
      <w:r w:rsidR="001D2258">
        <w:t>entity information domain in</w:t>
      </w:r>
      <w:r w:rsidR="001D2258" w:rsidRPr="009061D6">
        <w:t xml:space="preserve"> </w:t>
      </w:r>
      <w:hyperlink r:id="rId46" w:history="1">
        <w:r w:rsidR="001D2258" w:rsidRPr="00BB6BB3">
          <w:rPr>
            <w:rStyle w:val="Hyperlink"/>
          </w:rPr>
          <w:t>SAM.gov</w:t>
        </w:r>
      </w:hyperlink>
      <w:r w:rsidRPr="009061D6">
        <w:t xml:space="preserve"> (see 41 U.S.C. 2313).</w:t>
      </w:r>
    </w:p>
    <w:p w14:paraId="5B177F47" w14:textId="77777777" w:rsidR="00FB7FAD" w:rsidRPr="00B5344E" w:rsidRDefault="00FB7FAD" w:rsidP="00A53BBC">
      <w:pPr>
        <w:ind w:left="1440"/>
      </w:pPr>
    </w:p>
    <w:p w14:paraId="2F7AA0EF" w14:textId="2D7294B1" w:rsidR="00FB7FAD" w:rsidRPr="008D2C1A" w:rsidRDefault="004E672B" w:rsidP="00A53BBC">
      <w:pPr>
        <w:pStyle w:val="FOATemplateBody"/>
        <w:ind w:left="1440"/>
        <w:rPr>
          <w:szCs w:val="24"/>
        </w:rPr>
      </w:pPr>
      <w:r w:rsidRPr="00120F39">
        <w:t xml:space="preserve">The applicant, at its option, may review information in the </w:t>
      </w:r>
      <w:r w:rsidR="001D2258">
        <w:t xml:space="preserve">entity information domain in </w:t>
      </w:r>
      <w:hyperlink r:id="rId47" w:history="1">
        <w:r w:rsidR="001D2258" w:rsidRPr="00BB6BB3">
          <w:rPr>
            <w:rStyle w:val="Hyperlink"/>
          </w:rPr>
          <w:t>SAM.gov</w:t>
        </w:r>
      </w:hyperlink>
      <w:r w:rsidR="001D2258">
        <w:rPr>
          <w:rStyle w:val="Hyperlink"/>
        </w:rPr>
        <w:t xml:space="preserve"> </w:t>
      </w:r>
      <w:r w:rsidRPr="00120F39">
        <w:t xml:space="preserve">and comment on any information about itself that a </w:t>
      </w:r>
      <w:r w:rsidR="00506F43">
        <w:t>f</w:t>
      </w:r>
      <w:r w:rsidR="00506F43" w:rsidRPr="00120F39">
        <w:t xml:space="preserve">ederal </w:t>
      </w:r>
      <w:r w:rsidRPr="00120F39">
        <w:lastRenderedPageBreak/>
        <w:t>awarding agency previously entered and is currently in th</w:t>
      </w:r>
      <w:r w:rsidRPr="009061D6">
        <w:t xml:space="preserve">e </w:t>
      </w:r>
      <w:r w:rsidR="001D2258">
        <w:t xml:space="preserve">entity information domain in </w:t>
      </w:r>
      <w:hyperlink r:id="rId48" w:history="1">
        <w:r w:rsidR="001D2258" w:rsidRPr="00BB6BB3">
          <w:rPr>
            <w:rStyle w:val="Hyperlink"/>
          </w:rPr>
          <w:t>SAM.gov</w:t>
        </w:r>
      </w:hyperlink>
      <w:r w:rsidRPr="009061D6">
        <w:t>.</w:t>
      </w:r>
    </w:p>
    <w:p w14:paraId="0E7CB802" w14:textId="77777777" w:rsidR="00FB7FAD" w:rsidRPr="008D2C1A" w:rsidRDefault="00FB7FAD" w:rsidP="00A53BBC">
      <w:pPr>
        <w:pStyle w:val="FOATemplateBody"/>
        <w:ind w:left="1440"/>
        <w:rPr>
          <w:szCs w:val="24"/>
        </w:rPr>
      </w:pPr>
    </w:p>
    <w:p w14:paraId="61ABEDA1" w14:textId="7FBB2EB3" w:rsidR="002F33C9" w:rsidRPr="008D2C1A" w:rsidRDefault="004E672B" w:rsidP="00A53BBC">
      <w:pPr>
        <w:pStyle w:val="FOATemplateBody"/>
        <w:ind w:left="1440"/>
        <w:rPr>
          <w:szCs w:val="24"/>
        </w:rPr>
      </w:pPr>
      <w:r w:rsidRPr="00120F39">
        <w:t xml:space="preserve">DOE will consider any written comments by the applicant, in addition to the other information in the </w:t>
      </w:r>
      <w:r w:rsidR="001D2258">
        <w:t xml:space="preserve">entity information domain in </w:t>
      </w:r>
      <w:hyperlink r:id="rId49" w:history="1">
        <w:r w:rsidR="001D2258" w:rsidRPr="00BB6BB3">
          <w:rPr>
            <w:rStyle w:val="Hyperlink"/>
          </w:rPr>
          <w:t>SAM.gov</w:t>
        </w:r>
      </w:hyperlink>
      <w:r w:rsidRPr="00120F39">
        <w:t>, in making a judgment about the applican</w:t>
      </w:r>
      <w:r w:rsidRPr="009061D6">
        <w:t xml:space="preserve">t's integrity, business ethics, and record of performance under </w:t>
      </w:r>
      <w:r w:rsidR="00506F43">
        <w:t>f</w:t>
      </w:r>
      <w:r w:rsidR="00506F43" w:rsidRPr="009061D6">
        <w:t xml:space="preserve">ederal </w:t>
      </w:r>
      <w:r w:rsidRPr="009061D6">
        <w:t>awards when completing the review of risk posed by applicants as described in 2 CFR 200.20</w:t>
      </w:r>
      <w:r w:rsidR="00FC0A92">
        <w:t>6</w:t>
      </w:r>
      <w:r w:rsidRPr="009061D6">
        <w:t>.</w:t>
      </w:r>
    </w:p>
    <w:p w14:paraId="1BC82F94" w14:textId="77777777" w:rsidR="00B07932" w:rsidRDefault="00B07932" w:rsidP="008858B4"/>
    <w:p w14:paraId="69D5FE6E" w14:textId="6142FD59" w:rsidR="00B07932" w:rsidRPr="00872882" w:rsidRDefault="004E672B" w:rsidP="004D5367">
      <w:pPr>
        <w:pStyle w:val="FOAHeading3"/>
        <w:numPr>
          <w:ilvl w:val="0"/>
          <w:numId w:val="46"/>
        </w:numPr>
        <w:ind w:left="1440"/>
        <w:outlineLvl w:val="2"/>
      </w:pPr>
      <w:bookmarkStart w:id="529" w:name="_Toc517799237"/>
      <w:bookmarkStart w:id="530" w:name="_Toc519602403"/>
      <w:bookmarkStart w:id="531" w:name="_Toc519602569"/>
      <w:bookmarkStart w:id="532" w:name="_Toc520382678"/>
      <w:bookmarkStart w:id="533" w:name="_Toc520455679"/>
      <w:bookmarkStart w:id="534" w:name="_Toc520455849"/>
      <w:bookmarkStart w:id="535" w:name="_Toc519602404"/>
      <w:bookmarkStart w:id="536" w:name="_Toc176864495"/>
      <w:bookmarkEnd w:id="529"/>
      <w:bookmarkEnd w:id="530"/>
      <w:bookmarkEnd w:id="531"/>
      <w:bookmarkEnd w:id="532"/>
      <w:bookmarkEnd w:id="533"/>
      <w:bookmarkEnd w:id="534"/>
      <w:r w:rsidRPr="00C72CE2">
        <w:t>Selection</w:t>
      </w:r>
      <w:bookmarkEnd w:id="535"/>
      <w:bookmarkEnd w:id="536"/>
    </w:p>
    <w:p w14:paraId="518EAE9B" w14:textId="138BDD20" w:rsidR="00B07932" w:rsidRDefault="004E672B" w:rsidP="00A53BBC">
      <w:pPr>
        <w:ind w:left="1440"/>
      </w:pPr>
      <w:r w:rsidRPr="008858B4">
        <w:t xml:space="preserve">The Selection Official may consider the technical merit, the Federal Consensus Board’s recommendations, program policy factors, </w:t>
      </w:r>
      <w:r w:rsidR="00584958">
        <w:t xml:space="preserve">risk reviews, </w:t>
      </w:r>
      <w:r w:rsidRPr="008858B4">
        <w:t>and the amount of funds available in arriving at selections for this FOA.</w:t>
      </w:r>
    </w:p>
    <w:p w14:paraId="69CD58AE" w14:textId="77777777" w:rsidR="00B07932" w:rsidRDefault="00B07932" w:rsidP="008858B4">
      <w:bookmarkStart w:id="537" w:name="_Toc440624336"/>
      <w:bookmarkEnd w:id="537"/>
    </w:p>
    <w:p w14:paraId="05D00C64" w14:textId="595C4F32" w:rsidR="00B07932" w:rsidRPr="001B113C" w:rsidRDefault="004E672B" w:rsidP="001612A1">
      <w:pPr>
        <w:pStyle w:val="FOAHeading2"/>
      </w:pPr>
      <w:bookmarkStart w:id="538" w:name="_Toc515980139"/>
      <w:bookmarkStart w:id="539" w:name="_Toc515980234"/>
      <w:bookmarkStart w:id="540" w:name="_Toc517191935"/>
      <w:bookmarkStart w:id="541" w:name="_Toc517350984"/>
      <w:bookmarkStart w:id="542" w:name="_Toc517771576"/>
      <w:bookmarkStart w:id="543" w:name="_Toc517797793"/>
      <w:bookmarkStart w:id="544" w:name="_Toc517797873"/>
      <w:bookmarkStart w:id="545" w:name="_Toc517797951"/>
      <w:bookmarkStart w:id="546" w:name="_Toc517798066"/>
      <w:bookmarkStart w:id="547" w:name="_Toc517798291"/>
      <w:bookmarkStart w:id="548" w:name="_Toc517798372"/>
      <w:bookmarkStart w:id="549" w:name="_Toc517798932"/>
      <w:bookmarkStart w:id="550" w:name="_Toc517799239"/>
      <w:bookmarkStart w:id="551" w:name="_Toc519602188"/>
      <w:bookmarkStart w:id="552" w:name="_Toc519602260"/>
      <w:bookmarkStart w:id="553" w:name="_Toc519602405"/>
      <w:bookmarkStart w:id="554" w:name="_Toc519602571"/>
      <w:bookmarkStart w:id="555" w:name="_Toc520382680"/>
      <w:bookmarkStart w:id="556" w:name="_Toc520455681"/>
      <w:bookmarkStart w:id="557" w:name="_Toc520455851"/>
      <w:bookmarkStart w:id="558" w:name="_Toc517798933"/>
      <w:bookmarkStart w:id="559" w:name="_Toc519602261"/>
      <w:bookmarkStart w:id="560" w:name="_Toc519602406"/>
      <w:bookmarkStart w:id="561" w:name="_Toc176864496"/>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1B113C">
        <w:t xml:space="preserve">Anticipated Notice of Selection and Award </w:t>
      </w:r>
      <w:r w:rsidR="00C252C8">
        <w:t xml:space="preserve">Negotiation </w:t>
      </w:r>
      <w:r w:rsidRPr="001B113C">
        <w:t>Dates</w:t>
      </w:r>
      <w:bookmarkEnd w:id="558"/>
      <w:bookmarkEnd w:id="559"/>
      <w:bookmarkEnd w:id="560"/>
      <w:bookmarkEnd w:id="561"/>
    </w:p>
    <w:p w14:paraId="19781180" w14:textId="77777777" w:rsidR="00C252C8" w:rsidRDefault="004E672B" w:rsidP="005D7086">
      <w:pPr>
        <w:pStyle w:val="FOATemplateBody"/>
        <w:ind w:left="1080"/>
        <w:rPr>
          <w:rFonts w:asciiTheme="minorHAnsi" w:hAnsiTheme="minorHAnsi"/>
        </w:rPr>
      </w:pPr>
      <w:r w:rsidRPr="008858B4">
        <w:t xml:space="preserve">EERE anticipates notifying applicants selected for negotiation of award </w:t>
      </w:r>
      <w:r>
        <w:t xml:space="preserve">and negotiating awards </w:t>
      </w:r>
      <w:r w:rsidRPr="008858B4">
        <w:t xml:space="preserve">by </w:t>
      </w:r>
      <w:r w:rsidRPr="008858B4">
        <w:rPr>
          <w:rFonts w:asciiTheme="minorHAnsi" w:hAnsiTheme="minorHAnsi"/>
        </w:rPr>
        <w:t>the dates provided on the cover page of this FOA.</w:t>
      </w:r>
    </w:p>
    <w:p w14:paraId="0766574F" w14:textId="77777777" w:rsidR="00B07932" w:rsidRPr="008858B4" w:rsidRDefault="00B07932" w:rsidP="008858B4">
      <w:pPr>
        <w:contextualSpacing/>
      </w:pPr>
    </w:p>
    <w:p w14:paraId="7C303608" w14:textId="4F499BF4" w:rsidR="00B07932" w:rsidRPr="00126FBB" w:rsidRDefault="004E672B" w:rsidP="00B159B5">
      <w:pPr>
        <w:pStyle w:val="FOAHeading1"/>
      </w:pPr>
      <w:bookmarkStart w:id="562" w:name="_Toc517798934"/>
      <w:bookmarkStart w:id="563" w:name="_Toc519602262"/>
      <w:bookmarkStart w:id="564" w:name="_Toc519602407"/>
      <w:bookmarkStart w:id="565" w:name="_Toc176864497"/>
      <w:r w:rsidRPr="00126FBB">
        <w:t>Award Administration Information</w:t>
      </w:r>
      <w:bookmarkEnd w:id="562"/>
      <w:bookmarkEnd w:id="563"/>
      <w:bookmarkEnd w:id="564"/>
      <w:bookmarkEnd w:id="565"/>
    </w:p>
    <w:p w14:paraId="6095C3EB" w14:textId="77777777" w:rsidR="006035F9" w:rsidRPr="00B5344E" w:rsidRDefault="006035F9" w:rsidP="00A53BBC"/>
    <w:p w14:paraId="6C8A07AD" w14:textId="65D0CAA4" w:rsidR="00B07932" w:rsidRPr="00872882" w:rsidRDefault="004E672B" w:rsidP="001612A1">
      <w:pPr>
        <w:pStyle w:val="FOAHeading2"/>
      </w:pPr>
      <w:bookmarkStart w:id="566" w:name="_Toc517798935"/>
      <w:bookmarkStart w:id="567" w:name="_Toc519602263"/>
      <w:bookmarkStart w:id="568" w:name="_Toc519602408"/>
      <w:bookmarkStart w:id="569" w:name="_Toc176864498"/>
      <w:r w:rsidRPr="00F04E3C">
        <w:t>Award Notices</w:t>
      </w:r>
      <w:bookmarkEnd w:id="566"/>
      <w:bookmarkEnd w:id="567"/>
      <w:bookmarkEnd w:id="568"/>
      <w:bookmarkEnd w:id="569"/>
      <w:r w:rsidR="00853350">
        <w:br/>
      </w:r>
    </w:p>
    <w:p w14:paraId="185B7781" w14:textId="52EEEC29" w:rsidR="00B07932" w:rsidRPr="0022038E" w:rsidRDefault="004E672B" w:rsidP="004D5367">
      <w:pPr>
        <w:pStyle w:val="FOAHeading3"/>
        <w:numPr>
          <w:ilvl w:val="0"/>
          <w:numId w:val="47"/>
        </w:numPr>
        <w:ind w:left="1440"/>
        <w:outlineLvl w:val="2"/>
      </w:pPr>
      <w:bookmarkStart w:id="570" w:name="_Toc519602409"/>
      <w:bookmarkStart w:id="571" w:name="_Toc176864499"/>
      <w:r w:rsidRPr="00C72CE2">
        <w:t>Ineligible Submissions</w:t>
      </w:r>
      <w:bookmarkEnd w:id="570"/>
      <w:bookmarkEnd w:id="571"/>
    </w:p>
    <w:p w14:paraId="08044990" w14:textId="43C89AB5" w:rsidR="00B07932" w:rsidRPr="008858B4" w:rsidRDefault="004E672B" w:rsidP="00A53BBC">
      <w:pPr>
        <w:ind w:left="1440"/>
      </w:pPr>
      <w:r w:rsidRPr="008858B4">
        <w:t xml:space="preserve">Ineligible Concept Papers and Full Applications will not be further reviewed or considered for award. The Contracting Officer will send a notification letter by email to the technical and administrative points of contact designated by the applicant in </w:t>
      </w:r>
      <w:r w:rsidR="00EB0439">
        <w:t xml:space="preserve">EERE </w:t>
      </w:r>
      <w:r w:rsidR="00D615E8">
        <w:t>eXCHANGE</w:t>
      </w:r>
      <w:r w:rsidRPr="008858B4">
        <w:t>. The notification letter will state the basis upon which the Concept Paper or the Full Application is ineligible and not considered for further review.</w:t>
      </w:r>
    </w:p>
    <w:p w14:paraId="2786C78C" w14:textId="7ED6CDC9" w:rsidR="00B07932" w:rsidRPr="008858B4" w:rsidRDefault="00B07932" w:rsidP="008858B4"/>
    <w:p w14:paraId="26C6EBCE" w14:textId="76001C28" w:rsidR="00C913D1" w:rsidRPr="007B2B3A" w:rsidRDefault="004E672B" w:rsidP="004D5367">
      <w:pPr>
        <w:pStyle w:val="FOAHeading3"/>
        <w:numPr>
          <w:ilvl w:val="0"/>
          <w:numId w:val="47"/>
        </w:numPr>
        <w:ind w:left="1440"/>
        <w:outlineLvl w:val="2"/>
      </w:pPr>
      <w:bookmarkStart w:id="572" w:name="_Toc176864500"/>
      <w:r>
        <w:t xml:space="preserve">Concept Paper </w:t>
      </w:r>
      <w:r w:rsidRPr="0022038E">
        <w:t>Notifications</w:t>
      </w:r>
      <w:bookmarkEnd w:id="572"/>
    </w:p>
    <w:p w14:paraId="558EA44B" w14:textId="52ACAF92" w:rsidR="00C9668B" w:rsidRDefault="00074566" w:rsidP="00122A3B">
      <w:pPr>
        <w:ind w:left="1440"/>
      </w:pPr>
      <w:r w:rsidRPr="00C913D1">
        <w:t>EERE will notify applicants of its determination to encourage or discourage the submission of a Full Application. EERE will po</w:t>
      </w:r>
      <w:r w:rsidR="004E672B">
        <w:t xml:space="preserve">st these notifications to </w:t>
      </w:r>
      <w:r w:rsidR="00EB0439">
        <w:t xml:space="preserve">EERE </w:t>
      </w:r>
      <w:r w:rsidR="00D615E8">
        <w:t>eXCHANGE</w:t>
      </w:r>
      <w:r w:rsidR="004E672B">
        <w:t>.</w:t>
      </w:r>
      <w:r w:rsidR="001D2258">
        <w:t xml:space="preserve"> EERE</w:t>
      </w:r>
      <w:r w:rsidR="001D2258" w:rsidRPr="008858B4">
        <w:t xml:space="preserve"> may include general comments provided from reviewers on an applicant’s Concept Paper in the encourage/discourage notification</w:t>
      </w:r>
      <w:r w:rsidR="001D2258">
        <w:t>s</w:t>
      </w:r>
      <w:r w:rsidR="001D2258" w:rsidRPr="0038284A">
        <w:t>.</w:t>
      </w:r>
    </w:p>
    <w:p w14:paraId="06044D83" w14:textId="77777777" w:rsidR="00C9668B" w:rsidRDefault="00C9668B" w:rsidP="00122A3B">
      <w:pPr>
        <w:ind w:left="1440"/>
      </w:pPr>
    </w:p>
    <w:p w14:paraId="0FCAA6A7" w14:textId="77777777" w:rsidR="00C9668B" w:rsidRDefault="004E672B" w:rsidP="00122A3B">
      <w:pPr>
        <w:ind w:left="1440"/>
      </w:pPr>
      <w:r w:rsidRPr="00C913D1">
        <w:t>Applicants may submit a Full Application even if they receive a notification</w:t>
      </w:r>
      <w:r>
        <w:t xml:space="preserve"> discouraging them from doing so. By discouraging the submission of a Full Application, EERE intends to convey its lack of programmatic interest in the proposed project. Such assessments do not necessarily reflect judgments on the merits of the proposed project. The purpose of the Concept Paper phase is to </w:t>
      </w:r>
      <w:r>
        <w:lastRenderedPageBreak/>
        <w:t>save applicants the considerable time and expense of preparing a Full Application that is unlikely to be selected for award negotiations.</w:t>
      </w:r>
    </w:p>
    <w:p w14:paraId="331FC3F4" w14:textId="77777777" w:rsidR="00C9668B" w:rsidRDefault="00C9668B" w:rsidP="00122A3B">
      <w:pPr>
        <w:ind w:left="1440"/>
      </w:pPr>
    </w:p>
    <w:p w14:paraId="477DC812" w14:textId="5EC59936" w:rsidR="00C913D1" w:rsidRDefault="004E672B" w:rsidP="00122A3B">
      <w:pPr>
        <w:ind w:left="1440"/>
      </w:pPr>
      <w:r>
        <w:t>A notification encouraging the submission of a Full Application does not authorize the applicant to commence performance of the project.</w:t>
      </w:r>
    </w:p>
    <w:p w14:paraId="4CB633FB" w14:textId="77777777" w:rsidR="00D87D45" w:rsidRPr="00122A3B" w:rsidRDefault="00D87D45" w:rsidP="00122A3B">
      <w:pPr>
        <w:ind w:left="1440"/>
      </w:pPr>
    </w:p>
    <w:p w14:paraId="547643E4" w14:textId="040AEAA3" w:rsidR="00B07932" w:rsidRPr="007B2B3A" w:rsidRDefault="004E672B" w:rsidP="004D5367">
      <w:pPr>
        <w:pStyle w:val="FOAHeading3"/>
        <w:numPr>
          <w:ilvl w:val="0"/>
          <w:numId w:val="47"/>
        </w:numPr>
        <w:ind w:left="1440"/>
        <w:outlineLvl w:val="2"/>
      </w:pPr>
      <w:bookmarkStart w:id="573" w:name="_Toc176864501"/>
      <w:r w:rsidRPr="0022038E">
        <w:t>Full Application Notifications</w:t>
      </w:r>
      <w:bookmarkEnd w:id="573"/>
    </w:p>
    <w:p w14:paraId="58175D2A" w14:textId="217884E2" w:rsidR="00B07932" w:rsidRPr="008858B4" w:rsidRDefault="004E672B" w:rsidP="00A53BBC">
      <w:pPr>
        <w:ind w:left="1440"/>
      </w:pPr>
      <w:r w:rsidRPr="008858B4">
        <w:t xml:space="preserve">EERE will notify applicants of its determination via a notification letter by email to the technical and administrative points of contact designated by the applicant in </w:t>
      </w:r>
      <w:r w:rsidR="00EB0439">
        <w:t xml:space="preserve">EERE </w:t>
      </w:r>
      <w:r w:rsidR="00D615E8">
        <w:t>eXCHANGE</w:t>
      </w:r>
      <w:r w:rsidRPr="008858B4">
        <w:t>. The notification letter will inform the applicant whether or not its Full Application was selected for award negotiations. Alternatively, EERE may notify one or more applicants that a final selection determination on particular Full Applications will be made at a later date, subject to the availability of funds or other factors.</w:t>
      </w:r>
    </w:p>
    <w:p w14:paraId="135DFE36" w14:textId="77777777" w:rsidR="00B07932" w:rsidRPr="008858B4" w:rsidRDefault="00B07932" w:rsidP="008858B4"/>
    <w:p w14:paraId="17EE0AF4" w14:textId="590BF4FF" w:rsidR="00B07932" w:rsidRPr="0022038E" w:rsidRDefault="001D2258" w:rsidP="004D5367">
      <w:pPr>
        <w:pStyle w:val="FOAHeading3"/>
        <w:numPr>
          <w:ilvl w:val="0"/>
          <w:numId w:val="47"/>
        </w:numPr>
        <w:ind w:left="1440"/>
        <w:outlineLvl w:val="2"/>
      </w:pPr>
      <w:bookmarkStart w:id="574" w:name="_Toc140061003"/>
      <w:bookmarkStart w:id="575" w:name="_Toc519602413"/>
      <w:bookmarkStart w:id="576" w:name="_Toc176864502"/>
      <w:r w:rsidRPr="00C72CE2">
        <w:t>Applicants</w:t>
      </w:r>
      <w:r>
        <w:t xml:space="preserve"> Selected for Award Negotiations</w:t>
      </w:r>
      <w:bookmarkEnd w:id="574"/>
      <w:bookmarkEnd w:id="576"/>
      <w:r w:rsidRPr="00C72CE2">
        <w:t xml:space="preserve"> </w:t>
      </w:r>
      <w:bookmarkEnd w:id="575"/>
    </w:p>
    <w:p w14:paraId="2226E1FF" w14:textId="4CAC48ED" w:rsidR="00B07932" w:rsidRPr="008858B4" w:rsidRDefault="00943F44" w:rsidP="00A53BBC">
      <w:pPr>
        <w:ind w:left="1440"/>
      </w:pPr>
      <w:r w:rsidRPr="00D949EE">
        <w:t xml:space="preserve">Successful applicants will receive written notification that they have been selected for award negotiations. </w:t>
      </w:r>
      <w:r w:rsidR="004E672B" w:rsidRPr="008858B4">
        <w:t>Receipt of a notification letter selecting a Full Application for award negotiations does not authorize the applicant to commence performance of the project. If an application is selected for award negotiations, it is not a commitment by EERE to issue an award</w:t>
      </w:r>
      <w:r w:rsidR="00916CDB" w:rsidRPr="00916CDB">
        <w:t xml:space="preserve"> </w:t>
      </w:r>
      <w:r w:rsidR="00916CDB">
        <w:t>nor is it a guarantee of federal government funding</w:t>
      </w:r>
      <w:r w:rsidR="004E672B" w:rsidRPr="008858B4">
        <w:t xml:space="preserve">. Applicants do not receive an award </w:t>
      </w:r>
      <w:r w:rsidR="00916CDB">
        <w:t xml:space="preserve">unless and </w:t>
      </w:r>
      <w:r w:rsidR="004E672B" w:rsidRPr="008858B4">
        <w:t xml:space="preserve">until award negotiations are complete and the Contracting Officer executes the funding agreement, accessible by the </w:t>
      </w:r>
      <w:r w:rsidR="00647D5B">
        <w:t>p</w:t>
      </w:r>
      <w:r w:rsidR="00647D5B" w:rsidRPr="008858B4">
        <w:t xml:space="preserve">rime </w:t>
      </w:r>
      <w:r w:rsidR="00647D5B">
        <w:t>r</w:t>
      </w:r>
      <w:r w:rsidR="00647D5B" w:rsidRPr="008858B4">
        <w:t xml:space="preserve">ecipient </w:t>
      </w:r>
      <w:r w:rsidR="004E672B" w:rsidRPr="008858B4">
        <w:t xml:space="preserve">in FedConnect. </w:t>
      </w:r>
    </w:p>
    <w:p w14:paraId="48B8C5AF" w14:textId="77777777" w:rsidR="00B07932" w:rsidRPr="008858B4" w:rsidRDefault="00B07932" w:rsidP="00A53BBC">
      <w:pPr>
        <w:ind w:left="1440" w:hanging="180"/>
      </w:pPr>
    </w:p>
    <w:p w14:paraId="7384A070" w14:textId="278E8D26" w:rsidR="00B07932" w:rsidRPr="008858B4" w:rsidRDefault="004E672B" w:rsidP="00A53BBC">
      <w:pPr>
        <w:ind w:left="1440"/>
      </w:pPr>
      <w:r w:rsidRPr="008858B4">
        <w:t xml:space="preserve">The award negotiation process will take approximately 60 days. Applicants must designate a primary and a backup point-of-contact in </w:t>
      </w:r>
      <w:r w:rsidR="00EB0439">
        <w:t xml:space="preserve">EERE </w:t>
      </w:r>
      <w:r w:rsidR="00D615E8">
        <w:t>eXCHANGE</w:t>
      </w:r>
      <w:r w:rsidR="00EB0439" w:rsidRPr="008858B4">
        <w:t xml:space="preserve"> </w:t>
      </w:r>
      <w:r w:rsidRPr="008858B4">
        <w:t>with whom EERE will communicate to conduct award negotiations. The applicant must be responsive during award negotiations (i.e., provide requested documentation) and meet the negotiation deadlines. If the applicant fails to do so or if award negotiations are otherwise unsuccessful, EERE will cancel the award negotiations and rescind the Selection. EERE reserves the right to terminate award negotiations at any time for any reason.</w:t>
      </w:r>
    </w:p>
    <w:p w14:paraId="420BEF09" w14:textId="77777777" w:rsidR="00B07932" w:rsidRPr="008858B4" w:rsidRDefault="00B07932" w:rsidP="00A53BBC">
      <w:pPr>
        <w:ind w:left="1440"/>
      </w:pPr>
    </w:p>
    <w:p w14:paraId="5EDDF9F8" w14:textId="31268C00" w:rsidR="00B07932" w:rsidRPr="008858B4" w:rsidRDefault="004E672B" w:rsidP="00A53BBC">
      <w:pPr>
        <w:ind w:left="1440"/>
      </w:pPr>
      <w:r w:rsidRPr="008858B4">
        <w:t xml:space="preserve">Please refer </w:t>
      </w:r>
      <w:r w:rsidRPr="00AA78A0">
        <w:t xml:space="preserve">to </w:t>
      </w:r>
      <w:r w:rsidRPr="008B0D95">
        <w:t>Section IV.</w:t>
      </w:r>
      <w:r w:rsidR="00F55E4E">
        <w:t>J</w:t>
      </w:r>
      <w:r w:rsidRPr="008B0D95">
        <w:t>.</w:t>
      </w:r>
      <w:r w:rsidR="00011211" w:rsidRPr="008B0D95">
        <w:t>ii.</w:t>
      </w:r>
      <w:r w:rsidRPr="008858B4">
        <w:t xml:space="preserve"> of the FOA for guidance on pre-award costs.</w:t>
      </w:r>
    </w:p>
    <w:p w14:paraId="04CB86CC" w14:textId="77777777" w:rsidR="00B07932" w:rsidRPr="008858B4" w:rsidRDefault="00B07932" w:rsidP="008858B4"/>
    <w:p w14:paraId="0EFF0293" w14:textId="399236BE" w:rsidR="00B07932" w:rsidRPr="0022038E" w:rsidRDefault="004E672B" w:rsidP="004D5367">
      <w:pPr>
        <w:pStyle w:val="FOAHeading3"/>
        <w:numPr>
          <w:ilvl w:val="0"/>
          <w:numId w:val="47"/>
        </w:numPr>
        <w:ind w:left="1440"/>
        <w:outlineLvl w:val="2"/>
      </w:pPr>
      <w:bookmarkStart w:id="577" w:name="_Toc519602414"/>
      <w:bookmarkStart w:id="578" w:name="_Toc176864503"/>
      <w:r w:rsidRPr="00C72CE2">
        <w:t>Alternate Selection Determinations</w:t>
      </w:r>
      <w:bookmarkEnd w:id="577"/>
      <w:bookmarkEnd w:id="578"/>
    </w:p>
    <w:p w14:paraId="6812794C" w14:textId="77777777" w:rsidR="00B07932" w:rsidRPr="008858B4" w:rsidRDefault="004E672B" w:rsidP="00A53BBC">
      <w:pPr>
        <w:ind w:left="1440"/>
      </w:pPr>
      <w:r w:rsidRPr="008858B4">
        <w:t xml:space="preserve">In some instances, an applicant may receive a notification that its application was not selected for award and EERE designated the application to be an alternate. As an alternate, EERE may consider the Full Application for </w:t>
      </w:r>
      <w:r w:rsidR="00506F43">
        <w:t>f</w:t>
      </w:r>
      <w:r w:rsidR="00506F43" w:rsidRPr="008858B4">
        <w:t xml:space="preserve">ederal </w:t>
      </w:r>
      <w:r w:rsidRPr="008858B4">
        <w:t xml:space="preserve">funding in the future. A notification letter stating the Full Application is </w:t>
      </w:r>
      <w:r w:rsidRPr="008858B4">
        <w:lastRenderedPageBreak/>
        <w:t>designated as an alternate does not authorize the applicant to commence performance of the project. EERE may ultimately determine to select or not select the Full Application for award negotiations.</w:t>
      </w:r>
    </w:p>
    <w:p w14:paraId="27C445C8" w14:textId="77777777" w:rsidR="00B07932" w:rsidRDefault="00B07932" w:rsidP="00204D76">
      <w:pPr>
        <w:ind w:left="1620" w:hanging="180"/>
      </w:pPr>
    </w:p>
    <w:p w14:paraId="2FB5D616" w14:textId="4390B53A" w:rsidR="00B07932" w:rsidRPr="007B2B3A" w:rsidRDefault="004E672B" w:rsidP="004D5367">
      <w:pPr>
        <w:pStyle w:val="FOAHeading3"/>
        <w:numPr>
          <w:ilvl w:val="0"/>
          <w:numId w:val="47"/>
        </w:numPr>
        <w:ind w:left="1440"/>
        <w:outlineLvl w:val="2"/>
      </w:pPr>
      <w:bookmarkStart w:id="579" w:name="_Toc517799249"/>
      <w:bookmarkStart w:id="580" w:name="_Toc519602415"/>
      <w:bookmarkStart w:id="581" w:name="_Toc519602581"/>
      <w:bookmarkStart w:id="582" w:name="_Toc520382690"/>
      <w:bookmarkStart w:id="583" w:name="_Toc520455691"/>
      <w:bookmarkStart w:id="584" w:name="_Toc520455861"/>
      <w:bookmarkStart w:id="585" w:name="_Toc519602416"/>
      <w:bookmarkStart w:id="586" w:name="_Toc176864504"/>
      <w:bookmarkEnd w:id="579"/>
      <w:bookmarkEnd w:id="580"/>
      <w:bookmarkEnd w:id="581"/>
      <w:bookmarkEnd w:id="582"/>
      <w:bookmarkEnd w:id="583"/>
      <w:bookmarkEnd w:id="584"/>
      <w:r w:rsidRPr="0022038E">
        <w:t>Unsuccessful Applicants</w:t>
      </w:r>
      <w:bookmarkEnd w:id="585"/>
      <w:bookmarkEnd w:id="586"/>
    </w:p>
    <w:p w14:paraId="6DE2C7F5" w14:textId="77777777" w:rsidR="00B07932" w:rsidRDefault="004E672B" w:rsidP="00A53BBC">
      <w:pPr>
        <w:ind w:left="1440"/>
      </w:pPr>
      <w:r w:rsidRPr="008858B4">
        <w:t xml:space="preserve">EERE shall promptly notify in writing each applicant whose application has not been selected for award or whose application cannot be funded because of the unavailability of appropriated funds. </w:t>
      </w:r>
      <w:r w:rsidRPr="008858B4">
        <w:br/>
      </w:r>
    </w:p>
    <w:p w14:paraId="301DE429" w14:textId="25B5A732" w:rsidR="00B07932" w:rsidRPr="00872882" w:rsidRDefault="004E672B" w:rsidP="001612A1">
      <w:pPr>
        <w:pStyle w:val="FOAHeading2"/>
      </w:pPr>
      <w:bookmarkStart w:id="587" w:name="_Toc517771580"/>
      <w:bookmarkStart w:id="588" w:name="_Toc517797797"/>
      <w:bookmarkStart w:id="589" w:name="_Toc517797877"/>
      <w:bookmarkStart w:id="590" w:name="_Toc517797955"/>
      <w:bookmarkStart w:id="591" w:name="_Toc517798070"/>
      <w:bookmarkStart w:id="592" w:name="_Toc517798295"/>
      <w:bookmarkStart w:id="593" w:name="_Toc517798376"/>
      <w:bookmarkStart w:id="594" w:name="_Toc517798936"/>
      <w:bookmarkStart w:id="595" w:name="_Toc517799251"/>
      <w:bookmarkStart w:id="596" w:name="_Toc519602192"/>
      <w:bookmarkStart w:id="597" w:name="_Toc519602264"/>
      <w:bookmarkStart w:id="598" w:name="_Toc519602417"/>
      <w:bookmarkStart w:id="599" w:name="_Toc519602583"/>
      <w:bookmarkStart w:id="600" w:name="_Toc520382692"/>
      <w:bookmarkStart w:id="601" w:name="_Toc520455693"/>
      <w:bookmarkStart w:id="602" w:name="_Toc520455863"/>
      <w:bookmarkStart w:id="603" w:name="_Toc517798937"/>
      <w:bookmarkStart w:id="604" w:name="_Toc519602265"/>
      <w:bookmarkStart w:id="605" w:name="_Toc519602418"/>
      <w:bookmarkStart w:id="606" w:name="_Hlk89356784"/>
      <w:bookmarkStart w:id="607" w:name="_Toc176864505"/>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AF2304">
        <w:t>Administrative and National Policy Requirements</w:t>
      </w:r>
      <w:bookmarkEnd w:id="603"/>
      <w:bookmarkEnd w:id="604"/>
      <w:bookmarkEnd w:id="605"/>
      <w:bookmarkEnd w:id="607"/>
    </w:p>
    <w:bookmarkEnd w:id="606"/>
    <w:p w14:paraId="05C6D0F0" w14:textId="77777777" w:rsidR="00156F9D" w:rsidRPr="00B5344E" w:rsidRDefault="00156F9D" w:rsidP="00A53BBC"/>
    <w:p w14:paraId="374A4B13" w14:textId="14B446E7" w:rsidR="00B07932" w:rsidRPr="00872882" w:rsidRDefault="004E672B" w:rsidP="004D5367">
      <w:pPr>
        <w:pStyle w:val="FOAHeading3"/>
        <w:numPr>
          <w:ilvl w:val="0"/>
          <w:numId w:val="48"/>
        </w:numPr>
        <w:ind w:left="1440"/>
        <w:outlineLvl w:val="2"/>
      </w:pPr>
      <w:bookmarkStart w:id="608" w:name="_Toc519602419"/>
      <w:bookmarkStart w:id="609" w:name="_Hlk85628409"/>
      <w:bookmarkStart w:id="610" w:name="_Toc176864506"/>
      <w:r w:rsidRPr="00C72CE2">
        <w:t>Registration Requirements</w:t>
      </w:r>
      <w:bookmarkEnd w:id="608"/>
      <w:bookmarkEnd w:id="610"/>
    </w:p>
    <w:p w14:paraId="382EE11C" w14:textId="71E26E6B" w:rsidR="00B07932" w:rsidRPr="008858B4" w:rsidRDefault="004E672B" w:rsidP="00A53BBC">
      <w:pPr>
        <w:ind w:left="1440"/>
      </w:pPr>
      <w:r w:rsidRPr="008858B4">
        <w:t xml:space="preserve">There are several one-time actions </w:t>
      </w:r>
      <w:r w:rsidR="00943F44">
        <w:t xml:space="preserve">applicants must take </w:t>
      </w:r>
      <w:r w:rsidR="00943F44" w:rsidRPr="008858B4">
        <w:t xml:space="preserve">before </w:t>
      </w:r>
      <w:r w:rsidR="00943F44">
        <w:t>applying</w:t>
      </w:r>
      <w:r w:rsidR="00943F44" w:rsidRPr="008858B4">
        <w:t xml:space="preserve"> to </w:t>
      </w:r>
      <w:r w:rsidRPr="008858B4">
        <w:t xml:space="preserve">this FOA. Some </w:t>
      </w:r>
      <w:r w:rsidR="00943F44">
        <w:t xml:space="preserve">of these </w:t>
      </w:r>
      <w:r w:rsidRPr="008858B4">
        <w:t xml:space="preserve">may take several weeks, </w:t>
      </w:r>
      <w:r w:rsidR="00943F44">
        <w:t>so it is vital applicants build in enough time</w:t>
      </w:r>
      <w:r w:rsidR="00943F44" w:rsidRPr="008858B4">
        <w:t xml:space="preserve"> to complete them</w:t>
      </w:r>
      <w:r w:rsidR="00943F44">
        <w:t>.</w:t>
      </w:r>
      <w:r w:rsidR="00943F44" w:rsidRPr="008858B4">
        <w:t xml:space="preserve"> </w:t>
      </w:r>
      <w:r w:rsidR="00943F44">
        <w:t>F</w:t>
      </w:r>
      <w:r w:rsidRPr="008858B4">
        <w:t>ailure to complete the</w:t>
      </w:r>
      <w:r w:rsidR="00943F44">
        <w:t>se actions</w:t>
      </w:r>
      <w:r w:rsidRPr="008858B4">
        <w:t xml:space="preserve"> could interfere with </w:t>
      </w:r>
      <w:r w:rsidR="00943F44">
        <w:t>application</w:t>
      </w:r>
      <w:r w:rsidR="00943F44" w:rsidRPr="008858B4">
        <w:t xml:space="preserve"> or negotiation deadlines </w:t>
      </w:r>
      <w:r w:rsidR="00943F44">
        <w:t xml:space="preserve">or the </w:t>
      </w:r>
      <w:r w:rsidRPr="008858B4">
        <w:t>ability to receive an award if selected. These requirements are as follows:</w:t>
      </w:r>
    </w:p>
    <w:p w14:paraId="797EB467" w14:textId="77777777" w:rsidR="00B07932" w:rsidRPr="008858B4" w:rsidRDefault="00B07932" w:rsidP="008858B4"/>
    <w:p w14:paraId="77CB6FAB" w14:textId="00903990" w:rsidR="00693F70" w:rsidRPr="004B589C" w:rsidRDefault="004B589C" w:rsidP="00693F70">
      <w:pPr>
        <w:pStyle w:val="ListParagraph"/>
        <w:numPr>
          <w:ilvl w:val="0"/>
          <w:numId w:val="100"/>
        </w:numPr>
        <w:rPr>
          <w:b/>
          <w:bCs/>
        </w:rPr>
      </w:pPr>
      <w:bookmarkStart w:id="611" w:name="_Hlk102656927"/>
      <w:r w:rsidRPr="00331EA8">
        <w:rPr>
          <w:b/>
          <w:bCs/>
        </w:rPr>
        <w:t>EERE Funding Opportunity Exchange (eXCHANGE)</w:t>
      </w:r>
    </w:p>
    <w:p w14:paraId="5912A104" w14:textId="2DF1F803" w:rsidR="00C816DE" w:rsidRDefault="00693F70" w:rsidP="00693F70">
      <w:pPr>
        <w:pStyle w:val="ListParagraph"/>
        <w:ind w:left="1800"/>
      </w:pPr>
      <w:r w:rsidRPr="00065CF1">
        <w:t xml:space="preserve">Register and create an account on EERE </w:t>
      </w:r>
      <w:r w:rsidR="006505BF">
        <w:t>eXCHANGE</w:t>
      </w:r>
      <w:r w:rsidRPr="00065CF1">
        <w:t xml:space="preserve"> at </w:t>
      </w:r>
      <w:hyperlink r:id="rId50" w:history="1">
        <w:r w:rsidR="00D615E8">
          <w:rPr>
            <w:rStyle w:val="Hyperlink"/>
          </w:rPr>
          <w:t>https://eere-eXCHANGE.energy.gov</w:t>
        </w:r>
      </w:hyperlink>
      <w:r w:rsidRPr="00065CF1">
        <w:t xml:space="preserve">. </w:t>
      </w:r>
      <w:r w:rsidRPr="00EB0439">
        <w:t xml:space="preserve">This account will allow the user to </w:t>
      </w:r>
      <w:r>
        <w:t>apply to</w:t>
      </w:r>
      <w:r w:rsidRPr="00EB0439">
        <w:t xml:space="preserve"> any open EERE FOAs that</w:t>
      </w:r>
      <w:r>
        <w:t xml:space="preserve"> </w:t>
      </w:r>
      <w:r w:rsidRPr="00EB0439">
        <w:t xml:space="preserve">are currently in EERE </w:t>
      </w:r>
      <w:r w:rsidR="00092329">
        <w:t>eXCHANGE</w:t>
      </w:r>
      <w:r w:rsidRPr="00EB0439">
        <w:t xml:space="preserve">. </w:t>
      </w:r>
    </w:p>
    <w:p w14:paraId="0A3F31FB" w14:textId="77777777" w:rsidR="000333AA" w:rsidRDefault="000333AA" w:rsidP="00693F70">
      <w:pPr>
        <w:pStyle w:val="ListParagraph"/>
        <w:ind w:left="1800"/>
      </w:pPr>
    </w:p>
    <w:p w14:paraId="23D50116" w14:textId="62D90E3E" w:rsidR="000333AA" w:rsidRDefault="00943F44" w:rsidP="00693F70">
      <w:pPr>
        <w:pStyle w:val="ListParagraph"/>
        <w:ind w:left="1800"/>
        <w:rPr>
          <w:color w:val="000000"/>
        </w:rPr>
      </w:pPr>
      <w:r>
        <w:t>T</w:t>
      </w:r>
      <w:r w:rsidRPr="00092329">
        <w:t xml:space="preserve">o access </w:t>
      </w:r>
      <w:hyperlink r:id="rId51" w:history="1">
        <w:r w:rsidRPr="00092329">
          <w:rPr>
            <w:rStyle w:val="Hyperlink"/>
          </w:rPr>
          <w:t xml:space="preserve">EERE </w:t>
        </w:r>
        <w:r>
          <w:rPr>
            <w:rStyle w:val="Hyperlink"/>
          </w:rPr>
          <w:t>eXCHANGE</w:t>
        </w:r>
      </w:hyperlink>
      <w:r>
        <w:rPr>
          <w:rStyle w:val="Hyperlink"/>
        </w:rPr>
        <w:t xml:space="preserve">, </w:t>
      </w:r>
      <w:r>
        <w:t xml:space="preserve">potential </w:t>
      </w:r>
      <w:r w:rsidRPr="00092329">
        <w:t xml:space="preserve">applicants </w:t>
      </w:r>
      <w:r>
        <w:t>must have</w:t>
      </w:r>
      <w:r w:rsidRPr="00092329">
        <w:t xml:space="preserve"> a </w:t>
      </w:r>
      <w:bookmarkStart w:id="612" w:name="_Hlk114691447"/>
      <w:r>
        <w:fldChar w:fldCharType="begin"/>
      </w:r>
      <w:r>
        <w:instrText xml:space="preserve"> HYPERLINK "https://login.gov/" </w:instrText>
      </w:r>
      <w:r>
        <w:fldChar w:fldCharType="separate"/>
      </w:r>
      <w:r w:rsidRPr="00D011E8">
        <w:rPr>
          <w:rStyle w:val="Hyperlink"/>
        </w:rPr>
        <w:t>Login.gov</w:t>
      </w:r>
      <w:r>
        <w:fldChar w:fldCharType="end"/>
      </w:r>
      <w:bookmarkEnd w:id="612"/>
      <w:r w:rsidRPr="00092329">
        <w:t xml:space="preserve"> account. </w:t>
      </w:r>
      <w:r w:rsidR="00C816DE">
        <w:rPr>
          <w:color w:val="000000"/>
        </w:rPr>
        <w:t xml:space="preserve">As part of the eXCHANGE registration process, </w:t>
      </w:r>
      <w:r w:rsidR="00A134D7">
        <w:rPr>
          <w:color w:val="000000"/>
        </w:rPr>
        <w:t xml:space="preserve">new </w:t>
      </w:r>
      <w:r w:rsidR="00C816DE">
        <w:rPr>
          <w:color w:val="000000"/>
        </w:rPr>
        <w:t xml:space="preserve">users will be directed to create an account in </w:t>
      </w:r>
      <w:r w:rsidR="00986F71" w:rsidRPr="00331EA8">
        <w:t>Login.gov</w:t>
      </w:r>
      <w:r w:rsidR="00C816DE" w:rsidRPr="00331EA8">
        <w:rPr>
          <w:rStyle w:val="Hyperlink"/>
          <w:color w:val="auto"/>
          <w:u w:val="none"/>
        </w:rPr>
        <w:t>.</w:t>
      </w:r>
      <w:r w:rsidR="00AE0766" w:rsidRPr="00331EA8">
        <w:rPr>
          <w:rStyle w:val="Hyperlink"/>
          <w:u w:val="none"/>
        </w:rPr>
        <w:t xml:space="preserve"> </w:t>
      </w:r>
      <w:r w:rsidR="00AE0766">
        <w:t>Please note that the email address associated with Login.gov must match the email address associated with the eXCHANGE account.  For more information, refer to the</w:t>
      </w:r>
      <w:r w:rsidR="00986F71">
        <w:t xml:space="preserve"> </w:t>
      </w:r>
      <w:bookmarkStart w:id="613" w:name="_Hlk106110573"/>
      <w:r w:rsidR="009D7E64">
        <w:rPr>
          <w:color w:val="000000"/>
          <w:szCs w:val="24"/>
        </w:rPr>
        <w:t>eXCHANGE</w:t>
      </w:r>
      <w:r w:rsidR="006E7AD7">
        <w:rPr>
          <w:color w:val="000000"/>
          <w:szCs w:val="24"/>
        </w:rPr>
        <w:t xml:space="preserve"> Multi-Factor Authentication (</w:t>
      </w:r>
      <w:r w:rsidR="006E7AD7" w:rsidRPr="00A344EB">
        <w:rPr>
          <w:color w:val="000000"/>
          <w:szCs w:val="24"/>
        </w:rPr>
        <w:t>MFA</w:t>
      </w:r>
      <w:r w:rsidR="006E7AD7">
        <w:rPr>
          <w:color w:val="000000"/>
          <w:szCs w:val="24"/>
        </w:rPr>
        <w:t xml:space="preserve">) </w:t>
      </w:r>
      <w:r w:rsidR="006E7AD7" w:rsidRPr="00A344EB">
        <w:rPr>
          <w:color w:val="000000"/>
          <w:szCs w:val="24"/>
        </w:rPr>
        <w:t>Quick</w:t>
      </w:r>
      <w:r w:rsidR="006E7AD7">
        <w:rPr>
          <w:color w:val="000000"/>
          <w:szCs w:val="24"/>
        </w:rPr>
        <w:t xml:space="preserve"> </w:t>
      </w:r>
      <w:r w:rsidR="006E7AD7" w:rsidRPr="00A344EB">
        <w:rPr>
          <w:color w:val="000000"/>
          <w:szCs w:val="24"/>
        </w:rPr>
        <w:t>Guide</w:t>
      </w:r>
      <w:r w:rsidR="006E7AD7">
        <w:rPr>
          <w:color w:val="000000"/>
          <w:szCs w:val="24"/>
        </w:rPr>
        <w:t xml:space="preserve"> in the </w:t>
      </w:r>
      <w:hyperlink r:id="rId52" w:history="1">
        <w:r w:rsidR="00986F71" w:rsidRPr="007C062D">
          <w:rPr>
            <w:rStyle w:val="Hyperlink"/>
          </w:rPr>
          <w:t>Manuals section</w:t>
        </w:r>
      </w:hyperlink>
      <w:r w:rsidR="00986F71">
        <w:t xml:space="preserve"> </w:t>
      </w:r>
      <w:r w:rsidR="006E7AD7">
        <w:t>of</w:t>
      </w:r>
      <w:r w:rsidR="00986F71">
        <w:t xml:space="preserve"> eXCHANGE</w:t>
      </w:r>
      <w:bookmarkEnd w:id="613"/>
      <w:r w:rsidR="00AE0766" w:rsidRPr="00AE0766">
        <w:t>.</w:t>
      </w:r>
      <w:r w:rsidR="00AE0766">
        <w:t xml:space="preserve"> </w:t>
      </w:r>
    </w:p>
    <w:p w14:paraId="744FE76A" w14:textId="77777777" w:rsidR="000333AA" w:rsidRDefault="000333AA" w:rsidP="00693F70">
      <w:pPr>
        <w:pStyle w:val="ListParagraph"/>
        <w:ind w:left="1800"/>
        <w:rPr>
          <w:color w:val="000000"/>
        </w:rPr>
      </w:pPr>
    </w:p>
    <w:p w14:paraId="5287D8CC" w14:textId="72910C22" w:rsidR="00693F70" w:rsidRDefault="00943F44" w:rsidP="00693F70">
      <w:pPr>
        <w:pStyle w:val="ListParagraph"/>
        <w:ind w:left="1800"/>
        <w:rPr>
          <w:b/>
          <w:bCs/>
          <w:u w:val="single"/>
        </w:rPr>
      </w:pPr>
      <w:r>
        <w:t>E</w:t>
      </w:r>
      <w:r w:rsidR="00693F70" w:rsidRPr="00EB0439">
        <w:t>ach organization or</w:t>
      </w:r>
      <w:r w:rsidR="00693F70">
        <w:t xml:space="preserve"> </w:t>
      </w:r>
      <w:r w:rsidR="00693F70" w:rsidRPr="00EB0439">
        <w:t xml:space="preserve">business unit, whether acting as a team or a single entity, </w:t>
      </w:r>
      <w:r>
        <w:t xml:space="preserve">should </w:t>
      </w:r>
      <w:r w:rsidR="00693F70" w:rsidRPr="00EB0439">
        <w:t>use only one</w:t>
      </w:r>
      <w:r w:rsidR="00693F70">
        <w:t xml:space="preserve"> </w:t>
      </w:r>
      <w:r w:rsidR="00693F70" w:rsidRPr="00EB0439">
        <w:t>account as the contact point for each submission. Applicants should also</w:t>
      </w:r>
      <w:r w:rsidR="00693F70">
        <w:t xml:space="preserve"> </w:t>
      </w:r>
      <w:r w:rsidR="00693F70" w:rsidRPr="00EB0439">
        <w:t xml:space="preserve">designate backup points of contact. </w:t>
      </w:r>
      <w:r w:rsidR="00693F70" w:rsidRPr="00181EB4">
        <w:rPr>
          <w:b/>
          <w:bCs/>
          <w:u w:val="single"/>
        </w:rPr>
        <w:t>This step is required to apply to this FOA.</w:t>
      </w:r>
      <w:r w:rsidR="00693F70">
        <w:t xml:space="preserve"> </w:t>
      </w:r>
      <w:r w:rsidR="00693F70" w:rsidRPr="00EB0439">
        <w:t xml:space="preserve">The </w:t>
      </w:r>
      <w:r w:rsidR="00693F70">
        <w:t xml:space="preserve">eXCHANGE </w:t>
      </w:r>
      <w:r w:rsidR="00693F70" w:rsidRPr="00EB0439">
        <w:t xml:space="preserve">registration does not have a delay; however, </w:t>
      </w:r>
      <w:r w:rsidR="00693F70" w:rsidRPr="00181EB4">
        <w:rPr>
          <w:b/>
          <w:bCs/>
          <w:u w:val="single"/>
        </w:rPr>
        <w:t>the</w:t>
      </w:r>
      <w:r w:rsidR="00693F70">
        <w:rPr>
          <w:b/>
          <w:bCs/>
          <w:u w:val="single"/>
        </w:rPr>
        <w:t xml:space="preserve"> </w:t>
      </w:r>
      <w:r w:rsidR="00693F70" w:rsidRPr="00181EB4">
        <w:rPr>
          <w:b/>
          <w:bCs/>
          <w:u w:val="single"/>
        </w:rPr>
        <w:t xml:space="preserve">remaining registration requirements below could take several weeks to </w:t>
      </w:r>
      <w:r w:rsidR="00693F70" w:rsidRPr="007B57F7">
        <w:rPr>
          <w:b/>
          <w:bCs/>
          <w:u w:val="single"/>
        </w:rPr>
        <w:t>process and are necessary for a potential applicant to receive an award under this FOA.</w:t>
      </w:r>
    </w:p>
    <w:bookmarkEnd w:id="611"/>
    <w:p w14:paraId="1EB44954" w14:textId="77777777" w:rsidR="00B07932" w:rsidRPr="008858B4" w:rsidRDefault="00B07932" w:rsidP="00331EA8"/>
    <w:p w14:paraId="056DDF2E" w14:textId="77777777" w:rsidR="00B07932" w:rsidRPr="00703B41" w:rsidRDefault="004E672B" w:rsidP="00AC77FA">
      <w:pPr>
        <w:pStyle w:val="FOAHeading4"/>
        <w:numPr>
          <w:ilvl w:val="0"/>
          <w:numId w:val="100"/>
        </w:numPr>
      </w:pPr>
      <w:r w:rsidRPr="00703B41">
        <w:t>System for Award Management</w:t>
      </w:r>
    </w:p>
    <w:p w14:paraId="63179C02" w14:textId="0C537006" w:rsidR="00B07932" w:rsidRPr="008858B4" w:rsidRDefault="004E672B" w:rsidP="00A53BBC">
      <w:pPr>
        <w:ind w:left="1800"/>
      </w:pPr>
      <w:r w:rsidRPr="008858B4">
        <w:t xml:space="preserve">Register with the SAM at </w:t>
      </w:r>
      <w:hyperlink r:id="rId53" w:history="1">
        <w:r w:rsidRPr="008858B4">
          <w:rPr>
            <w:rStyle w:val="Hyperlink"/>
          </w:rPr>
          <w:t>https://www.sam.gov</w:t>
        </w:r>
      </w:hyperlink>
      <w:r w:rsidRPr="008858B4">
        <w:t xml:space="preserve">. Designating an Electronic Business Point of Contact (EBiz POC) and obtaining a special password called </w:t>
      </w:r>
      <w:r w:rsidRPr="008858B4">
        <w:lastRenderedPageBreak/>
        <w:t xml:space="preserve">a </w:t>
      </w:r>
      <w:r w:rsidR="002B5928">
        <w:t>Marketing Partner ID Number (</w:t>
      </w:r>
      <w:r w:rsidRPr="008858B4">
        <w:t>MPIN</w:t>
      </w:r>
      <w:r w:rsidR="002B5928">
        <w:t>)</w:t>
      </w:r>
      <w:r w:rsidRPr="008858B4">
        <w:t xml:space="preserve"> are important steps in SAM registration. Please update your SAM registration annually.</w:t>
      </w:r>
    </w:p>
    <w:bookmarkEnd w:id="609"/>
    <w:p w14:paraId="1BC8F0B0" w14:textId="77777777" w:rsidR="00F60FFA" w:rsidRPr="008858B4" w:rsidRDefault="00F60FFA" w:rsidP="00195845">
      <w:pPr>
        <w:ind w:left="1440" w:firstLine="360"/>
      </w:pPr>
    </w:p>
    <w:p w14:paraId="06C6625D" w14:textId="77777777" w:rsidR="00B07932" w:rsidRPr="00A53BBC" w:rsidRDefault="004E672B" w:rsidP="00AC77FA">
      <w:pPr>
        <w:pStyle w:val="FOAHeading4"/>
        <w:numPr>
          <w:ilvl w:val="0"/>
          <w:numId w:val="100"/>
        </w:numPr>
      </w:pPr>
      <w:r w:rsidRPr="00A53BBC">
        <w:t>FedConnect</w:t>
      </w:r>
    </w:p>
    <w:p w14:paraId="03B835C6" w14:textId="4DD1A535" w:rsidR="00B07932" w:rsidRPr="008858B4" w:rsidRDefault="004E672B" w:rsidP="00A53BBC">
      <w:pPr>
        <w:ind w:left="1800"/>
      </w:pPr>
      <w:r w:rsidRPr="008858B4">
        <w:t xml:space="preserve">Register in FedConnect at </w:t>
      </w:r>
      <w:hyperlink r:id="rId54" w:history="1">
        <w:r w:rsidRPr="008858B4">
          <w:rPr>
            <w:rStyle w:val="Hyperlink"/>
          </w:rPr>
          <w:t>https://www.fedconnect.net</w:t>
        </w:r>
      </w:hyperlink>
      <w:r w:rsidRPr="008858B4">
        <w:t>. To create an organization account, your organization’s SAM MPIN is required.</w:t>
      </w:r>
      <w:r w:rsidR="00604DB0">
        <w:t xml:space="preserve"> </w:t>
      </w:r>
      <w:r w:rsidRPr="008858B4">
        <w:t xml:space="preserve">For more information about the SAM MPIN or other registration requirements, review the FedConnect Ready, Set, </w:t>
      </w:r>
      <w:r w:rsidRPr="00120F39">
        <w:t xml:space="preserve">Go! Guide at </w:t>
      </w:r>
      <w:hyperlink r:id="rId55" w:history="1">
        <w:r w:rsidR="00E92EE6" w:rsidRPr="00120F39">
          <w:rPr>
            <w:color w:val="0000FF"/>
            <w:u w:val="single"/>
          </w:rPr>
          <w:t>https://www.fedconnect.net/FedConnect/Marketing/Documents/FedConnect_Ready_Set_Go.pdf</w:t>
        </w:r>
      </w:hyperlink>
      <w:r w:rsidRPr="00120F39">
        <w:t>.</w:t>
      </w:r>
      <w:r w:rsidRPr="008858B4">
        <w:t xml:space="preserve"> </w:t>
      </w:r>
    </w:p>
    <w:p w14:paraId="4CF391F2" w14:textId="77777777" w:rsidR="009A08CC" w:rsidRPr="008858B4" w:rsidRDefault="009A08CC" w:rsidP="00195845">
      <w:pPr>
        <w:ind w:left="1440" w:firstLine="360"/>
      </w:pPr>
    </w:p>
    <w:p w14:paraId="3732C06A" w14:textId="77777777" w:rsidR="00B07932" w:rsidRPr="00A53BBC" w:rsidRDefault="004E672B" w:rsidP="00AC77FA">
      <w:pPr>
        <w:pStyle w:val="FOAHeading4"/>
        <w:numPr>
          <w:ilvl w:val="0"/>
          <w:numId w:val="100"/>
        </w:numPr>
      </w:pPr>
      <w:r w:rsidRPr="00A53BBC">
        <w:t>Grants.gov</w:t>
      </w:r>
    </w:p>
    <w:p w14:paraId="310C71A2" w14:textId="052B5F60" w:rsidR="00AF2304" w:rsidRPr="008858B4" w:rsidRDefault="004E672B" w:rsidP="00AF2304">
      <w:pPr>
        <w:ind w:left="1800"/>
      </w:pPr>
      <w:r w:rsidRPr="008858B4">
        <w:t>Register in Grants.gov (</w:t>
      </w:r>
      <w:hyperlink r:id="rId56" w:history="1">
        <w:r w:rsidRPr="008858B4">
          <w:rPr>
            <w:rStyle w:val="Hyperlink"/>
          </w:rPr>
          <w:t>http://www.grants.gov</w:t>
        </w:r>
      </w:hyperlink>
      <w:r w:rsidRPr="008858B4">
        <w:t>) to receive automatic updates when Amendments to this FOA are posted.</w:t>
      </w:r>
      <w:r w:rsidR="001A3502">
        <w:t xml:space="preserve"> </w:t>
      </w:r>
      <w:r w:rsidR="00943F44">
        <w:t>P</w:t>
      </w:r>
      <w:r w:rsidRPr="008858B4">
        <w:t xml:space="preserve">lease note that </w:t>
      </w:r>
      <w:r w:rsidR="00A704D0">
        <w:t xml:space="preserve">Letters of Intent, Concept Papers, and </w:t>
      </w:r>
      <w:r w:rsidRPr="008858B4">
        <w:t xml:space="preserve">Full Applications will not be accepted through Grants.gov. </w:t>
      </w:r>
    </w:p>
    <w:p w14:paraId="4570267F" w14:textId="77777777" w:rsidR="00B07932" w:rsidRPr="008858B4" w:rsidRDefault="00B07932" w:rsidP="00AF2304">
      <w:pPr>
        <w:ind w:left="1800"/>
      </w:pPr>
    </w:p>
    <w:p w14:paraId="7A81BD62" w14:textId="77777777" w:rsidR="00B07932" w:rsidRPr="00A53BBC" w:rsidRDefault="004E672B" w:rsidP="00D87D45">
      <w:pPr>
        <w:pStyle w:val="FOAHeading4"/>
        <w:numPr>
          <w:ilvl w:val="0"/>
          <w:numId w:val="0"/>
        </w:numPr>
        <w:ind w:left="1440"/>
      </w:pPr>
      <w:r w:rsidRPr="00A53BBC">
        <w:t>Electronic Authorization of Applications and Award Documents</w:t>
      </w:r>
    </w:p>
    <w:p w14:paraId="5E4B6457" w14:textId="58644D7B" w:rsidR="00B07932" w:rsidRPr="008858B4" w:rsidRDefault="004E672B" w:rsidP="00F47A6D">
      <w:pPr>
        <w:ind w:left="1440"/>
      </w:pPr>
      <w:r w:rsidRPr="008858B4">
        <w:t xml:space="preserve">Submission of an application and supplemental information under this FOA through electronic systems used by the </w:t>
      </w:r>
      <w:r w:rsidR="00A5029A">
        <w:t>DOE</w:t>
      </w:r>
      <w:r w:rsidRPr="008858B4">
        <w:t xml:space="preserve">, including </w:t>
      </w:r>
      <w:r w:rsidR="00EB0439">
        <w:t xml:space="preserve">EERE </w:t>
      </w:r>
      <w:r w:rsidR="00BB516E">
        <w:t>eXCHANGE</w:t>
      </w:r>
      <w:r w:rsidR="00EB0439" w:rsidRPr="008858B4">
        <w:t xml:space="preserve"> </w:t>
      </w:r>
      <w:r w:rsidRPr="008858B4">
        <w:t>and FedConnect.net, constitutes the authorized representative’s approval and electronic signature.</w:t>
      </w:r>
      <w:r w:rsidR="001A3502">
        <w:t xml:space="preserve"> </w:t>
      </w:r>
    </w:p>
    <w:p w14:paraId="0D5554AC" w14:textId="77777777" w:rsidR="00B07932" w:rsidRDefault="00B07932" w:rsidP="00A53BBC"/>
    <w:p w14:paraId="1D9DEFA7" w14:textId="4885764B" w:rsidR="00B07932" w:rsidRPr="00872882" w:rsidRDefault="004E672B" w:rsidP="004D5367">
      <w:pPr>
        <w:pStyle w:val="FOAHeading3"/>
        <w:numPr>
          <w:ilvl w:val="0"/>
          <w:numId w:val="48"/>
        </w:numPr>
        <w:ind w:left="1440"/>
        <w:outlineLvl w:val="2"/>
      </w:pPr>
      <w:bookmarkStart w:id="614" w:name="_Toc517799254"/>
      <w:bookmarkStart w:id="615" w:name="_Toc519602420"/>
      <w:bookmarkStart w:id="616" w:name="_Toc519602586"/>
      <w:bookmarkStart w:id="617" w:name="_Toc520382695"/>
      <w:bookmarkStart w:id="618" w:name="_Toc520455696"/>
      <w:bookmarkStart w:id="619" w:name="_Toc520455866"/>
      <w:bookmarkStart w:id="620" w:name="_Toc519602421"/>
      <w:bookmarkStart w:id="621" w:name="_Toc176864507"/>
      <w:bookmarkEnd w:id="614"/>
      <w:bookmarkEnd w:id="615"/>
      <w:bookmarkEnd w:id="616"/>
      <w:bookmarkEnd w:id="617"/>
      <w:bookmarkEnd w:id="618"/>
      <w:bookmarkEnd w:id="619"/>
      <w:r w:rsidRPr="00C72CE2">
        <w:t>Award Administrative Requirements</w:t>
      </w:r>
      <w:bookmarkEnd w:id="620"/>
      <w:bookmarkEnd w:id="621"/>
    </w:p>
    <w:p w14:paraId="4EFF90BD" w14:textId="77777777" w:rsidR="00B07932" w:rsidRPr="008858B4" w:rsidRDefault="004E672B" w:rsidP="00A53BBC">
      <w:pPr>
        <w:ind w:left="1440"/>
      </w:pPr>
      <w:r w:rsidRPr="008858B4">
        <w:t>The administrative requirements for DOE grants and cooperative agreements are contained in 2 CFR Part 200 as amended by 2 CFR Part 910.</w:t>
      </w:r>
      <w:r w:rsidR="001A3502">
        <w:t xml:space="preserve"> </w:t>
      </w:r>
    </w:p>
    <w:p w14:paraId="3D608FE8" w14:textId="77777777" w:rsidR="00B07932" w:rsidRPr="008858B4" w:rsidRDefault="00B07932" w:rsidP="00195845">
      <w:pPr>
        <w:ind w:left="1620" w:hanging="180"/>
      </w:pPr>
    </w:p>
    <w:p w14:paraId="5B39E1F3" w14:textId="77777777" w:rsidR="00943F44" w:rsidRPr="00D54C61" w:rsidRDefault="00943F44" w:rsidP="00943F44">
      <w:pPr>
        <w:pStyle w:val="FOAHeading3"/>
        <w:ind w:left="1440"/>
        <w:outlineLvl w:val="2"/>
      </w:pPr>
      <w:bookmarkStart w:id="622" w:name="_Toc110346612"/>
      <w:bookmarkStart w:id="623" w:name="_Toc140061009"/>
      <w:bookmarkStart w:id="624" w:name="_Toc424905243"/>
      <w:bookmarkStart w:id="625" w:name="_Toc425399674"/>
      <w:bookmarkStart w:id="626" w:name="_Toc519602422"/>
      <w:bookmarkStart w:id="627" w:name="_Toc176864508"/>
      <w:r w:rsidRPr="00D54C61">
        <w:t>Foreign National Participation</w:t>
      </w:r>
      <w:bookmarkEnd w:id="622"/>
      <w:bookmarkEnd w:id="623"/>
      <w:bookmarkEnd w:id="627"/>
    </w:p>
    <w:p w14:paraId="569DFB45" w14:textId="77777777" w:rsidR="00943F44" w:rsidRPr="00D54C61" w:rsidRDefault="00943F44" w:rsidP="00943F44">
      <w:pPr>
        <w:pStyle w:val="FOATemplateBody"/>
        <w:keepNext/>
        <w:ind w:left="1440"/>
      </w:pPr>
      <w:r w:rsidRPr="00D54C61">
        <w:t>All applicants selected for an award under this FOA and project participants (including subrecipients and contractors) who anticipate involving foreign nationals in the performance of an award, may be required to provide DOE with specific information about each foreign national to satisfy requirements for foreign national participation. A “foreign national” is defined as any person who is not a United States citizen by birth or naturalization. The volume and type of information collected may depend on various factors associated with the award.  DOE concurrence may be required before a foreign national can participate in the performance of any work under an award.</w:t>
      </w:r>
    </w:p>
    <w:p w14:paraId="05BD77A9" w14:textId="77777777" w:rsidR="00943F44" w:rsidRPr="00D54C61" w:rsidRDefault="00943F44" w:rsidP="00943F44">
      <w:pPr>
        <w:pStyle w:val="FOATemplateBody"/>
        <w:keepNext/>
        <w:ind w:left="1440"/>
      </w:pPr>
    </w:p>
    <w:p w14:paraId="50A44FF5" w14:textId="77777777" w:rsidR="00943F44" w:rsidRPr="006C56C2" w:rsidRDefault="00943F44" w:rsidP="00943F44">
      <w:pPr>
        <w:pStyle w:val="FOATemplateBody"/>
        <w:keepNext/>
        <w:ind w:left="1440"/>
        <w:rPr>
          <w:sz w:val="20"/>
          <w:szCs w:val="20"/>
        </w:rPr>
      </w:pPr>
      <w:r w:rsidRPr="00D54C61">
        <w:t xml:space="preserve">DOE may elect to deny a foreign national’s participation in the award. Likewise, DOE may elect to deny a foreign national’s access to a </w:t>
      </w:r>
      <w:r w:rsidRPr="00D54C61">
        <w:rPr>
          <w:rFonts w:asciiTheme="minorHAnsi" w:hAnsiTheme="minorHAnsi"/>
        </w:rPr>
        <w:t>DOE site, information, technologies, equipment, programs, or personnel.</w:t>
      </w:r>
    </w:p>
    <w:bookmarkEnd w:id="624"/>
    <w:bookmarkEnd w:id="625"/>
    <w:bookmarkEnd w:id="626"/>
    <w:p w14:paraId="54655DBD" w14:textId="41B41396" w:rsidR="004A7EB3" w:rsidRPr="00AF2304" w:rsidRDefault="004E672B" w:rsidP="00A53BBC">
      <w:pPr>
        <w:pStyle w:val="FOATemplateBody"/>
        <w:ind w:left="1440"/>
        <w:rPr>
          <w:rFonts w:asciiTheme="minorHAnsi" w:hAnsiTheme="minorHAnsi"/>
        </w:rPr>
      </w:pPr>
      <w:r w:rsidRPr="008E7670">
        <w:rPr>
          <w:rFonts w:asciiTheme="minorHAnsi" w:hAnsiTheme="minorHAnsi"/>
        </w:rPr>
        <w:t xml:space="preserve"> </w:t>
      </w:r>
    </w:p>
    <w:p w14:paraId="12EB57C5" w14:textId="63AB36E8" w:rsidR="00B07932" w:rsidRPr="00872882" w:rsidRDefault="004E672B" w:rsidP="004D5367">
      <w:pPr>
        <w:pStyle w:val="FOAHeading3"/>
        <w:numPr>
          <w:ilvl w:val="0"/>
          <w:numId w:val="48"/>
        </w:numPr>
        <w:ind w:left="1440"/>
        <w:outlineLvl w:val="2"/>
      </w:pPr>
      <w:bookmarkStart w:id="628" w:name="_Toc519602423"/>
      <w:bookmarkStart w:id="629" w:name="_Toc176864509"/>
      <w:r w:rsidRPr="00C72CE2">
        <w:lastRenderedPageBreak/>
        <w:t>Subaward and Ex</w:t>
      </w:r>
      <w:r w:rsidRPr="0022038E">
        <w:t>ecutive Reporting</w:t>
      </w:r>
      <w:bookmarkEnd w:id="628"/>
      <w:bookmarkEnd w:id="629"/>
    </w:p>
    <w:p w14:paraId="6992E845" w14:textId="77777777" w:rsidR="00B07932" w:rsidRPr="008858B4" w:rsidRDefault="004E672B" w:rsidP="00A53BBC">
      <w:pPr>
        <w:ind w:left="1440"/>
      </w:pPr>
      <w:r w:rsidRPr="008858B4">
        <w:t xml:space="preserve">Additional administrative requirements necessary for DOE grants and cooperative agreements to comply with the Federal Funding and Transparency Act of 2006 (FFATA) are contained in 2 CFR Part 170. Prime </w:t>
      </w:r>
      <w:r w:rsidR="00647D5B">
        <w:t>r</w:t>
      </w:r>
      <w:r w:rsidR="00647D5B" w:rsidRPr="008858B4">
        <w:t xml:space="preserve">ecipients </w:t>
      </w:r>
      <w:r w:rsidRPr="008858B4">
        <w:t xml:space="preserve">must register with the new FFATA Subaward Reporting System database and report the required data on their first tier </w:t>
      </w:r>
      <w:r w:rsidR="00496B2A">
        <w:t>s</w:t>
      </w:r>
      <w:r w:rsidR="00496B2A" w:rsidRPr="008858B4">
        <w:t>ubrecipients</w:t>
      </w:r>
      <w:r w:rsidRPr="008858B4">
        <w:t xml:space="preserve">. Prime </w:t>
      </w:r>
      <w:r w:rsidR="00647D5B">
        <w:t>r</w:t>
      </w:r>
      <w:r w:rsidR="00647D5B" w:rsidRPr="008858B4">
        <w:t xml:space="preserve">ecipients </w:t>
      </w:r>
      <w:r w:rsidRPr="008858B4">
        <w:t>must report the executive compensation for their own executives as part of their registration profile in SAM.</w:t>
      </w:r>
    </w:p>
    <w:p w14:paraId="43E598C0" w14:textId="77777777" w:rsidR="00B07932" w:rsidRDefault="00B07932"/>
    <w:p w14:paraId="5A21D6FD" w14:textId="0D972E50" w:rsidR="00B07932" w:rsidRPr="00872882" w:rsidRDefault="004E672B" w:rsidP="004D5367">
      <w:pPr>
        <w:pStyle w:val="FOAHeading3"/>
        <w:numPr>
          <w:ilvl w:val="0"/>
          <w:numId w:val="48"/>
        </w:numPr>
        <w:ind w:left="1440"/>
        <w:outlineLvl w:val="2"/>
      </w:pPr>
      <w:bookmarkStart w:id="630" w:name="_Toc517799258"/>
      <w:bookmarkStart w:id="631" w:name="_Toc519602424"/>
      <w:bookmarkStart w:id="632" w:name="_Toc519602590"/>
      <w:bookmarkStart w:id="633" w:name="_Toc520382699"/>
      <w:bookmarkStart w:id="634" w:name="_Toc520455700"/>
      <w:bookmarkStart w:id="635" w:name="_Toc520455870"/>
      <w:bookmarkStart w:id="636" w:name="_Toc519602425"/>
      <w:bookmarkStart w:id="637" w:name="_Toc176864510"/>
      <w:bookmarkEnd w:id="630"/>
      <w:bookmarkEnd w:id="631"/>
      <w:bookmarkEnd w:id="632"/>
      <w:bookmarkEnd w:id="633"/>
      <w:bookmarkEnd w:id="634"/>
      <w:bookmarkEnd w:id="635"/>
      <w:r w:rsidRPr="00C72CE2">
        <w:t>National Policy Requ</w:t>
      </w:r>
      <w:r w:rsidRPr="0022038E">
        <w:t>irements</w:t>
      </w:r>
      <w:bookmarkEnd w:id="636"/>
      <w:bookmarkEnd w:id="637"/>
    </w:p>
    <w:p w14:paraId="5F418E8F" w14:textId="6DA26C29" w:rsidR="00B07932" w:rsidRPr="008858B4" w:rsidRDefault="004E672B" w:rsidP="00A53BBC">
      <w:pPr>
        <w:ind w:left="1440"/>
      </w:pPr>
      <w:r w:rsidRPr="008858B4">
        <w:t xml:space="preserve">The National Policy Assurances that are incorporated as a term and condition of award are located at: </w:t>
      </w:r>
      <w:hyperlink r:id="rId57" w:history="1">
        <w:r w:rsidRPr="00120F39">
          <w:rPr>
            <w:rStyle w:val="Hyperlink"/>
          </w:rPr>
          <w:t>http://www.nsf.gov/awards/managing/rtc.jsp</w:t>
        </w:r>
      </w:hyperlink>
      <w:r w:rsidRPr="00120F39">
        <w:t xml:space="preserve">. </w:t>
      </w:r>
    </w:p>
    <w:p w14:paraId="7106FE4E" w14:textId="77777777" w:rsidR="00B07932" w:rsidRPr="009A08CC" w:rsidRDefault="00B07932"/>
    <w:p w14:paraId="3456E7EE" w14:textId="06C88126" w:rsidR="00B07932" w:rsidRPr="00872882" w:rsidRDefault="004E672B" w:rsidP="004D5367">
      <w:pPr>
        <w:pStyle w:val="FOAHeading3"/>
        <w:numPr>
          <w:ilvl w:val="0"/>
          <w:numId w:val="48"/>
        </w:numPr>
        <w:ind w:left="1440"/>
        <w:outlineLvl w:val="2"/>
      </w:pPr>
      <w:bookmarkStart w:id="638" w:name="_Toc519602426"/>
      <w:bookmarkStart w:id="639" w:name="_Toc176864511"/>
      <w:r w:rsidRPr="00C72CE2">
        <w:t xml:space="preserve">Environmental Review in Accordance with </w:t>
      </w:r>
      <w:r w:rsidRPr="0022038E">
        <w:t>National Environmental Policy Act (NEPA)</w:t>
      </w:r>
      <w:bookmarkEnd w:id="638"/>
      <w:bookmarkEnd w:id="639"/>
    </w:p>
    <w:p w14:paraId="050C5707" w14:textId="56BAFC63" w:rsidR="00B07932" w:rsidRPr="008858B4" w:rsidRDefault="004E672B" w:rsidP="00A53BBC">
      <w:pPr>
        <w:ind w:left="1440"/>
      </w:pPr>
      <w:r w:rsidRPr="008858B4">
        <w:t xml:space="preserve">EERE’s decision whether and how to distribute </w:t>
      </w:r>
      <w:r w:rsidR="00506F43">
        <w:t>f</w:t>
      </w:r>
      <w:r w:rsidR="00506F43" w:rsidRPr="008858B4">
        <w:t xml:space="preserve">ederal </w:t>
      </w:r>
      <w:r w:rsidRPr="008858B4">
        <w:t xml:space="preserve">funds under this FOA is subject to </w:t>
      </w:r>
      <w:r w:rsidR="006B6279">
        <w:t>NEPA</w:t>
      </w:r>
      <w:r w:rsidRPr="008858B4">
        <w:t xml:space="preserve"> (42 U</w:t>
      </w:r>
      <w:r w:rsidR="00576BC8">
        <w:t>.</w:t>
      </w:r>
      <w:r w:rsidRPr="008858B4">
        <w:t>S</w:t>
      </w:r>
      <w:r w:rsidR="00576BC8">
        <w:t>.</w:t>
      </w:r>
      <w:r w:rsidRPr="008858B4">
        <w:t>C</w:t>
      </w:r>
      <w:r w:rsidR="00576BC8">
        <w:t>.</w:t>
      </w:r>
      <w:r w:rsidRPr="008858B4">
        <w:t xml:space="preserve"> 4321, </w:t>
      </w:r>
      <w:r w:rsidRPr="00120F39">
        <w:rPr>
          <w:i/>
        </w:rPr>
        <w:t>et seq.</w:t>
      </w:r>
      <w:r w:rsidRPr="008858B4">
        <w:t xml:space="preserve">). NEPA requires </w:t>
      </w:r>
      <w:r w:rsidR="001F169D">
        <w:t>f</w:t>
      </w:r>
      <w:r w:rsidR="001F169D" w:rsidRPr="008858B4">
        <w:t xml:space="preserve">ederal </w:t>
      </w:r>
      <w:r w:rsidRPr="008858B4">
        <w:t xml:space="preserve">agencies to integrate environmental values into their decision-making processes by considering the potential environmental impacts of their proposed actions. For additional background on NEPA, please see DOE’s NEPA website, at </w:t>
      </w:r>
      <w:hyperlink r:id="rId58" w:history="1">
        <w:r w:rsidR="00E366B5">
          <w:rPr>
            <w:rStyle w:val="Hyperlink"/>
          </w:rPr>
          <w:t>https://www.energy.gov/nepa</w:t>
        </w:r>
      </w:hyperlink>
      <w:r w:rsidR="00E366B5">
        <w:t>.</w:t>
      </w:r>
    </w:p>
    <w:p w14:paraId="4573588C" w14:textId="77777777" w:rsidR="00B07932" w:rsidRPr="008858B4" w:rsidRDefault="00B07932" w:rsidP="00A53BBC">
      <w:pPr>
        <w:ind w:left="1440"/>
      </w:pPr>
    </w:p>
    <w:p w14:paraId="3A450F78" w14:textId="77777777" w:rsidR="00943F44" w:rsidRDefault="004E672B" w:rsidP="00A53BBC">
      <w:pPr>
        <w:autoSpaceDE w:val="0"/>
        <w:autoSpaceDN w:val="0"/>
        <w:adjustRightInd w:val="0"/>
        <w:ind w:left="1440"/>
        <w:rPr>
          <w:rFonts w:cs="TT13Et00"/>
          <w:szCs w:val="24"/>
        </w:rPr>
      </w:pPr>
      <w:r w:rsidRPr="008858B4">
        <w:t xml:space="preserve">While NEPA compliance is a </w:t>
      </w:r>
      <w:r w:rsidR="001F169D">
        <w:t>f</w:t>
      </w:r>
      <w:r w:rsidR="001F169D" w:rsidRPr="008858B4">
        <w:t xml:space="preserve">ederal </w:t>
      </w:r>
      <w:r w:rsidRPr="008858B4">
        <w:t xml:space="preserve">agency responsibility and the ultimate decisions remain with the </w:t>
      </w:r>
      <w:r w:rsidR="001F169D">
        <w:t>f</w:t>
      </w:r>
      <w:r w:rsidR="001F169D" w:rsidRPr="008858B4">
        <w:t xml:space="preserve">ederal </w:t>
      </w:r>
      <w:r w:rsidRPr="008858B4">
        <w:t>agency, all recipients selected for an award will be required to assist in the timely and effective completion of the NEPA process in the manner most pertinent to their proposed project.</w:t>
      </w:r>
      <w:r w:rsidR="001A3502">
        <w:t xml:space="preserve"> </w:t>
      </w:r>
      <w:r w:rsidRPr="008858B4">
        <w:t xml:space="preserve">If DOE determines certain records must be prepared to complete the NEPA review process (e.g., biological evaluations or environmental assessments), </w:t>
      </w:r>
      <w:r w:rsidR="00CB7958">
        <w:t xml:space="preserve">the recipient may be required to prepare the records and </w:t>
      </w:r>
      <w:r w:rsidRPr="00AF2304">
        <w:rPr>
          <w:rFonts w:cs="TT13Et00"/>
          <w:szCs w:val="24"/>
        </w:rPr>
        <w:t>the costs to prepare the necessary records may be included as part of the project costs.</w:t>
      </w:r>
    </w:p>
    <w:p w14:paraId="6F4EE3C4" w14:textId="77777777" w:rsidR="00943F44" w:rsidRDefault="00943F44" w:rsidP="00A53BBC">
      <w:pPr>
        <w:autoSpaceDE w:val="0"/>
        <w:autoSpaceDN w:val="0"/>
        <w:adjustRightInd w:val="0"/>
        <w:ind w:left="1440"/>
        <w:rPr>
          <w:rFonts w:cs="TT13Et00"/>
          <w:szCs w:val="24"/>
        </w:rPr>
      </w:pPr>
    </w:p>
    <w:p w14:paraId="1A54C946" w14:textId="77777777" w:rsidR="00865F7B" w:rsidRDefault="00865F7B" w:rsidP="00F51D93">
      <w:pPr>
        <w:widowControl w:val="0"/>
        <w:autoSpaceDE w:val="0"/>
        <w:autoSpaceDN w:val="0"/>
        <w:adjustRightInd w:val="0"/>
        <w:ind w:left="1440"/>
        <w:rPr>
          <w:rFonts w:ascii="Calibri" w:hAnsi="Calibri"/>
          <w:szCs w:val="24"/>
        </w:rPr>
      </w:pPr>
      <w:bookmarkStart w:id="640" w:name="_Hlk138852967"/>
      <w:r w:rsidRPr="002572F7">
        <w:rPr>
          <w:rFonts w:ascii="Calibri" w:hAnsi="Calibri"/>
          <w:b/>
          <w:bCs/>
          <w:szCs w:val="24"/>
          <w:u w:val="single"/>
        </w:rPr>
        <w:t>National Historic Preservation Act (NHPA)</w:t>
      </w:r>
      <w:bookmarkEnd w:id="640"/>
      <w:r w:rsidR="00943F44">
        <w:rPr>
          <w:rFonts w:ascii="Calibri" w:hAnsi="Calibri"/>
          <w:szCs w:val="24"/>
        </w:rPr>
        <w:t xml:space="preserve"> </w:t>
      </w:r>
    </w:p>
    <w:p w14:paraId="10FC446A" w14:textId="77777777" w:rsidR="00865F7B" w:rsidRDefault="00865F7B" w:rsidP="00865F7B">
      <w:pPr>
        <w:widowControl w:val="0"/>
        <w:autoSpaceDE w:val="0"/>
        <w:autoSpaceDN w:val="0"/>
        <w:adjustRightInd w:val="0"/>
        <w:ind w:left="1440"/>
        <w:rPr>
          <w:rFonts w:ascii="Calibri" w:hAnsi="Calibri"/>
          <w:szCs w:val="24"/>
        </w:rPr>
      </w:pPr>
      <w:r>
        <w:rPr>
          <w:rFonts w:ascii="Calibri" w:hAnsi="Calibri"/>
          <w:szCs w:val="24"/>
        </w:rPr>
        <w:t xml:space="preserve">All recipients selected for an award must comply with the requirements of Section 106 of the National Historic Preservation Act (NHPA) prior to using Federal funds.  Section 106 applies to historic properties that are listed in or eligible for listing in the National Register of Historic Places.  DOE and </w:t>
      </w:r>
      <w:r>
        <w:t xml:space="preserve">recipients selected for an award </w:t>
      </w:r>
      <w:r>
        <w:rPr>
          <w:rFonts w:ascii="Calibri" w:hAnsi="Calibri"/>
          <w:szCs w:val="24"/>
        </w:rPr>
        <w:t xml:space="preserve">must consider the effects of project activities on historic properties, pursuant to Section 106 of the NHPA. DOE will perform a NHPA review under the umbrella of its NEPA review.  </w:t>
      </w:r>
    </w:p>
    <w:p w14:paraId="38D960B0" w14:textId="77777777" w:rsidR="00865F7B" w:rsidRDefault="00865F7B" w:rsidP="00865F7B">
      <w:pPr>
        <w:widowControl w:val="0"/>
        <w:autoSpaceDE w:val="0"/>
        <w:autoSpaceDN w:val="0"/>
        <w:adjustRightInd w:val="0"/>
        <w:ind w:left="1440"/>
        <w:rPr>
          <w:rFonts w:ascii="Calibri" w:hAnsi="Calibri"/>
          <w:szCs w:val="24"/>
        </w:rPr>
      </w:pPr>
    </w:p>
    <w:p w14:paraId="72D7808D" w14:textId="77777777" w:rsidR="00B159B5" w:rsidRPr="00D54C61" w:rsidRDefault="00B159B5" w:rsidP="00B159B5">
      <w:pPr>
        <w:pStyle w:val="FOAHeading3"/>
        <w:ind w:left="1440"/>
        <w:outlineLvl w:val="2"/>
      </w:pPr>
      <w:bookmarkStart w:id="641" w:name="_Toc110346616"/>
      <w:bookmarkStart w:id="642" w:name="_Toc140061013"/>
      <w:bookmarkStart w:id="643" w:name="_Toc176864512"/>
      <w:r w:rsidRPr="00D54C61">
        <w:lastRenderedPageBreak/>
        <w:t>Flood Resilience</w:t>
      </w:r>
      <w:bookmarkEnd w:id="641"/>
      <w:bookmarkEnd w:id="642"/>
      <w:bookmarkEnd w:id="643"/>
    </w:p>
    <w:p w14:paraId="04FF9124" w14:textId="382749FC" w:rsidR="00B159B5" w:rsidRDefault="00B159B5" w:rsidP="00D54C61">
      <w:pPr>
        <w:ind w:left="1440"/>
      </w:pPr>
      <w:r w:rsidRPr="00D54C61">
        <w:t>Applications should</w:t>
      </w:r>
      <w:r w:rsidR="00DC2501">
        <w:t xml:space="preserve"> i</w:t>
      </w:r>
      <w:r w:rsidRPr="00D54C61">
        <w:t xml:space="preserve">ndicate whether the proposed project location(s) is within a floodplain, how the floodplain was defined, and how flooding will factor into the project’s design. The base floodplain long used for planning has been the 100-year floodplain, which has a 1% chance of flooding in any given year. As directed by Executive Order 13690, Establishing a Federal Flood Risk Management Standard and a Process for Further Soliciting and Considering Stakeholder Input (2015), federal agencies, including DOE, must continue to avoid development in a floodplain to the extent possible. When doing so is not possible, federal agencies are directed to “expand management from the current base flood level to a higher vertical elevation and corresponding horizontal floodplain to address current and future flood risk and ensure that projects funded with taxpayer dollars last as long as intended.” The higher flood elevation is based on one of three approaches: climate-informed science (preferred), freeboard value, or 0.2% annual flood change (500-year floodplain). EO 13690 and related information is available at: </w:t>
      </w:r>
      <w:hyperlink r:id="rId59" w:history="1">
        <w:r w:rsidRPr="00D54C61">
          <w:rPr>
            <w:rStyle w:val="Hyperlink"/>
          </w:rPr>
          <w:t>https://www.energy.gov/nepa/articles/eo-13690-establishing-federal-flood-risk-management-standard-and-process-further</w:t>
        </w:r>
      </w:hyperlink>
      <w:r w:rsidRPr="00D54C61">
        <w:t>.</w:t>
      </w:r>
    </w:p>
    <w:p w14:paraId="0EB617DA" w14:textId="77777777" w:rsidR="00B159B5" w:rsidRPr="008858B4" w:rsidRDefault="00B159B5" w:rsidP="00B159B5"/>
    <w:p w14:paraId="24D29402" w14:textId="011B564E" w:rsidR="00B07932" w:rsidRPr="00872882" w:rsidRDefault="004E672B" w:rsidP="004D5367">
      <w:pPr>
        <w:pStyle w:val="FOAHeading3"/>
        <w:numPr>
          <w:ilvl w:val="0"/>
          <w:numId w:val="48"/>
        </w:numPr>
        <w:ind w:left="1440"/>
        <w:outlineLvl w:val="2"/>
      </w:pPr>
      <w:bookmarkStart w:id="644" w:name="_Toc519602427"/>
      <w:bookmarkStart w:id="645" w:name="_Toc176864513"/>
      <w:r w:rsidRPr="00C72CE2">
        <w:t>Applicant Representations and Certifications</w:t>
      </w:r>
      <w:bookmarkEnd w:id="644"/>
      <w:bookmarkEnd w:id="645"/>
    </w:p>
    <w:p w14:paraId="3D84DD9A" w14:textId="77777777" w:rsidR="00156F9D" w:rsidRPr="00B5344E" w:rsidRDefault="00156F9D" w:rsidP="00A53BBC"/>
    <w:p w14:paraId="2D3644B9" w14:textId="77777777" w:rsidR="00B07932" w:rsidRPr="005E2B4E" w:rsidRDefault="004E672B" w:rsidP="004D5367">
      <w:pPr>
        <w:pStyle w:val="FOAHeading4"/>
        <w:numPr>
          <w:ilvl w:val="0"/>
          <w:numId w:val="49"/>
        </w:numPr>
        <w:ind w:left="1800"/>
      </w:pPr>
      <w:r w:rsidRPr="005E2B4E">
        <w:t>Lobbying Restrictions</w:t>
      </w:r>
    </w:p>
    <w:p w14:paraId="15F736A4" w14:textId="11645161" w:rsidR="00B07932" w:rsidRPr="008858B4" w:rsidRDefault="004E672B" w:rsidP="00A53BBC">
      <w:pPr>
        <w:ind w:left="1800"/>
      </w:pPr>
      <w:r w:rsidRPr="008858B4">
        <w:t xml:space="preserve">By accepting funds under this award, the </w:t>
      </w:r>
      <w:r w:rsidR="00647D5B">
        <w:t>p</w:t>
      </w:r>
      <w:r w:rsidR="00647D5B" w:rsidRPr="008858B4">
        <w:t xml:space="preserve">rime </w:t>
      </w:r>
      <w:r w:rsidR="00647D5B">
        <w:t>r</w:t>
      </w:r>
      <w:r w:rsidR="00647D5B" w:rsidRPr="008858B4">
        <w:t xml:space="preserve">ecipient </w:t>
      </w:r>
      <w:r w:rsidRPr="008858B4">
        <w:t>agrees that none of the funds obligated on the award shall be expended, directly or indirectly, to influence Congressional action on any legislation or appropriation matters pending before Congress, other than to communicate to Members of Congress as described in 18 U.S.C. §</w:t>
      </w:r>
      <w:r w:rsidR="008906FD">
        <w:t xml:space="preserve"> </w:t>
      </w:r>
      <w:r w:rsidRPr="008858B4">
        <w:t>1913. This restriction is in addition to those prescribed elsewhere in statute and regulation.</w:t>
      </w:r>
    </w:p>
    <w:p w14:paraId="47F7E55A" w14:textId="77777777" w:rsidR="00B07932" w:rsidRPr="008858B4" w:rsidRDefault="00B07932" w:rsidP="00F325ED">
      <w:pPr>
        <w:ind w:left="1980" w:hanging="360"/>
      </w:pPr>
    </w:p>
    <w:p w14:paraId="0C269B3E" w14:textId="77777777" w:rsidR="00B07932" w:rsidRPr="005E2B4E" w:rsidRDefault="004E672B" w:rsidP="004D5367">
      <w:pPr>
        <w:pStyle w:val="FOAHeading4"/>
        <w:numPr>
          <w:ilvl w:val="0"/>
          <w:numId w:val="49"/>
        </w:numPr>
        <w:ind w:left="1800"/>
      </w:pPr>
      <w:r w:rsidRPr="005E2B4E">
        <w:t xml:space="preserve">Corporate Felony Conviction and Federal Tax Liability Representations </w:t>
      </w:r>
    </w:p>
    <w:p w14:paraId="401E626E" w14:textId="6251DB53" w:rsidR="00B07932" w:rsidRPr="002A0AA3" w:rsidRDefault="004E672B" w:rsidP="00A53BBC">
      <w:pPr>
        <w:pStyle w:val="ListParagraph"/>
        <w:ind w:left="1800"/>
        <w:rPr>
          <w:szCs w:val="24"/>
        </w:rPr>
      </w:pPr>
      <w:r w:rsidRPr="00120F39">
        <w:t xml:space="preserve">In submitting an application to this FOA, </w:t>
      </w:r>
      <w:r w:rsidRPr="009061D6">
        <w:t>the applicant represents that:</w:t>
      </w:r>
    </w:p>
    <w:p w14:paraId="68B2E5AF" w14:textId="77777777" w:rsidR="00B07932" w:rsidRPr="008858B4" w:rsidRDefault="00B07932" w:rsidP="008858B4"/>
    <w:p w14:paraId="32224E9B" w14:textId="35BA46D9" w:rsidR="00B07932" w:rsidRDefault="004E672B" w:rsidP="004E672B">
      <w:pPr>
        <w:pStyle w:val="ListParagraph"/>
        <w:numPr>
          <w:ilvl w:val="0"/>
          <w:numId w:val="27"/>
        </w:numPr>
        <w:ind w:left="2160"/>
      </w:pPr>
      <w:r w:rsidRPr="008858B4">
        <w:t xml:space="preserve">It is </w:t>
      </w:r>
      <w:r w:rsidRPr="00120F39">
        <w:rPr>
          <w:b/>
        </w:rPr>
        <w:t>not</w:t>
      </w:r>
      <w:r w:rsidRPr="008858B4">
        <w:t xml:space="preserve"> a corporation that has been convicted of a felony criminal violation under any </w:t>
      </w:r>
      <w:r w:rsidR="001F169D">
        <w:t>f</w:t>
      </w:r>
      <w:r w:rsidR="001F169D" w:rsidRPr="008858B4">
        <w:t xml:space="preserve">ederal </w:t>
      </w:r>
      <w:r w:rsidRPr="008858B4">
        <w:t>law</w:t>
      </w:r>
      <w:r w:rsidR="00557553">
        <w:t xml:space="preserve"> within the preceding 24 months;</w:t>
      </w:r>
      <w:r w:rsidRPr="008858B4">
        <w:t xml:space="preserve"> and</w:t>
      </w:r>
    </w:p>
    <w:p w14:paraId="692E5697" w14:textId="77777777" w:rsidR="001F19A6" w:rsidRDefault="001F19A6" w:rsidP="00A53BBC">
      <w:pPr>
        <w:pStyle w:val="ListParagraph"/>
        <w:ind w:left="2160"/>
      </w:pPr>
    </w:p>
    <w:p w14:paraId="31BCC73B" w14:textId="77777777" w:rsidR="00B07932" w:rsidRPr="008858B4" w:rsidRDefault="004E672B" w:rsidP="004E672B">
      <w:pPr>
        <w:pStyle w:val="ListParagraph"/>
        <w:numPr>
          <w:ilvl w:val="0"/>
          <w:numId w:val="27"/>
        </w:numPr>
        <w:ind w:left="2160"/>
      </w:pPr>
      <w:r w:rsidRPr="008858B4">
        <w:t xml:space="preserve">It is </w:t>
      </w:r>
      <w:r w:rsidRPr="00120F39">
        <w:rPr>
          <w:b/>
        </w:rPr>
        <w:t>not</w:t>
      </w:r>
      <w:r w:rsidRPr="008858B4">
        <w:t xml:space="preserve"> a corporation that has any unpaid </w:t>
      </w:r>
      <w:r w:rsidR="001F169D">
        <w:t>f</w:t>
      </w:r>
      <w:r w:rsidR="001F169D" w:rsidRPr="008858B4">
        <w:t xml:space="preserve">ederal </w:t>
      </w:r>
      <w:r w:rsidRPr="008858B4">
        <w:t>tax liability that has been assessed, for which all judicial and administrative remedies have been exhausted or have lapsed, and that is not being paid in a timely manner pursuant to an agreement with the authority responsible for collecting the tax liability.</w:t>
      </w:r>
    </w:p>
    <w:p w14:paraId="3233FD3F" w14:textId="77777777" w:rsidR="00B07932" w:rsidRPr="008858B4" w:rsidRDefault="00B07932" w:rsidP="00D7486C">
      <w:pPr>
        <w:ind w:left="2160" w:hanging="360"/>
      </w:pPr>
    </w:p>
    <w:p w14:paraId="4ED9EB9A" w14:textId="2253636D" w:rsidR="00B07932" w:rsidRPr="008858B4" w:rsidRDefault="004E672B" w:rsidP="00657A15">
      <w:pPr>
        <w:ind w:left="2160"/>
      </w:pPr>
      <w:r w:rsidRPr="008858B4">
        <w:t>For purposes of these representations</w:t>
      </w:r>
      <w:r w:rsidR="00657A15">
        <w:t>,</w:t>
      </w:r>
      <w:r w:rsidR="00DC2501">
        <w:t xml:space="preserve"> </w:t>
      </w:r>
      <w:r w:rsidR="00657A15">
        <w:t>a c</w:t>
      </w:r>
      <w:r w:rsidRPr="008858B4">
        <w:t xml:space="preserve">orporation </w:t>
      </w:r>
      <w:r w:rsidR="00657A15">
        <w:t xml:space="preserve">is </w:t>
      </w:r>
      <w:r w:rsidRPr="008858B4">
        <w:t xml:space="preserve">any </w:t>
      </w:r>
      <w:r w:rsidR="00657A15">
        <w:t xml:space="preserve">for-profit or nonprofit </w:t>
      </w:r>
      <w:r w:rsidRPr="008858B4">
        <w:t xml:space="preserve">entity that has filed articles of incorporation in any of the 50 </w:t>
      </w:r>
      <w:r w:rsidRPr="008858B4">
        <w:lastRenderedPageBreak/>
        <w:t xml:space="preserve">states, the District of Columbia, or the various territories of the United States [but not foreign corporations]. </w:t>
      </w:r>
    </w:p>
    <w:p w14:paraId="19305DA5" w14:textId="77777777" w:rsidR="00B07932" w:rsidRPr="008858B4" w:rsidRDefault="00B07932" w:rsidP="008858B4"/>
    <w:p w14:paraId="6F854F97" w14:textId="77777777" w:rsidR="00B07932" w:rsidRPr="005E2B4E" w:rsidRDefault="004E672B" w:rsidP="004D5367">
      <w:pPr>
        <w:pStyle w:val="FOAHeading4"/>
        <w:numPr>
          <w:ilvl w:val="0"/>
          <w:numId w:val="49"/>
        </w:numPr>
        <w:ind w:left="1800"/>
      </w:pPr>
      <w:r w:rsidRPr="005E2B4E">
        <w:t xml:space="preserve">Nondisclosure and Confidentiality Agreements Representations </w:t>
      </w:r>
    </w:p>
    <w:p w14:paraId="684B4D16" w14:textId="146BB5EC" w:rsidR="00B07932" w:rsidRPr="00A53BBC" w:rsidRDefault="004E672B" w:rsidP="00A53BBC">
      <w:pPr>
        <w:pStyle w:val="ListParagraph"/>
        <w:ind w:left="1800"/>
        <w:rPr>
          <w:szCs w:val="24"/>
        </w:rPr>
      </w:pPr>
      <w:r w:rsidRPr="00120F39">
        <w:t>In</w:t>
      </w:r>
      <w:r w:rsidRPr="009061D6">
        <w:t xml:space="preserve"> submitting an application to this FOA the applicant represents that:</w:t>
      </w:r>
    </w:p>
    <w:p w14:paraId="2BD9414D" w14:textId="77777777" w:rsidR="00B07932" w:rsidRPr="008858B4" w:rsidRDefault="00B07932" w:rsidP="00D7486C">
      <w:pPr>
        <w:kinsoku w:val="0"/>
        <w:overflowPunct w:val="0"/>
        <w:autoSpaceDE w:val="0"/>
        <w:autoSpaceDN w:val="0"/>
        <w:adjustRightInd w:val="0"/>
        <w:ind w:left="2160" w:hanging="360"/>
        <w:rPr>
          <w:szCs w:val="24"/>
        </w:rPr>
      </w:pPr>
    </w:p>
    <w:p w14:paraId="48AAE790" w14:textId="77777777" w:rsidR="00B07932" w:rsidRDefault="004E672B" w:rsidP="004E672B">
      <w:pPr>
        <w:pStyle w:val="ListParagraph"/>
        <w:numPr>
          <w:ilvl w:val="0"/>
          <w:numId w:val="28"/>
        </w:numPr>
        <w:kinsoku w:val="0"/>
        <w:overflowPunct w:val="0"/>
        <w:autoSpaceDE w:val="0"/>
        <w:autoSpaceDN w:val="0"/>
        <w:adjustRightInd w:val="0"/>
        <w:spacing w:before="32" w:after="200"/>
        <w:ind w:left="2160"/>
        <w:rPr>
          <w:spacing w:val="-1"/>
        </w:rPr>
      </w:pPr>
      <w:r w:rsidRPr="00120F39">
        <w:rPr>
          <w:spacing w:val="-2"/>
        </w:rPr>
        <w:t>It</w:t>
      </w:r>
      <w:r w:rsidRPr="00AF2304">
        <w:rPr>
          <w:spacing w:val="1"/>
          <w:szCs w:val="24"/>
        </w:rPr>
        <w:t xml:space="preserve"> </w:t>
      </w:r>
      <w:r w:rsidRPr="00120F39">
        <w:rPr>
          <w:b/>
        </w:rPr>
        <w:t xml:space="preserve">does </w:t>
      </w:r>
      <w:r w:rsidRPr="009061D6">
        <w:rPr>
          <w:b/>
          <w:spacing w:val="-1"/>
        </w:rPr>
        <w:t>not</w:t>
      </w:r>
      <w:r w:rsidRPr="009061D6">
        <w:rPr>
          <w:b/>
        </w:rPr>
        <w:t xml:space="preserve"> and</w:t>
      </w:r>
      <w:r w:rsidRPr="009061D6">
        <w:rPr>
          <w:b/>
          <w:spacing w:val="-3"/>
        </w:rPr>
        <w:t xml:space="preserve"> </w:t>
      </w:r>
      <w:r w:rsidRPr="009061D6">
        <w:rPr>
          <w:b/>
          <w:spacing w:val="-1"/>
        </w:rPr>
        <w:t>will</w:t>
      </w:r>
      <w:r w:rsidRPr="009061D6">
        <w:rPr>
          <w:b/>
          <w:spacing w:val="2"/>
        </w:rPr>
        <w:t xml:space="preserve"> </w:t>
      </w:r>
      <w:r w:rsidRPr="009061D6">
        <w:rPr>
          <w:b/>
        </w:rPr>
        <w:t>not</w:t>
      </w:r>
      <w:r w:rsidRPr="009061D6">
        <w:rPr>
          <w:b/>
          <w:spacing w:val="-2"/>
        </w:rPr>
        <w:t xml:space="preserve"> </w:t>
      </w:r>
      <w:r w:rsidRPr="009061D6">
        <w:rPr>
          <w:spacing w:val="-1"/>
        </w:rPr>
        <w:t>require</w:t>
      </w:r>
      <w:r w:rsidRPr="009061D6">
        <w:t xml:space="preserve"> </w:t>
      </w:r>
      <w:r w:rsidRPr="009061D6">
        <w:rPr>
          <w:spacing w:val="-1"/>
        </w:rPr>
        <w:t>its</w:t>
      </w:r>
      <w:r w:rsidRPr="009061D6">
        <w:t xml:space="preserve"> </w:t>
      </w:r>
      <w:r w:rsidRPr="009061D6">
        <w:rPr>
          <w:spacing w:val="-1"/>
        </w:rPr>
        <w:t>employees</w:t>
      </w:r>
      <w:r w:rsidRPr="009061D6">
        <w:t xml:space="preserve"> </w:t>
      </w:r>
      <w:r w:rsidRPr="009061D6">
        <w:rPr>
          <w:spacing w:val="-1"/>
        </w:rPr>
        <w:t>or</w:t>
      </w:r>
      <w:r w:rsidRPr="009061D6">
        <w:t xml:space="preserve"> </w:t>
      </w:r>
      <w:r w:rsidRPr="009061D6">
        <w:rPr>
          <w:spacing w:val="-1"/>
        </w:rPr>
        <w:t>contractors</w:t>
      </w:r>
      <w:r w:rsidRPr="00AF2304">
        <w:rPr>
          <w:spacing w:val="-2"/>
          <w:szCs w:val="24"/>
        </w:rPr>
        <w:t xml:space="preserve"> </w:t>
      </w:r>
      <w:r w:rsidRPr="00120F39">
        <w:t xml:space="preserve">to </w:t>
      </w:r>
      <w:r w:rsidRPr="009061D6">
        <w:rPr>
          <w:spacing w:val="-2"/>
        </w:rPr>
        <w:t>sign</w:t>
      </w:r>
      <w:r w:rsidRPr="009061D6">
        <w:t xml:space="preserve"> </w:t>
      </w:r>
      <w:r w:rsidRPr="009061D6">
        <w:rPr>
          <w:spacing w:val="-1"/>
        </w:rPr>
        <w:t>internal</w:t>
      </w:r>
      <w:r w:rsidRPr="00AF2304">
        <w:rPr>
          <w:spacing w:val="37"/>
          <w:szCs w:val="24"/>
        </w:rPr>
        <w:t xml:space="preserve"> </w:t>
      </w:r>
      <w:r w:rsidRPr="00120F39">
        <w:rPr>
          <w:spacing w:val="-1"/>
        </w:rPr>
        <w:t>nondisclosure</w:t>
      </w:r>
      <w:r w:rsidRPr="009061D6">
        <w:t xml:space="preserve"> or</w:t>
      </w:r>
      <w:r w:rsidRPr="009061D6">
        <w:rPr>
          <w:spacing w:val="-1"/>
        </w:rPr>
        <w:t xml:space="preserve"> confidentiality</w:t>
      </w:r>
      <w:r w:rsidRPr="00AF2304">
        <w:rPr>
          <w:spacing w:val="-3"/>
          <w:szCs w:val="24"/>
        </w:rPr>
        <w:t xml:space="preserve"> </w:t>
      </w:r>
      <w:r w:rsidRPr="00120F39">
        <w:rPr>
          <w:spacing w:val="-1"/>
        </w:rPr>
        <w:t>agreements</w:t>
      </w:r>
      <w:r w:rsidRPr="009061D6">
        <w:t xml:space="preserve"> or</w:t>
      </w:r>
      <w:r w:rsidRPr="009061D6">
        <w:rPr>
          <w:spacing w:val="-1"/>
        </w:rPr>
        <w:t xml:space="preserve"> statements</w:t>
      </w:r>
      <w:r w:rsidRPr="009061D6">
        <w:t xml:space="preserve"> </w:t>
      </w:r>
      <w:r w:rsidRPr="009061D6">
        <w:rPr>
          <w:spacing w:val="-1"/>
        </w:rPr>
        <w:t>prohibiting</w:t>
      </w:r>
      <w:r w:rsidRPr="00AF2304">
        <w:rPr>
          <w:spacing w:val="-3"/>
          <w:szCs w:val="24"/>
        </w:rPr>
        <w:t xml:space="preserve"> </w:t>
      </w:r>
      <w:r w:rsidRPr="00120F39">
        <w:t xml:space="preserve">or </w:t>
      </w:r>
      <w:r w:rsidRPr="009061D6">
        <w:rPr>
          <w:spacing w:val="-1"/>
        </w:rPr>
        <w:t>otherwise</w:t>
      </w:r>
      <w:r w:rsidRPr="00AF2304">
        <w:rPr>
          <w:spacing w:val="53"/>
          <w:szCs w:val="24"/>
        </w:rPr>
        <w:t xml:space="preserve"> </w:t>
      </w:r>
      <w:r w:rsidRPr="00120F39">
        <w:rPr>
          <w:spacing w:val="-1"/>
        </w:rPr>
        <w:t>restricting</w:t>
      </w:r>
      <w:r w:rsidRPr="00AF2304">
        <w:rPr>
          <w:spacing w:val="-2"/>
          <w:szCs w:val="24"/>
        </w:rPr>
        <w:t xml:space="preserve"> </w:t>
      </w:r>
      <w:r w:rsidRPr="00120F39">
        <w:rPr>
          <w:spacing w:val="-1"/>
        </w:rPr>
        <w:t>its</w:t>
      </w:r>
      <w:r w:rsidRPr="009061D6">
        <w:t xml:space="preserve"> </w:t>
      </w:r>
      <w:r w:rsidRPr="009061D6">
        <w:rPr>
          <w:spacing w:val="-1"/>
        </w:rPr>
        <w:t>employees</w:t>
      </w:r>
      <w:r w:rsidRPr="009061D6">
        <w:t xml:space="preserve"> </w:t>
      </w:r>
      <w:r w:rsidRPr="009061D6">
        <w:rPr>
          <w:spacing w:val="-1"/>
        </w:rPr>
        <w:t>or</w:t>
      </w:r>
      <w:r w:rsidRPr="00AF2304">
        <w:rPr>
          <w:spacing w:val="-2"/>
          <w:szCs w:val="24"/>
        </w:rPr>
        <w:t xml:space="preserve"> </w:t>
      </w:r>
      <w:r w:rsidRPr="00120F39">
        <w:rPr>
          <w:spacing w:val="-1"/>
        </w:rPr>
        <w:t>contactors</w:t>
      </w:r>
      <w:r w:rsidRPr="00AF2304">
        <w:rPr>
          <w:spacing w:val="-2"/>
          <w:szCs w:val="24"/>
        </w:rPr>
        <w:t xml:space="preserve"> </w:t>
      </w:r>
      <w:r w:rsidRPr="00120F39">
        <w:t>from</w:t>
      </w:r>
      <w:r w:rsidRPr="00AF2304">
        <w:rPr>
          <w:spacing w:val="-4"/>
          <w:szCs w:val="24"/>
        </w:rPr>
        <w:t xml:space="preserve"> </w:t>
      </w:r>
      <w:r w:rsidRPr="00120F39">
        <w:rPr>
          <w:spacing w:val="-1"/>
        </w:rPr>
        <w:t>lawfully</w:t>
      </w:r>
      <w:r w:rsidRPr="00AF2304">
        <w:rPr>
          <w:spacing w:val="-3"/>
          <w:szCs w:val="24"/>
        </w:rPr>
        <w:t xml:space="preserve"> </w:t>
      </w:r>
      <w:r w:rsidRPr="00120F39">
        <w:rPr>
          <w:spacing w:val="-1"/>
        </w:rPr>
        <w:t>reporting</w:t>
      </w:r>
      <w:r w:rsidRPr="009061D6">
        <w:t xml:space="preserve"> </w:t>
      </w:r>
      <w:r w:rsidRPr="009061D6">
        <w:rPr>
          <w:spacing w:val="-1"/>
        </w:rPr>
        <w:t>waste,</w:t>
      </w:r>
      <w:r w:rsidRPr="009061D6">
        <w:t xml:space="preserve"> </w:t>
      </w:r>
      <w:r w:rsidRPr="009061D6">
        <w:rPr>
          <w:spacing w:val="-1"/>
        </w:rPr>
        <w:t>fraud,</w:t>
      </w:r>
      <w:r w:rsidRPr="00AF2304">
        <w:rPr>
          <w:spacing w:val="-2"/>
          <w:szCs w:val="24"/>
        </w:rPr>
        <w:t xml:space="preserve"> </w:t>
      </w:r>
      <w:r w:rsidRPr="00120F39">
        <w:t xml:space="preserve">or </w:t>
      </w:r>
      <w:r w:rsidRPr="009061D6">
        <w:rPr>
          <w:spacing w:val="-1"/>
        </w:rPr>
        <w:t>abuse</w:t>
      </w:r>
      <w:r w:rsidRPr="009061D6">
        <w:t xml:space="preserve"> to</w:t>
      </w:r>
      <w:r w:rsidRPr="00AF2304">
        <w:rPr>
          <w:spacing w:val="-3"/>
          <w:szCs w:val="24"/>
        </w:rPr>
        <w:t xml:space="preserve"> </w:t>
      </w:r>
      <w:r w:rsidRPr="00120F39">
        <w:t>a</w:t>
      </w:r>
      <w:r w:rsidRPr="00AF2304">
        <w:rPr>
          <w:spacing w:val="59"/>
          <w:szCs w:val="24"/>
        </w:rPr>
        <w:t xml:space="preserve"> </w:t>
      </w:r>
      <w:r w:rsidRPr="00120F39">
        <w:rPr>
          <w:spacing w:val="-1"/>
        </w:rPr>
        <w:t>designated</w:t>
      </w:r>
      <w:r w:rsidRPr="00AF2304">
        <w:rPr>
          <w:spacing w:val="-2"/>
          <w:szCs w:val="24"/>
        </w:rPr>
        <w:t xml:space="preserve"> </w:t>
      </w:r>
      <w:r w:rsidRPr="00120F39">
        <w:rPr>
          <w:spacing w:val="-1"/>
        </w:rPr>
        <w:t>investigative</w:t>
      </w:r>
      <w:r w:rsidRPr="009061D6">
        <w:t xml:space="preserve"> or law </w:t>
      </w:r>
      <w:r w:rsidRPr="009061D6">
        <w:rPr>
          <w:spacing w:val="-1"/>
        </w:rPr>
        <w:t>enforcement</w:t>
      </w:r>
      <w:r w:rsidRPr="00AF2304">
        <w:rPr>
          <w:spacing w:val="1"/>
          <w:szCs w:val="24"/>
        </w:rPr>
        <w:t xml:space="preserve"> </w:t>
      </w:r>
      <w:r w:rsidRPr="00120F39">
        <w:rPr>
          <w:spacing w:val="-1"/>
        </w:rPr>
        <w:t>representative</w:t>
      </w:r>
      <w:r w:rsidRPr="009061D6">
        <w:t xml:space="preserve"> of</w:t>
      </w:r>
      <w:r w:rsidRPr="00AF2304">
        <w:rPr>
          <w:spacing w:val="-2"/>
          <w:szCs w:val="24"/>
        </w:rPr>
        <w:t xml:space="preserve"> </w:t>
      </w:r>
      <w:r w:rsidRPr="00120F39">
        <w:t xml:space="preserve">a </w:t>
      </w:r>
      <w:r w:rsidR="001F169D">
        <w:rPr>
          <w:spacing w:val="-1"/>
        </w:rPr>
        <w:t>f</w:t>
      </w:r>
      <w:r w:rsidR="001F169D" w:rsidRPr="009061D6">
        <w:rPr>
          <w:spacing w:val="-1"/>
        </w:rPr>
        <w:t>ederal</w:t>
      </w:r>
      <w:r w:rsidR="001F169D" w:rsidRPr="00AF2304">
        <w:rPr>
          <w:spacing w:val="1"/>
          <w:szCs w:val="24"/>
        </w:rPr>
        <w:t xml:space="preserve"> </w:t>
      </w:r>
      <w:r w:rsidRPr="00120F39">
        <w:rPr>
          <w:spacing w:val="-1"/>
        </w:rPr>
        <w:t>department</w:t>
      </w:r>
      <w:r w:rsidRPr="00AF2304">
        <w:rPr>
          <w:spacing w:val="1"/>
          <w:szCs w:val="24"/>
        </w:rPr>
        <w:t xml:space="preserve"> </w:t>
      </w:r>
      <w:r w:rsidRPr="00120F39">
        <w:t>or</w:t>
      </w:r>
      <w:r w:rsidRPr="00AF2304">
        <w:rPr>
          <w:spacing w:val="37"/>
          <w:szCs w:val="24"/>
        </w:rPr>
        <w:t xml:space="preserve"> </w:t>
      </w:r>
      <w:r w:rsidRPr="00120F39">
        <w:rPr>
          <w:spacing w:val="-1"/>
        </w:rPr>
        <w:t>agency</w:t>
      </w:r>
      <w:r w:rsidRPr="00AF2304">
        <w:rPr>
          <w:spacing w:val="-3"/>
          <w:szCs w:val="24"/>
        </w:rPr>
        <w:t xml:space="preserve"> </w:t>
      </w:r>
      <w:r w:rsidRPr="00120F39">
        <w:rPr>
          <w:spacing w:val="-1"/>
        </w:rPr>
        <w:t>authorized</w:t>
      </w:r>
      <w:r w:rsidRPr="009061D6">
        <w:t xml:space="preserve"> to</w:t>
      </w:r>
      <w:r w:rsidRPr="00AF2304">
        <w:rPr>
          <w:spacing w:val="-3"/>
          <w:szCs w:val="24"/>
        </w:rPr>
        <w:t xml:space="preserve"> </w:t>
      </w:r>
      <w:r w:rsidRPr="00120F39">
        <w:rPr>
          <w:spacing w:val="-1"/>
        </w:rPr>
        <w:t>receive</w:t>
      </w:r>
      <w:r w:rsidRPr="009061D6">
        <w:t xml:space="preserve"> such</w:t>
      </w:r>
      <w:r w:rsidRPr="00AF2304">
        <w:rPr>
          <w:spacing w:val="-2"/>
          <w:szCs w:val="24"/>
        </w:rPr>
        <w:t xml:space="preserve"> </w:t>
      </w:r>
      <w:r w:rsidRPr="00120F39">
        <w:rPr>
          <w:spacing w:val="-1"/>
        </w:rPr>
        <w:t>information.</w:t>
      </w:r>
    </w:p>
    <w:p w14:paraId="5F8248D1" w14:textId="77777777" w:rsidR="00E106A8" w:rsidRDefault="00E106A8" w:rsidP="00D7486C">
      <w:pPr>
        <w:pStyle w:val="ListParagraph"/>
        <w:kinsoku w:val="0"/>
        <w:overflowPunct w:val="0"/>
        <w:autoSpaceDE w:val="0"/>
        <w:autoSpaceDN w:val="0"/>
        <w:adjustRightInd w:val="0"/>
        <w:spacing w:before="32" w:after="200" w:line="276" w:lineRule="auto"/>
        <w:ind w:left="2160" w:hanging="360"/>
        <w:rPr>
          <w:spacing w:val="-1"/>
          <w:szCs w:val="24"/>
        </w:rPr>
      </w:pPr>
    </w:p>
    <w:p w14:paraId="24305B09" w14:textId="77777777" w:rsidR="00B07932" w:rsidRPr="00C323A6" w:rsidRDefault="004E672B" w:rsidP="004E672B">
      <w:pPr>
        <w:pStyle w:val="ListParagraph"/>
        <w:numPr>
          <w:ilvl w:val="0"/>
          <w:numId w:val="28"/>
        </w:numPr>
        <w:kinsoku w:val="0"/>
        <w:overflowPunct w:val="0"/>
        <w:autoSpaceDE w:val="0"/>
        <w:autoSpaceDN w:val="0"/>
        <w:adjustRightInd w:val="0"/>
        <w:spacing w:before="32" w:after="200"/>
        <w:ind w:left="2160"/>
        <w:rPr>
          <w:spacing w:val="-1"/>
        </w:rPr>
      </w:pPr>
      <w:r w:rsidRPr="00120F39">
        <w:rPr>
          <w:spacing w:val="-2"/>
        </w:rPr>
        <w:t>It</w:t>
      </w:r>
      <w:r w:rsidRPr="00AF2304">
        <w:rPr>
          <w:spacing w:val="1"/>
          <w:szCs w:val="24"/>
        </w:rPr>
        <w:t xml:space="preserve"> </w:t>
      </w:r>
      <w:r w:rsidRPr="00120F39">
        <w:rPr>
          <w:b/>
        </w:rPr>
        <w:t xml:space="preserve">does </w:t>
      </w:r>
      <w:r w:rsidRPr="009061D6">
        <w:rPr>
          <w:b/>
          <w:spacing w:val="-1"/>
        </w:rPr>
        <w:t>not</w:t>
      </w:r>
      <w:r w:rsidRPr="009061D6">
        <w:rPr>
          <w:b/>
        </w:rPr>
        <w:t xml:space="preserve"> and</w:t>
      </w:r>
      <w:r w:rsidRPr="009061D6">
        <w:rPr>
          <w:b/>
          <w:spacing w:val="-3"/>
        </w:rPr>
        <w:t xml:space="preserve"> </w:t>
      </w:r>
      <w:r w:rsidRPr="009061D6">
        <w:rPr>
          <w:b/>
          <w:spacing w:val="-1"/>
        </w:rPr>
        <w:t>will</w:t>
      </w:r>
      <w:r w:rsidRPr="009061D6">
        <w:rPr>
          <w:b/>
          <w:spacing w:val="1"/>
        </w:rPr>
        <w:t xml:space="preserve"> </w:t>
      </w:r>
      <w:r w:rsidRPr="009061D6">
        <w:rPr>
          <w:b/>
        </w:rPr>
        <w:t>not</w:t>
      </w:r>
      <w:r w:rsidRPr="009061D6">
        <w:rPr>
          <w:b/>
          <w:spacing w:val="-1"/>
        </w:rPr>
        <w:t xml:space="preserve"> </w:t>
      </w:r>
      <w:r w:rsidRPr="009061D6">
        <w:t>use any</w:t>
      </w:r>
      <w:r w:rsidRPr="00AF2304">
        <w:rPr>
          <w:spacing w:val="-2"/>
          <w:szCs w:val="24"/>
        </w:rPr>
        <w:t xml:space="preserve"> </w:t>
      </w:r>
      <w:r w:rsidR="001F169D">
        <w:rPr>
          <w:spacing w:val="-1"/>
        </w:rPr>
        <w:t>f</w:t>
      </w:r>
      <w:r w:rsidR="001F169D" w:rsidRPr="00120F39">
        <w:rPr>
          <w:spacing w:val="-1"/>
        </w:rPr>
        <w:t>ederal</w:t>
      </w:r>
      <w:r w:rsidR="001F169D" w:rsidRPr="00AF2304">
        <w:rPr>
          <w:spacing w:val="1"/>
          <w:szCs w:val="24"/>
        </w:rPr>
        <w:t xml:space="preserve"> </w:t>
      </w:r>
      <w:r w:rsidRPr="00120F39">
        <w:rPr>
          <w:spacing w:val="-1"/>
        </w:rPr>
        <w:t>funds</w:t>
      </w:r>
      <w:r w:rsidRPr="00AF2304">
        <w:rPr>
          <w:spacing w:val="-2"/>
          <w:szCs w:val="24"/>
        </w:rPr>
        <w:t xml:space="preserve"> </w:t>
      </w:r>
      <w:r w:rsidRPr="00120F39">
        <w:t>to</w:t>
      </w:r>
      <w:r w:rsidRPr="00AF2304">
        <w:rPr>
          <w:spacing w:val="-3"/>
          <w:szCs w:val="24"/>
        </w:rPr>
        <w:t xml:space="preserve"> </w:t>
      </w:r>
      <w:r w:rsidRPr="00120F39">
        <w:rPr>
          <w:spacing w:val="-1"/>
        </w:rPr>
        <w:t>implement</w:t>
      </w:r>
      <w:r w:rsidRPr="00AF2304">
        <w:rPr>
          <w:spacing w:val="1"/>
          <w:szCs w:val="24"/>
        </w:rPr>
        <w:t xml:space="preserve"> </w:t>
      </w:r>
      <w:r w:rsidRPr="00120F39">
        <w:t>or</w:t>
      </w:r>
      <w:r w:rsidRPr="00AF2304">
        <w:rPr>
          <w:spacing w:val="-2"/>
          <w:szCs w:val="24"/>
        </w:rPr>
        <w:t xml:space="preserve"> </w:t>
      </w:r>
      <w:r w:rsidRPr="00120F39">
        <w:rPr>
          <w:spacing w:val="-1"/>
        </w:rPr>
        <w:t>enforce</w:t>
      </w:r>
      <w:r w:rsidRPr="009061D6">
        <w:t xml:space="preserve"> any</w:t>
      </w:r>
      <w:r w:rsidRPr="00AF2304">
        <w:rPr>
          <w:spacing w:val="27"/>
          <w:szCs w:val="24"/>
        </w:rPr>
        <w:t xml:space="preserve"> </w:t>
      </w:r>
      <w:r w:rsidRPr="00120F39">
        <w:rPr>
          <w:spacing w:val="-1"/>
        </w:rPr>
        <w:t>nondisclosure</w:t>
      </w:r>
      <w:r w:rsidRPr="009061D6">
        <w:t xml:space="preserve"> </w:t>
      </w:r>
      <w:r w:rsidRPr="009061D6">
        <w:rPr>
          <w:spacing w:val="-1"/>
        </w:rPr>
        <w:t>and/or</w:t>
      </w:r>
      <w:r w:rsidRPr="009061D6">
        <w:t xml:space="preserve"> </w:t>
      </w:r>
      <w:r w:rsidRPr="009061D6">
        <w:rPr>
          <w:spacing w:val="-1"/>
        </w:rPr>
        <w:t>confidentiality policy,</w:t>
      </w:r>
      <w:r w:rsidRPr="009061D6">
        <w:t xml:space="preserve"> </w:t>
      </w:r>
      <w:r w:rsidRPr="009061D6">
        <w:rPr>
          <w:spacing w:val="-2"/>
        </w:rPr>
        <w:t>form,</w:t>
      </w:r>
      <w:r w:rsidRPr="009061D6">
        <w:t xml:space="preserve"> or </w:t>
      </w:r>
      <w:r w:rsidRPr="009061D6">
        <w:rPr>
          <w:spacing w:val="-1"/>
        </w:rPr>
        <w:t>agreement</w:t>
      </w:r>
      <w:r w:rsidRPr="00AF2304">
        <w:rPr>
          <w:spacing w:val="1"/>
          <w:szCs w:val="24"/>
        </w:rPr>
        <w:t xml:space="preserve"> </w:t>
      </w:r>
      <w:r w:rsidRPr="00120F39">
        <w:rPr>
          <w:spacing w:val="-1"/>
        </w:rPr>
        <w:t>it</w:t>
      </w:r>
      <w:r w:rsidRPr="00AF2304">
        <w:rPr>
          <w:spacing w:val="1"/>
          <w:szCs w:val="24"/>
        </w:rPr>
        <w:t xml:space="preserve"> </w:t>
      </w:r>
      <w:r w:rsidRPr="00120F39">
        <w:rPr>
          <w:spacing w:val="-1"/>
        </w:rPr>
        <w:t>uses</w:t>
      </w:r>
      <w:r w:rsidRPr="009061D6">
        <w:t xml:space="preserve"> </w:t>
      </w:r>
      <w:r w:rsidRPr="009061D6">
        <w:rPr>
          <w:spacing w:val="-1"/>
        </w:rPr>
        <w:t>unless</w:t>
      </w:r>
      <w:r w:rsidRPr="00AF2304">
        <w:rPr>
          <w:spacing w:val="-2"/>
          <w:szCs w:val="24"/>
        </w:rPr>
        <w:t xml:space="preserve"> </w:t>
      </w:r>
      <w:r w:rsidRPr="00120F39">
        <w:t>it</w:t>
      </w:r>
      <w:r w:rsidRPr="009061D6">
        <w:rPr>
          <w:spacing w:val="-1"/>
        </w:rPr>
        <w:t xml:space="preserve"> contains</w:t>
      </w:r>
      <w:r w:rsidRPr="00AF2304">
        <w:rPr>
          <w:spacing w:val="57"/>
          <w:szCs w:val="24"/>
        </w:rPr>
        <w:t xml:space="preserve"> </w:t>
      </w:r>
      <w:r w:rsidRPr="00120F39">
        <w:t>the</w:t>
      </w:r>
      <w:r w:rsidRPr="00AF2304">
        <w:rPr>
          <w:spacing w:val="-2"/>
          <w:szCs w:val="24"/>
        </w:rPr>
        <w:t xml:space="preserve"> </w:t>
      </w:r>
      <w:r w:rsidRPr="00120F39">
        <w:rPr>
          <w:spacing w:val="-1"/>
        </w:rPr>
        <w:t>following</w:t>
      </w:r>
      <w:r w:rsidRPr="00AF2304">
        <w:rPr>
          <w:spacing w:val="-3"/>
          <w:szCs w:val="24"/>
        </w:rPr>
        <w:t xml:space="preserve"> </w:t>
      </w:r>
      <w:r w:rsidRPr="00120F39">
        <w:rPr>
          <w:spacing w:val="-1"/>
        </w:rPr>
        <w:t>provisions:</w:t>
      </w:r>
    </w:p>
    <w:p w14:paraId="6E212B54" w14:textId="77777777" w:rsidR="00B07932" w:rsidRPr="008858B4" w:rsidRDefault="004E672B" w:rsidP="004E672B">
      <w:pPr>
        <w:numPr>
          <w:ilvl w:val="0"/>
          <w:numId w:val="26"/>
        </w:numPr>
        <w:tabs>
          <w:tab w:val="left" w:pos="765"/>
        </w:tabs>
        <w:kinsoku w:val="0"/>
        <w:overflowPunct w:val="0"/>
        <w:autoSpaceDE w:val="0"/>
        <w:autoSpaceDN w:val="0"/>
        <w:adjustRightInd w:val="0"/>
        <w:spacing w:after="200"/>
        <w:ind w:left="2520"/>
      </w:pPr>
      <w:r w:rsidRPr="00120F39">
        <w:rPr>
          <w:i/>
          <w:spacing w:val="-1"/>
        </w:rPr>
        <w:t>‘‘These</w:t>
      </w:r>
      <w:r w:rsidRPr="009061D6">
        <w:rPr>
          <w:i/>
        </w:rPr>
        <w:t xml:space="preserve"> </w:t>
      </w:r>
      <w:r w:rsidRPr="009061D6">
        <w:rPr>
          <w:i/>
          <w:spacing w:val="-1"/>
        </w:rPr>
        <w:t>provisions</w:t>
      </w:r>
      <w:r w:rsidRPr="009061D6">
        <w:rPr>
          <w:i/>
        </w:rPr>
        <w:t xml:space="preserve"> </w:t>
      </w:r>
      <w:r w:rsidRPr="009061D6">
        <w:rPr>
          <w:i/>
          <w:spacing w:val="-1"/>
        </w:rPr>
        <w:t>are</w:t>
      </w:r>
      <w:r w:rsidRPr="009061D6">
        <w:rPr>
          <w:i/>
        </w:rPr>
        <w:t xml:space="preserve"> </w:t>
      </w:r>
      <w:r w:rsidRPr="009061D6">
        <w:rPr>
          <w:i/>
          <w:spacing w:val="-1"/>
        </w:rPr>
        <w:t>consistent</w:t>
      </w:r>
      <w:r w:rsidRPr="009061D6">
        <w:rPr>
          <w:i/>
          <w:spacing w:val="1"/>
        </w:rPr>
        <w:t xml:space="preserve"> </w:t>
      </w:r>
      <w:r w:rsidRPr="009061D6">
        <w:rPr>
          <w:i/>
          <w:spacing w:val="-2"/>
        </w:rPr>
        <w:t>with</w:t>
      </w:r>
      <w:r w:rsidRPr="009061D6">
        <w:rPr>
          <w:i/>
        </w:rPr>
        <w:t xml:space="preserve"> and </w:t>
      </w:r>
      <w:r w:rsidRPr="009061D6">
        <w:rPr>
          <w:i/>
          <w:spacing w:val="-2"/>
        </w:rPr>
        <w:t>do</w:t>
      </w:r>
      <w:r w:rsidRPr="009061D6">
        <w:rPr>
          <w:i/>
        </w:rPr>
        <w:t xml:space="preserve"> not</w:t>
      </w:r>
      <w:r w:rsidRPr="009061D6">
        <w:rPr>
          <w:i/>
          <w:spacing w:val="-2"/>
        </w:rPr>
        <w:t xml:space="preserve"> </w:t>
      </w:r>
      <w:r w:rsidRPr="009061D6">
        <w:rPr>
          <w:i/>
          <w:spacing w:val="-1"/>
        </w:rPr>
        <w:t>supersede,</w:t>
      </w:r>
      <w:r w:rsidRPr="009061D6">
        <w:rPr>
          <w:i/>
          <w:spacing w:val="-2"/>
        </w:rPr>
        <w:t xml:space="preserve"> </w:t>
      </w:r>
      <w:r w:rsidRPr="009061D6">
        <w:rPr>
          <w:i/>
          <w:spacing w:val="-1"/>
        </w:rPr>
        <w:t>conflict</w:t>
      </w:r>
      <w:r w:rsidRPr="009061D6">
        <w:rPr>
          <w:i/>
          <w:spacing w:val="1"/>
        </w:rPr>
        <w:t xml:space="preserve"> </w:t>
      </w:r>
      <w:r w:rsidRPr="009061D6">
        <w:rPr>
          <w:i/>
          <w:spacing w:val="-2"/>
        </w:rPr>
        <w:t>with,</w:t>
      </w:r>
      <w:r w:rsidRPr="009061D6">
        <w:rPr>
          <w:i/>
        </w:rPr>
        <w:t xml:space="preserve"> or</w:t>
      </w:r>
      <w:r w:rsidRPr="009061D6">
        <w:rPr>
          <w:i/>
          <w:spacing w:val="61"/>
        </w:rPr>
        <w:t xml:space="preserve"> </w:t>
      </w:r>
      <w:r w:rsidRPr="009061D6">
        <w:rPr>
          <w:i/>
          <w:spacing w:val="-1"/>
        </w:rPr>
        <w:t>otherwise</w:t>
      </w:r>
      <w:r w:rsidRPr="009061D6">
        <w:rPr>
          <w:i/>
        </w:rPr>
        <w:t xml:space="preserve"> </w:t>
      </w:r>
      <w:r w:rsidRPr="009061D6">
        <w:rPr>
          <w:i/>
          <w:spacing w:val="-1"/>
        </w:rPr>
        <w:t>alter</w:t>
      </w:r>
      <w:r w:rsidRPr="009061D6">
        <w:rPr>
          <w:i/>
          <w:spacing w:val="-2"/>
        </w:rPr>
        <w:t xml:space="preserve"> </w:t>
      </w:r>
      <w:r w:rsidRPr="009061D6">
        <w:rPr>
          <w:i/>
          <w:spacing w:val="-1"/>
        </w:rPr>
        <w:t>the</w:t>
      </w:r>
      <w:r w:rsidRPr="009061D6">
        <w:rPr>
          <w:i/>
        </w:rPr>
        <w:t xml:space="preserve"> </w:t>
      </w:r>
      <w:r w:rsidRPr="009061D6">
        <w:rPr>
          <w:i/>
          <w:spacing w:val="-1"/>
        </w:rPr>
        <w:t>employee</w:t>
      </w:r>
      <w:r w:rsidRPr="009061D6">
        <w:rPr>
          <w:i/>
        </w:rPr>
        <w:t xml:space="preserve"> </w:t>
      </w:r>
      <w:r w:rsidRPr="009061D6">
        <w:rPr>
          <w:i/>
          <w:spacing w:val="-1"/>
        </w:rPr>
        <w:t>obligations,</w:t>
      </w:r>
      <w:r w:rsidRPr="009061D6">
        <w:rPr>
          <w:i/>
        </w:rPr>
        <w:t xml:space="preserve"> </w:t>
      </w:r>
      <w:r w:rsidRPr="009061D6">
        <w:rPr>
          <w:i/>
          <w:spacing w:val="-1"/>
        </w:rPr>
        <w:t>rights,</w:t>
      </w:r>
      <w:r w:rsidRPr="009061D6">
        <w:rPr>
          <w:i/>
        </w:rPr>
        <w:t xml:space="preserve"> </w:t>
      </w:r>
      <w:r w:rsidRPr="009061D6">
        <w:rPr>
          <w:i/>
          <w:spacing w:val="-1"/>
        </w:rPr>
        <w:t>or</w:t>
      </w:r>
      <w:r w:rsidRPr="009061D6">
        <w:rPr>
          <w:i/>
        </w:rPr>
        <w:t xml:space="preserve"> </w:t>
      </w:r>
      <w:r w:rsidRPr="009061D6">
        <w:rPr>
          <w:i/>
          <w:spacing w:val="-1"/>
        </w:rPr>
        <w:t>liabilities</w:t>
      </w:r>
      <w:r w:rsidRPr="009061D6">
        <w:rPr>
          <w:i/>
          <w:spacing w:val="-2"/>
        </w:rPr>
        <w:t xml:space="preserve"> </w:t>
      </w:r>
      <w:r w:rsidRPr="009061D6">
        <w:rPr>
          <w:i/>
          <w:spacing w:val="-1"/>
        </w:rPr>
        <w:t>created</w:t>
      </w:r>
      <w:r w:rsidRPr="00AF2304">
        <w:rPr>
          <w:i/>
        </w:rPr>
        <w:t xml:space="preserve"> by</w:t>
      </w:r>
      <w:r w:rsidRPr="00AF2304">
        <w:rPr>
          <w:i/>
          <w:spacing w:val="-2"/>
        </w:rPr>
        <w:t xml:space="preserve"> </w:t>
      </w:r>
      <w:r w:rsidRPr="00AF2304">
        <w:rPr>
          <w:i/>
          <w:spacing w:val="-1"/>
        </w:rPr>
        <w:t>existing</w:t>
      </w:r>
      <w:r w:rsidRPr="00AF2304">
        <w:rPr>
          <w:i/>
          <w:spacing w:val="51"/>
        </w:rPr>
        <w:t xml:space="preserve"> </w:t>
      </w:r>
      <w:r w:rsidRPr="00AF2304">
        <w:rPr>
          <w:i/>
          <w:spacing w:val="-1"/>
        </w:rPr>
        <w:t>statute</w:t>
      </w:r>
      <w:r w:rsidRPr="00AF2304">
        <w:rPr>
          <w:i/>
        </w:rPr>
        <w:t xml:space="preserve"> or </w:t>
      </w:r>
      <w:r w:rsidRPr="00AF2304">
        <w:rPr>
          <w:i/>
          <w:spacing w:val="-1"/>
        </w:rPr>
        <w:t>Executive</w:t>
      </w:r>
      <w:r w:rsidRPr="00AF2304">
        <w:rPr>
          <w:i/>
        </w:rPr>
        <w:t xml:space="preserve"> </w:t>
      </w:r>
      <w:r w:rsidRPr="00AF2304">
        <w:rPr>
          <w:i/>
          <w:spacing w:val="-1"/>
        </w:rPr>
        <w:t>order</w:t>
      </w:r>
      <w:r w:rsidRPr="00AF2304">
        <w:rPr>
          <w:i/>
          <w:spacing w:val="-2"/>
        </w:rPr>
        <w:t xml:space="preserve"> </w:t>
      </w:r>
      <w:r w:rsidRPr="00AF2304">
        <w:rPr>
          <w:i/>
          <w:spacing w:val="-1"/>
        </w:rPr>
        <w:t>relating</w:t>
      </w:r>
      <w:r w:rsidRPr="00AF2304">
        <w:rPr>
          <w:i/>
          <w:spacing w:val="-3"/>
        </w:rPr>
        <w:t xml:space="preserve"> </w:t>
      </w:r>
      <w:r w:rsidRPr="00AF2304">
        <w:rPr>
          <w:i/>
        </w:rPr>
        <w:t>to</w:t>
      </w:r>
      <w:r w:rsidRPr="00AF2304">
        <w:rPr>
          <w:i/>
          <w:spacing w:val="3"/>
        </w:rPr>
        <w:t xml:space="preserve"> </w:t>
      </w:r>
      <w:r w:rsidRPr="00AF2304">
        <w:rPr>
          <w:i/>
          <w:spacing w:val="-1"/>
        </w:rPr>
        <w:t>(1)</w:t>
      </w:r>
      <w:r w:rsidRPr="00AF2304">
        <w:rPr>
          <w:i/>
          <w:spacing w:val="-2"/>
        </w:rPr>
        <w:t xml:space="preserve"> </w:t>
      </w:r>
      <w:r w:rsidRPr="00AF2304">
        <w:rPr>
          <w:i/>
          <w:spacing w:val="-1"/>
        </w:rPr>
        <w:t>classified</w:t>
      </w:r>
      <w:r w:rsidRPr="00AF2304">
        <w:rPr>
          <w:i/>
          <w:spacing w:val="-2"/>
        </w:rPr>
        <w:t xml:space="preserve"> </w:t>
      </w:r>
      <w:r w:rsidRPr="00AF2304">
        <w:rPr>
          <w:i/>
          <w:spacing w:val="-1"/>
        </w:rPr>
        <w:t>information,</w:t>
      </w:r>
      <w:r w:rsidRPr="00AF2304">
        <w:rPr>
          <w:i/>
        </w:rPr>
        <w:t xml:space="preserve"> </w:t>
      </w:r>
      <w:r w:rsidRPr="00AF2304">
        <w:rPr>
          <w:i/>
          <w:spacing w:val="-1"/>
        </w:rPr>
        <w:t>(2)</w:t>
      </w:r>
      <w:r w:rsidRPr="00AF2304">
        <w:rPr>
          <w:i/>
          <w:spacing w:val="-2"/>
        </w:rPr>
        <w:t xml:space="preserve"> </w:t>
      </w:r>
      <w:r w:rsidRPr="00AF2304">
        <w:rPr>
          <w:i/>
          <w:spacing w:val="-1"/>
        </w:rPr>
        <w:t>communications</w:t>
      </w:r>
      <w:r w:rsidRPr="00AF2304">
        <w:rPr>
          <w:i/>
          <w:spacing w:val="57"/>
        </w:rPr>
        <w:t xml:space="preserve"> </w:t>
      </w:r>
      <w:r w:rsidRPr="00AF2304">
        <w:rPr>
          <w:i/>
        </w:rPr>
        <w:t xml:space="preserve">to </w:t>
      </w:r>
      <w:r w:rsidRPr="00AF2304">
        <w:rPr>
          <w:i/>
          <w:spacing w:val="-1"/>
        </w:rPr>
        <w:t>Congress,</w:t>
      </w:r>
      <w:r w:rsidRPr="00AF2304">
        <w:rPr>
          <w:i/>
          <w:spacing w:val="-2"/>
        </w:rPr>
        <w:t xml:space="preserve"> </w:t>
      </w:r>
      <w:r w:rsidRPr="00AF2304">
        <w:rPr>
          <w:i/>
          <w:spacing w:val="-1"/>
        </w:rPr>
        <w:t>(3)</w:t>
      </w:r>
      <w:r w:rsidRPr="00AF2304">
        <w:rPr>
          <w:i/>
          <w:spacing w:val="-2"/>
        </w:rPr>
        <w:t xml:space="preserve"> </w:t>
      </w:r>
      <w:r w:rsidRPr="00AF2304">
        <w:rPr>
          <w:i/>
        </w:rPr>
        <w:t xml:space="preserve">the </w:t>
      </w:r>
      <w:r w:rsidRPr="00AF2304">
        <w:rPr>
          <w:i/>
          <w:spacing w:val="-1"/>
        </w:rPr>
        <w:t>reporting</w:t>
      </w:r>
      <w:r w:rsidRPr="00AF2304">
        <w:rPr>
          <w:i/>
        </w:rPr>
        <w:t xml:space="preserve"> to </w:t>
      </w:r>
      <w:r w:rsidRPr="00AF2304">
        <w:rPr>
          <w:i/>
          <w:spacing w:val="-2"/>
        </w:rPr>
        <w:t>an</w:t>
      </w:r>
      <w:r w:rsidRPr="00AF2304">
        <w:rPr>
          <w:i/>
        </w:rPr>
        <w:t xml:space="preserve"> </w:t>
      </w:r>
      <w:r w:rsidRPr="00AF2304">
        <w:rPr>
          <w:i/>
          <w:spacing w:val="-1"/>
        </w:rPr>
        <w:t>Inspector</w:t>
      </w:r>
      <w:r w:rsidRPr="00AF2304">
        <w:rPr>
          <w:i/>
        </w:rPr>
        <w:t xml:space="preserve"> </w:t>
      </w:r>
      <w:r w:rsidRPr="00AF2304">
        <w:rPr>
          <w:i/>
          <w:spacing w:val="-1"/>
        </w:rPr>
        <w:t>General</w:t>
      </w:r>
      <w:r w:rsidRPr="00AF2304">
        <w:rPr>
          <w:i/>
          <w:spacing w:val="-2"/>
        </w:rPr>
        <w:t xml:space="preserve"> </w:t>
      </w:r>
      <w:r w:rsidRPr="00AF2304">
        <w:rPr>
          <w:i/>
        </w:rPr>
        <w:t>of</w:t>
      </w:r>
      <w:r w:rsidRPr="00AF2304">
        <w:rPr>
          <w:i/>
          <w:spacing w:val="1"/>
        </w:rPr>
        <w:t xml:space="preserve"> </w:t>
      </w:r>
      <w:r w:rsidRPr="00AF2304">
        <w:rPr>
          <w:i/>
        </w:rPr>
        <w:t xml:space="preserve">a </w:t>
      </w:r>
      <w:r w:rsidRPr="00AF2304">
        <w:rPr>
          <w:i/>
          <w:spacing w:val="-1"/>
        </w:rPr>
        <w:t>violation</w:t>
      </w:r>
      <w:r w:rsidRPr="00AF2304">
        <w:rPr>
          <w:i/>
        </w:rPr>
        <w:t xml:space="preserve"> </w:t>
      </w:r>
      <w:r w:rsidRPr="00AF2304">
        <w:rPr>
          <w:i/>
          <w:spacing w:val="-2"/>
        </w:rPr>
        <w:t>of</w:t>
      </w:r>
      <w:r w:rsidRPr="00AF2304">
        <w:rPr>
          <w:i/>
          <w:spacing w:val="1"/>
        </w:rPr>
        <w:t xml:space="preserve"> </w:t>
      </w:r>
      <w:r w:rsidRPr="00AF2304">
        <w:rPr>
          <w:i/>
          <w:spacing w:val="-1"/>
        </w:rPr>
        <w:t>any</w:t>
      </w:r>
      <w:r w:rsidRPr="00AF2304">
        <w:rPr>
          <w:i/>
        </w:rPr>
        <w:t xml:space="preserve"> law,</w:t>
      </w:r>
      <w:r w:rsidRPr="00AF2304">
        <w:rPr>
          <w:i/>
          <w:spacing w:val="-3"/>
        </w:rPr>
        <w:t xml:space="preserve"> </w:t>
      </w:r>
      <w:r w:rsidRPr="00AF2304">
        <w:rPr>
          <w:i/>
          <w:spacing w:val="-1"/>
        </w:rPr>
        <w:t>rule,</w:t>
      </w:r>
      <w:r w:rsidRPr="00AF2304">
        <w:rPr>
          <w:i/>
          <w:spacing w:val="47"/>
        </w:rPr>
        <w:t xml:space="preserve"> </w:t>
      </w:r>
      <w:r w:rsidRPr="00AF2304">
        <w:rPr>
          <w:i/>
        </w:rPr>
        <w:t xml:space="preserve">or </w:t>
      </w:r>
      <w:r w:rsidRPr="00AF2304">
        <w:rPr>
          <w:i/>
          <w:spacing w:val="-1"/>
        </w:rPr>
        <w:t>regulation,</w:t>
      </w:r>
      <w:r w:rsidRPr="00AF2304">
        <w:rPr>
          <w:i/>
        </w:rPr>
        <w:t xml:space="preserve"> or </w:t>
      </w:r>
      <w:r w:rsidRPr="00AF2304">
        <w:rPr>
          <w:i/>
          <w:spacing w:val="-1"/>
        </w:rPr>
        <w:t>mismanagement,</w:t>
      </w:r>
      <w:r w:rsidRPr="00AF2304">
        <w:rPr>
          <w:i/>
        </w:rPr>
        <w:t xml:space="preserve"> a</w:t>
      </w:r>
      <w:r w:rsidRPr="00AF2304">
        <w:rPr>
          <w:i/>
          <w:spacing w:val="-3"/>
        </w:rPr>
        <w:t xml:space="preserve"> </w:t>
      </w:r>
      <w:r w:rsidRPr="00AF2304">
        <w:rPr>
          <w:i/>
          <w:spacing w:val="-1"/>
        </w:rPr>
        <w:t>gross</w:t>
      </w:r>
      <w:r w:rsidRPr="00AF2304">
        <w:rPr>
          <w:i/>
        </w:rPr>
        <w:t xml:space="preserve"> </w:t>
      </w:r>
      <w:r w:rsidRPr="00AF2304">
        <w:rPr>
          <w:i/>
          <w:spacing w:val="-1"/>
        </w:rPr>
        <w:t>waste</w:t>
      </w:r>
      <w:r w:rsidRPr="00AF2304">
        <w:rPr>
          <w:i/>
        </w:rPr>
        <w:t xml:space="preserve"> </w:t>
      </w:r>
      <w:r w:rsidRPr="00AF2304">
        <w:rPr>
          <w:i/>
          <w:spacing w:val="-1"/>
        </w:rPr>
        <w:t>of</w:t>
      </w:r>
      <w:r w:rsidRPr="00AF2304">
        <w:rPr>
          <w:i/>
          <w:spacing w:val="1"/>
        </w:rPr>
        <w:t xml:space="preserve"> </w:t>
      </w:r>
      <w:r w:rsidRPr="00AF2304">
        <w:rPr>
          <w:i/>
          <w:spacing w:val="-1"/>
        </w:rPr>
        <w:t>funds,</w:t>
      </w:r>
      <w:r w:rsidRPr="00AF2304">
        <w:rPr>
          <w:i/>
        </w:rPr>
        <w:t xml:space="preserve"> an </w:t>
      </w:r>
      <w:r w:rsidRPr="00AF2304">
        <w:rPr>
          <w:i/>
          <w:spacing w:val="-1"/>
        </w:rPr>
        <w:t>abuse</w:t>
      </w:r>
      <w:r w:rsidRPr="00AF2304">
        <w:rPr>
          <w:i/>
        </w:rPr>
        <w:t xml:space="preserve"> </w:t>
      </w:r>
      <w:r w:rsidRPr="00AF2304">
        <w:rPr>
          <w:i/>
          <w:spacing w:val="-2"/>
        </w:rPr>
        <w:t>of</w:t>
      </w:r>
      <w:r w:rsidRPr="00AF2304">
        <w:rPr>
          <w:i/>
          <w:spacing w:val="1"/>
        </w:rPr>
        <w:t xml:space="preserve"> </w:t>
      </w:r>
      <w:r w:rsidRPr="00AF2304">
        <w:rPr>
          <w:i/>
          <w:spacing w:val="-1"/>
        </w:rPr>
        <w:t>authority,</w:t>
      </w:r>
      <w:r w:rsidRPr="00AF2304">
        <w:rPr>
          <w:i/>
        </w:rPr>
        <w:t xml:space="preserve"> </w:t>
      </w:r>
      <w:r w:rsidRPr="00AF2304">
        <w:rPr>
          <w:i/>
          <w:spacing w:val="-1"/>
        </w:rPr>
        <w:t>or</w:t>
      </w:r>
      <w:r w:rsidRPr="00AF2304">
        <w:rPr>
          <w:i/>
        </w:rPr>
        <w:t xml:space="preserve"> a</w:t>
      </w:r>
      <w:r w:rsidRPr="00AF2304">
        <w:rPr>
          <w:i/>
          <w:spacing w:val="49"/>
        </w:rPr>
        <w:t xml:space="preserve"> </w:t>
      </w:r>
      <w:r w:rsidRPr="00AF2304">
        <w:rPr>
          <w:i/>
          <w:spacing w:val="-1"/>
        </w:rPr>
        <w:t>substantial</w:t>
      </w:r>
      <w:r w:rsidRPr="00AF2304">
        <w:rPr>
          <w:i/>
          <w:spacing w:val="1"/>
        </w:rPr>
        <w:t xml:space="preserve"> </w:t>
      </w:r>
      <w:r w:rsidRPr="00AF2304">
        <w:rPr>
          <w:i/>
        </w:rPr>
        <w:t>and</w:t>
      </w:r>
      <w:r w:rsidRPr="00AF2304">
        <w:rPr>
          <w:i/>
          <w:spacing w:val="-3"/>
        </w:rPr>
        <w:t xml:space="preserve"> </w:t>
      </w:r>
      <w:r w:rsidRPr="00AF2304">
        <w:rPr>
          <w:i/>
          <w:spacing w:val="-1"/>
        </w:rPr>
        <w:t>specific</w:t>
      </w:r>
      <w:r w:rsidRPr="00AF2304">
        <w:rPr>
          <w:i/>
        </w:rPr>
        <w:t xml:space="preserve"> </w:t>
      </w:r>
      <w:r w:rsidRPr="00AF2304">
        <w:rPr>
          <w:i/>
          <w:spacing w:val="-1"/>
        </w:rPr>
        <w:t>danger</w:t>
      </w:r>
      <w:r w:rsidRPr="00AF2304">
        <w:rPr>
          <w:i/>
          <w:spacing w:val="-2"/>
        </w:rPr>
        <w:t xml:space="preserve"> </w:t>
      </w:r>
      <w:r w:rsidRPr="00AF2304">
        <w:rPr>
          <w:i/>
        </w:rPr>
        <w:t xml:space="preserve">to </w:t>
      </w:r>
      <w:r w:rsidRPr="00AF2304">
        <w:rPr>
          <w:i/>
          <w:spacing w:val="-1"/>
        </w:rPr>
        <w:t>public</w:t>
      </w:r>
      <w:r w:rsidRPr="00AF2304">
        <w:rPr>
          <w:i/>
        </w:rPr>
        <w:t xml:space="preserve"> </w:t>
      </w:r>
      <w:r w:rsidRPr="00AF2304">
        <w:rPr>
          <w:i/>
          <w:spacing w:val="-1"/>
        </w:rPr>
        <w:t>health</w:t>
      </w:r>
      <w:r w:rsidRPr="00AF2304">
        <w:rPr>
          <w:i/>
        </w:rPr>
        <w:t xml:space="preserve"> or</w:t>
      </w:r>
      <w:r w:rsidRPr="00AF2304">
        <w:rPr>
          <w:i/>
          <w:spacing w:val="-2"/>
        </w:rPr>
        <w:t xml:space="preserve"> </w:t>
      </w:r>
      <w:r w:rsidRPr="00AF2304">
        <w:rPr>
          <w:i/>
        </w:rPr>
        <w:t xml:space="preserve">safety, </w:t>
      </w:r>
      <w:r w:rsidRPr="00AF2304">
        <w:rPr>
          <w:i/>
          <w:spacing w:val="-1"/>
        </w:rPr>
        <w:t>or</w:t>
      </w:r>
      <w:r w:rsidRPr="00AF2304">
        <w:rPr>
          <w:i/>
        </w:rPr>
        <w:t xml:space="preserve"> </w:t>
      </w:r>
      <w:r w:rsidRPr="00AF2304">
        <w:rPr>
          <w:i/>
          <w:spacing w:val="-1"/>
        </w:rPr>
        <w:t>(4)</w:t>
      </w:r>
      <w:r w:rsidRPr="00AF2304">
        <w:rPr>
          <w:i/>
          <w:spacing w:val="-2"/>
        </w:rPr>
        <w:t xml:space="preserve"> </w:t>
      </w:r>
      <w:r w:rsidRPr="00AF2304">
        <w:rPr>
          <w:i/>
        </w:rPr>
        <w:t xml:space="preserve">any </w:t>
      </w:r>
      <w:r w:rsidRPr="00AF2304">
        <w:rPr>
          <w:i/>
          <w:spacing w:val="-1"/>
        </w:rPr>
        <w:t>other</w:t>
      </w:r>
      <w:r w:rsidRPr="00AF2304">
        <w:rPr>
          <w:i/>
          <w:spacing w:val="33"/>
        </w:rPr>
        <w:t xml:space="preserve"> </w:t>
      </w:r>
      <w:r w:rsidRPr="00AF2304">
        <w:rPr>
          <w:i/>
          <w:spacing w:val="-1"/>
        </w:rPr>
        <w:t>whistleblower</w:t>
      </w:r>
      <w:r w:rsidRPr="00AF2304">
        <w:rPr>
          <w:i/>
        </w:rPr>
        <w:t xml:space="preserve"> </w:t>
      </w:r>
      <w:r w:rsidRPr="00AF2304">
        <w:rPr>
          <w:i/>
          <w:spacing w:val="-1"/>
        </w:rPr>
        <w:t>protection.</w:t>
      </w:r>
      <w:r w:rsidRPr="00AF2304">
        <w:rPr>
          <w:i/>
        </w:rPr>
        <w:t xml:space="preserve"> </w:t>
      </w:r>
      <w:r w:rsidRPr="00AF2304">
        <w:rPr>
          <w:i/>
          <w:spacing w:val="-1"/>
        </w:rPr>
        <w:t>The</w:t>
      </w:r>
      <w:r w:rsidRPr="00AF2304">
        <w:rPr>
          <w:i/>
        </w:rPr>
        <w:t xml:space="preserve"> </w:t>
      </w:r>
      <w:r w:rsidRPr="00AF2304">
        <w:rPr>
          <w:i/>
          <w:spacing w:val="-1"/>
        </w:rPr>
        <w:t>definitions,</w:t>
      </w:r>
      <w:r w:rsidRPr="00AF2304">
        <w:rPr>
          <w:i/>
        </w:rPr>
        <w:t xml:space="preserve"> </w:t>
      </w:r>
      <w:r w:rsidRPr="00AF2304">
        <w:rPr>
          <w:i/>
          <w:spacing w:val="-1"/>
        </w:rPr>
        <w:t>requirements,</w:t>
      </w:r>
      <w:r w:rsidRPr="00AF2304">
        <w:rPr>
          <w:i/>
        </w:rPr>
        <w:t xml:space="preserve"> </w:t>
      </w:r>
      <w:r w:rsidRPr="00AF2304">
        <w:rPr>
          <w:i/>
          <w:spacing w:val="-1"/>
        </w:rPr>
        <w:t>obligations,</w:t>
      </w:r>
      <w:r w:rsidRPr="00AF2304">
        <w:rPr>
          <w:i/>
        </w:rPr>
        <w:t xml:space="preserve"> </w:t>
      </w:r>
      <w:r w:rsidRPr="00AF2304">
        <w:rPr>
          <w:i/>
          <w:spacing w:val="-1"/>
        </w:rPr>
        <w:t>rights,</w:t>
      </w:r>
      <w:r w:rsidRPr="00AF2304">
        <w:rPr>
          <w:i/>
          <w:spacing w:val="47"/>
        </w:rPr>
        <w:t xml:space="preserve"> </w:t>
      </w:r>
      <w:r w:rsidRPr="00AF2304">
        <w:rPr>
          <w:i/>
          <w:spacing w:val="-1"/>
        </w:rPr>
        <w:t>sanctions,</w:t>
      </w:r>
      <w:r w:rsidRPr="00AF2304">
        <w:rPr>
          <w:i/>
        </w:rPr>
        <w:t xml:space="preserve"> and</w:t>
      </w:r>
      <w:r w:rsidRPr="00AF2304">
        <w:rPr>
          <w:i/>
          <w:spacing w:val="-2"/>
        </w:rPr>
        <w:t xml:space="preserve"> </w:t>
      </w:r>
      <w:r w:rsidRPr="00AF2304">
        <w:rPr>
          <w:i/>
          <w:spacing w:val="-1"/>
        </w:rPr>
        <w:t>liabilities</w:t>
      </w:r>
      <w:r w:rsidRPr="00AF2304">
        <w:rPr>
          <w:i/>
        </w:rPr>
        <w:t xml:space="preserve"> </w:t>
      </w:r>
      <w:r w:rsidRPr="00AF2304">
        <w:rPr>
          <w:i/>
          <w:spacing w:val="-1"/>
        </w:rPr>
        <w:t>created</w:t>
      </w:r>
      <w:r w:rsidRPr="00AF2304">
        <w:rPr>
          <w:i/>
          <w:spacing w:val="-2"/>
        </w:rPr>
        <w:t xml:space="preserve"> </w:t>
      </w:r>
      <w:r w:rsidRPr="00AF2304">
        <w:rPr>
          <w:i/>
        </w:rPr>
        <w:t xml:space="preserve">by </w:t>
      </w:r>
      <w:r w:rsidRPr="00AF2304">
        <w:rPr>
          <w:i/>
          <w:spacing w:val="-1"/>
        </w:rPr>
        <w:t>controlling</w:t>
      </w:r>
      <w:r w:rsidRPr="00AF2304">
        <w:rPr>
          <w:i/>
        </w:rPr>
        <w:t xml:space="preserve"> </w:t>
      </w:r>
      <w:r w:rsidRPr="00AF2304">
        <w:rPr>
          <w:i/>
          <w:spacing w:val="-1"/>
        </w:rPr>
        <w:t>Executive</w:t>
      </w:r>
      <w:r w:rsidRPr="00AF2304">
        <w:rPr>
          <w:i/>
        </w:rPr>
        <w:t xml:space="preserve"> </w:t>
      </w:r>
      <w:r w:rsidRPr="00AF2304">
        <w:rPr>
          <w:i/>
          <w:spacing w:val="-1"/>
        </w:rPr>
        <w:t>orders</w:t>
      </w:r>
      <w:r w:rsidRPr="00AF2304">
        <w:rPr>
          <w:i/>
          <w:spacing w:val="1"/>
        </w:rPr>
        <w:t xml:space="preserve"> </w:t>
      </w:r>
      <w:r w:rsidRPr="00AF2304">
        <w:rPr>
          <w:i/>
        </w:rPr>
        <w:t>and</w:t>
      </w:r>
      <w:r w:rsidRPr="00AF2304">
        <w:rPr>
          <w:i/>
          <w:spacing w:val="-3"/>
        </w:rPr>
        <w:t xml:space="preserve"> </w:t>
      </w:r>
      <w:r w:rsidRPr="00AF2304">
        <w:rPr>
          <w:i/>
          <w:spacing w:val="-1"/>
        </w:rPr>
        <w:t>statutory</w:t>
      </w:r>
      <w:r w:rsidRPr="00AF2304">
        <w:rPr>
          <w:i/>
          <w:spacing w:val="49"/>
        </w:rPr>
        <w:t xml:space="preserve"> </w:t>
      </w:r>
      <w:r w:rsidRPr="00AF2304">
        <w:rPr>
          <w:i/>
          <w:spacing w:val="-1"/>
        </w:rPr>
        <w:t>provisions</w:t>
      </w:r>
      <w:r w:rsidRPr="00AF2304">
        <w:rPr>
          <w:i/>
        </w:rPr>
        <w:t xml:space="preserve"> </w:t>
      </w:r>
      <w:r w:rsidRPr="00AF2304">
        <w:rPr>
          <w:i/>
          <w:spacing w:val="-1"/>
        </w:rPr>
        <w:t>are</w:t>
      </w:r>
      <w:r w:rsidRPr="00AF2304">
        <w:rPr>
          <w:i/>
        </w:rPr>
        <w:t xml:space="preserve"> </w:t>
      </w:r>
      <w:r w:rsidRPr="00AF2304">
        <w:rPr>
          <w:i/>
          <w:spacing w:val="-1"/>
        </w:rPr>
        <w:t>incorporated</w:t>
      </w:r>
      <w:r w:rsidRPr="00AF2304">
        <w:rPr>
          <w:i/>
        </w:rPr>
        <w:t xml:space="preserve"> </w:t>
      </w:r>
      <w:r w:rsidRPr="00AF2304">
        <w:rPr>
          <w:i/>
          <w:spacing w:val="-1"/>
        </w:rPr>
        <w:t>into</w:t>
      </w:r>
      <w:r w:rsidRPr="00AF2304">
        <w:rPr>
          <w:i/>
        </w:rPr>
        <w:t xml:space="preserve"> </w:t>
      </w:r>
      <w:r w:rsidRPr="00AF2304">
        <w:rPr>
          <w:i/>
          <w:spacing w:val="-1"/>
        </w:rPr>
        <w:t>this</w:t>
      </w:r>
      <w:r w:rsidRPr="00AF2304">
        <w:rPr>
          <w:i/>
          <w:spacing w:val="-2"/>
        </w:rPr>
        <w:t xml:space="preserve"> </w:t>
      </w:r>
      <w:r w:rsidRPr="00AF2304">
        <w:rPr>
          <w:i/>
          <w:spacing w:val="-1"/>
        </w:rPr>
        <w:t>agreement</w:t>
      </w:r>
      <w:r w:rsidRPr="00AF2304">
        <w:rPr>
          <w:i/>
          <w:spacing w:val="-2"/>
        </w:rPr>
        <w:t xml:space="preserve"> </w:t>
      </w:r>
      <w:r w:rsidRPr="00AF2304">
        <w:rPr>
          <w:i/>
        </w:rPr>
        <w:t xml:space="preserve">and </w:t>
      </w:r>
      <w:r w:rsidRPr="00AF2304">
        <w:rPr>
          <w:i/>
          <w:spacing w:val="-1"/>
        </w:rPr>
        <w:t>are</w:t>
      </w:r>
      <w:r w:rsidRPr="00AF2304">
        <w:rPr>
          <w:i/>
          <w:spacing w:val="3"/>
        </w:rPr>
        <w:t xml:space="preserve"> </w:t>
      </w:r>
      <w:r w:rsidRPr="00AF2304">
        <w:rPr>
          <w:i/>
          <w:spacing w:val="-1"/>
        </w:rPr>
        <w:t>controlling.’’</w:t>
      </w:r>
    </w:p>
    <w:p w14:paraId="0988252A" w14:textId="0CC0F634" w:rsidR="00B07932" w:rsidRPr="008858B4" w:rsidRDefault="004E672B" w:rsidP="004E672B">
      <w:pPr>
        <w:numPr>
          <w:ilvl w:val="0"/>
          <w:numId w:val="26"/>
        </w:numPr>
        <w:tabs>
          <w:tab w:val="left" w:pos="765"/>
        </w:tabs>
        <w:kinsoku w:val="0"/>
        <w:overflowPunct w:val="0"/>
        <w:autoSpaceDE w:val="0"/>
        <w:autoSpaceDN w:val="0"/>
        <w:adjustRightInd w:val="0"/>
        <w:spacing w:after="200"/>
        <w:ind w:left="2520" w:right="994"/>
        <w:rPr>
          <w:spacing w:val="-1"/>
        </w:rPr>
      </w:pPr>
      <w:r w:rsidRPr="00120F39">
        <w:t>The</w:t>
      </w:r>
      <w:r w:rsidRPr="00AF2304">
        <w:rPr>
          <w:spacing w:val="-2"/>
          <w:szCs w:val="24"/>
        </w:rPr>
        <w:t xml:space="preserve"> </w:t>
      </w:r>
      <w:r w:rsidRPr="00120F39">
        <w:rPr>
          <w:spacing w:val="-1"/>
        </w:rPr>
        <w:t>limitation</w:t>
      </w:r>
      <w:r w:rsidRPr="009061D6">
        <w:t xml:space="preserve"> </w:t>
      </w:r>
      <w:r w:rsidRPr="009061D6">
        <w:rPr>
          <w:spacing w:val="-1"/>
        </w:rPr>
        <w:t>above</w:t>
      </w:r>
      <w:r w:rsidRPr="009061D6">
        <w:t xml:space="preserve"> </w:t>
      </w:r>
      <w:r w:rsidRPr="009061D6">
        <w:rPr>
          <w:spacing w:val="-1"/>
        </w:rPr>
        <w:t>shall</w:t>
      </w:r>
      <w:r w:rsidRPr="00AF2304">
        <w:rPr>
          <w:spacing w:val="-2"/>
          <w:szCs w:val="24"/>
        </w:rPr>
        <w:t xml:space="preserve"> </w:t>
      </w:r>
      <w:r w:rsidRPr="00120F39">
        <w:t>not</w:t>
      </w:r>
      <w:r w:rsidRPr="00AF2304">
        <w:rPr>
          <w:spacing w:val="1"/>
          <w:szCs w:val="24"/>
        </w:rPr>
        <w:t xml:space="preserve"> </w:t>
      </w:r>
      <w:r w:rsidRPr="00120F39">
        <w:rPr>
          <w:spacing w:val="-1"/>
        </w:rPr>
        <w:t>contravene</w:t>
      </w:r>
      <w:r w:rsidRPr="009061D6">
        <w:t xml:space="preserve"> </w:t>
      </w:r>
      <w:r w:rsidRPr="009061D6">
        <w:rPr>
          <w:spacing w:val="-1"/>
        </w:rPr>
        <w:t>requirements</w:t>
      </w:r>
      <w:r w:rsidRPr="009061D6">
        <w:t xml:space="preserve"> </w:t>
      </w:r>
      <w:r w:rsidRPr="009061D6">
        <w:rPr>
          <w:spacing w:val="-1"/>
        </w:rPr>
        <w:t>applicable</w:t>
      </w:r>
      <w:r w:rsidRPr="009061D6">
        <w:t xml:space="preserve"> </w:t>
      </w:r>
      <w:r w:rsidRPr="009061D6">
        <w:rPr>
          <w:spacing w:val="-1"/>
        </w:rPr>
        <w:t>to</w:t>
      </w:r>
      <w:r w:rsidRPr="009061D6">
        <w:t xml:space="preserve"> </w:t>
      </w:r>
      <w:r w:rsidRPr="009061D6">
        <w:rPr>
          <w:spacing w:val="-1"/>
        </w:rPr>
        <w:t>Standard</w:t>
      </w:r>
      <w:r w:rsidRPr="009061D6">
        <w:t xml:space="preserve"> </w:t>
      </w:r>
      <w:r w:rsidRPr="009061D6">
        <w:rPr>
          <w:spacing w:val="-1"/>
        </w:rPr>
        <w:t>Form</w:t>
      </w:r>
      <w:r w:rsidRPr="00AF2304">
        <w:rPr>
          <w:spacing w:val="41"/>
          <w:szCs w:val="24"/>
        </w:rPr>
        <w:t xml:space="preserve"> </w:t>
      </w:r>
      <w:r w:rsidRPr="00120F39">
        <w:t>312</w:t>
      </w:r>
      <w:r w:rsidR="009701C7">
        <w:t xml:space="preserve"> Classified Information Nondisclosure Agreement (</w:t>
      </w:r>
      <w:hyperlink r:id="rId60" w:history="1">
        <w:r w:rsidR="009701C7">
          <w:rPr>
            <w:rStyle w:val="Hyperlink"/>
          </w:rPr>
          <w:t>https://fas.org/sgp/othergov/sf312.pdf</w:t>
        </w:r>
      </w:hyperlink>
      <w:r w:rsidR="009701C7">
        <w:rPr>
          <w:color w:val="1F497D"/>
        </w:rPr>
        <w:t>)</w:t>
      </w:r>
      <w:r w:rsidRPr="00120F39">
        <w:t>, Form</w:t>
      </w:r>
      <w:r w:rsidRPr="00AF2304">
        <w:rPr>
          <w:spacing w:val="-4"/>
          <w:szCs w:val="24"/>
        </w:rPr>
        <w:t xml:space="preserve"> </w:t>
      </w:r>
      <w:r w:rsidRPr="00120F39">
        <w:t>4414</w:t>
      </w:r>
      <w:r w:rsidR="009701C7">
        <w:t xml:space="preserve"> Sensitive Compartmented Information Disclosure Agreement (https://fas.org/sgp/othergov/intel/sf4414.pdf)</w:t>
      </w:r>
      <w:r w:rsidRPr="00120F39">
        <w:t xml:space="preserve">, </w:t>
      </w:r>
      <w:r w:rsidRPr="009061D6">
        <w:rPr>
          <w:spacing w:val="-2"/>
        </w:rPr>
        <w:t>or</w:t>
      </w:r>
      <w:r w:rsidRPr="009061D6">
        <w:t xml:space="preserve"> any</w:t>
      </w:r>
      <w:r w:rsidRPr="00AF2304">
        <w:rPr>
          <w:spacing w:val="-2"/>
          <w:szCs w:val="24"/>
        </w:rPr>
        <w:t xml:space="preserve"> </w:t>
      </w:r>
      <w:r w:rsidRPr="00120F39">
        <w:rPr>
          <w:spacing w:val="-1"/>
        </w:rPr>
        <w:t>other</w:t>
      </w:r>
      <w:r w:rsidRPr="00AF2304">
        <w:rPr>
          <w:spacing w:val="1"/>
          <w:szCs w:val="24"/>
        </w:rPr>
        <w:t xml:space="preserve"> </w:t>
      </w:r>
      <w:r w:rsidRPr="00120F39">
        <w:rPr>
          <w:spacing w:val="-1"/>
        </w:rPr>
        <w:t>form</w:t>
      </w:r>
      <w:r w:rsidRPr="00AF2304">
        <w:rPr>
          <w:spacing w:val="-4"/>
          <w:szCs w:val="24"/>
        </w:rPr>
        <w:t xml:space="preserve"> </w:t>
      </w:r>
      <w:r w:rsidRPr="00120F39">
        <w:rPr>
          <w:spacing w:val="-1"/>
        </w:rPr>
        <w:t>issued</w:t>
      </w:r>
      <w:r w:rsidRPr="009061D6">
        <w:t xml:space="preserve"> by</w:t>
      </w:r>
      <w:r w:rsidRPr="00AF2304">
        <w:rPr>
          <w:spacing w:val="-3"/>
          <w:szCs w:val="24"/>
        </w:rPr>
        <w:t xml:space="preserve"> </w:t>
      </w:r>
      <w:r w:rsidRPr="00120F39">
        <w:t xml:space="preserve">a </w:t>
      </w:r>
      <w:r w:rsidR="001F169D">
        <w:rPr>
          <w:spacing w:val="-1"/>
        </w:rPr>
        <w:t>f</w:t>
      </w:r>
      <w:r w:rsidR="001F169D" w:rsidRPr="009061D6">
        <w:rPr>
          <w:spacing w:val="-1"/>
        </w:rPr>
        <w:t>ederal</w:t>
      </w:r>
      <w:r w:rsidR="001F169D" w:rsidRPr="00AF2304">
        <w:rPr>
          <w:spacing w:val="-2"/>
          <w:szCs w:val="24"/>
        </w:rPr>
        <w:t xml:space="preserve"> </w:t>
      </w:r>
      <w:r w:rsidRPr="00120F39">
        <w:rPr>
          <w:spacing w:val="-1"/>
        </w:rPr>
        <w:t>department</w:t>
      </w:r>
      <w:r w:rsidRPr="00AF2304">
        <w:rPr>
          <w:spacing w:val="1"/>
          <w:szCs w:val="24"/>
        </w:rPr>
        <w:t xml:space="preserve"> </w:t>
      </w:r>
      <w:r w:rsidRPr="00120F39">
        <w:t>or</w:t>
      </w:r>
      <w:r w:rsidRPr="00AF2304">
        <w:rPr>
          <w:spacing w:val="-2"/>
          <w:szCs w:val="24"/>
        </w:rPr>
        <w:t xml:space="preserve"> </w:t>
      </w:r>
      <w:r w:rsidRPr="00120F39">
        <w:rPr>
          <w:spacing w:val="-1"/>
        </w:rPr>
        <w:t>agency</w:t>
      </w:r>
      <w:r w:rsidRPr="00AF2304">
        <w:rPr>
          <w:spacing w:val="39"/>
          <w:szCs w:val="24"/>
        </w:rPr>
        <w:t xml:space="preserve"> </w:t>
      </w:r>
      <w:r w:rsidRPr="00120F39">
        <w:rPr>
          <w:spacing w:val="-1"/>
        </w:rPr>
        <w:t>governing</w:t>
      </w:r>
      <w:r w:rsidRPr="00AF2304">
        <w:rPr>
          <w:spacing w:val="-3"/>
          <w:szCs w:val="24"/>
        </w:rPr>
        <w:t xml:space="preserve"> </w:t>
      </w:r>
      <w:r w:rsidRPr="00120F39">
        <w:t>the</w:t>
      </w:r>
      <w:r w:rsidRPr="00AF2304">
        <w:rPr>
          <w:spacing w:val="-2"/>
          <w:szCs w:val="24"/>
        </w:rPr>
        <w:t xml:space="preserve"> </w:t>
      </w:r>
      <w:r w:rsidRPr="00120F39">
        <w:rPr>
          <w:spacing w:val="-1"/>
        </w:rPr>
        <w:t>nondisclosure</w:t>
      </w:r>
      <w:r w:rsidRPr="009061D6">
        <w:t xml:space="preserve"> of</w:t>
      </w:r>
      <w:r w:rsidRPr="00AF2304">
        <w:rPr>
          <w:spacing w:val="1"/>
          <w:szCs w:val="24"/>
        </w:rPr>
        <w:t xml:space="preserve"> </w:t>
      </w:r>
      <w:r w:rsidRPr="00120F39">
        <w:rPr>
          <w:spacing w:val="-1"/>
        </w:rPr>
        <w:t>classified</w:t>
      </w:r>
      <w:r w:rsidRPr="00AF2304">
        <w:rPr>
          <w:spacing w:val="-2"/>
          <w:szCs w:val="24"/>
        </w:rPr>
        <w:t xml:space="preserve"> </w:t>
      </w:r>
      <w:r w:rsidRPr="00120F39">
        <w:rPr>
          <w:spacing w:val="-1"/>
        </w:rPr>
        <w:t>information.</w:t>
      </w:r>
    </w:p>
    <w:p w14:paraId="4706623F" w14:textId="00178A31" w:rsidR="00B07932" w:rsidRPr="008858B4" w:rsidRDefault="004E672B" w:rsidP="004E672B">
      <w:pPr>
        <w:pStyle w:val="ListParagraph"/>
        <w:numPr>
          <w:ilvl w:val="0"/>
          <w:numId w:val="26"/>
        </w:numPr>
        <w:ind w:left="2520"/>
      </w:pPr>
      <w:r w:rsidRPr="008858B4">
        <w:t>Notwithstanding</w:t>
      </w:r>
      <w:r w:rsidRPr="008858B4">
        <w:rPr>
          <w:spacing w:val="-3"/>
        </w:rPr>
        <w:t xml:space="preserve"> the </w:t>
      </w:r>
      <w:r w:rsidRPr="008858B4">
        <w:t>provision listed in paragraph</w:t>
      </w:r>
      <w:r w:rsidRPr="00AF2304">
        <w:rPr>
          <w:spacing w:val="-2"/>
        </w:rPr>
        <w:t xml:space="preserve"> </w:t>
      </w:r>
      <w:r w:rsidRPr="008858B4">
        <w:t>(a), a</w:t>
      </w:r>
      <w:r w:rsidRPr="00AF2304">
        <w:rPr>
          <w:spacing w:val="-2"/>
        </w:rPr>
        <w:t xml:space="preserve"> </w:t>
      </w:r>
      <w:r w:rsidRPr="008858B4">
        <w:t>nondisclosure or confidentiality</w:t>
      </w:r>
      <w:r w:rsidRPr="00AF2304">
        <w:rPr>
          <w:spacing w:val="-3"/>
        </w:rPr>
        <w:t xml:space="preserve"> </w:t>
      </w:r>
      <w:r w:rsidRPr="008858B4">
        <w:t>policy</w:t>
      </w:r>
      <w:r w:rsidRPr="00AF2304">
        <w:rPr>
          <w:spacing w:val="71"/>
        </w:rPr>
        <w:t xml:space="preserve"> </w:t>
      </w:r>
      <w:r w:rsidRPr="008858B4">
        <w:t>form</w:t>
      </w:r>
      <w:r w:rsidRPr="00AF2304">
        <w:rPr>
          <w:spacing w:val="-4"/>
        </w:rPr>
        <w:t xml:space="preserve"> </w:t>
      </w:r>
      <w:r w:rsidRPr="008858B4">
        <w:t>or agreement</w:t>
      </w:r>
      <w:r w:rsidRPr="00AF2304">
        <w:rPr>
          <w:spacing w:val="1"/>
        </w:rPr>
        <w:t xml:space="preserve"> </w:t>
      </w:r>
      <w:r w:rsidRPr="008858B4">
        <w:t>that is</w:t>
      </w:r>
      <w:r w:rsidRPr="00AF2304">
        <w:rPr>
          <w:spacing w:val="-2"/>
        </w:rPr>
        <w:t xml:space="preserve"> </w:t>
      </w:r>
      <w:r w:rsidRPr="008858B4">
        <w:t>to</w:t>
      </w:r>
      <w:r w:rsidRPr="00AF2304">
        <w:rPr>
          <w:spacing w:val="-3"/>
        </w:rPr>
        <w:t xml:space="preserve"> </w:t>
      </w:r>
      <w:r w:rsidRPr="008858B4">
        <w:t>be executed by</w:t>
      </w:r>
      <w:r w:rsidRPr="00AF2304">
        <w:rPr>
          <w:spacing w:val="-2"/>
        </w:rPr>
        <w:t xml:space="preserve"> </w:t>
      </w:r>
      <w:r w:rsidRPr="008858B4">
        <w:t>a person</w:t>
      </w:r>
      <w:r w:rsidRPr="00AF2304">
        <w:rPr>
          <w:spacing w:val="-2"/>
        </w:rPr>
        <w:t xml:space="preserve"> </w:t>
      </w:r>
      <w:r w:rsidRPr="008858B4">
        <w:t>connected with</w:t>
      </w:r>
      <w:r w:rsidRPr="00AF2304">
        <w:rPr>
          <w:spacing w:val="-3"/>
        </w:rPr>
        <w:t xml:space="preserve"> </w:t>
      </w:r>
      <w:r w:rsidRPr="008858B4">
        <w:t>the</w:t>
      </w:r>
      <w:r w:rsidRPr="00AF2304">
        <w:rPr>
          <w:spacing w:val="-2"/>
        </w:rPr>
        <w:t xml:space="preserve"> </w:t>
      </w:r>
      <w:r w:rsidRPr="008858B4">
        <w:t>conduct</w:t>
      </w:r>
      <w:r w:rsidRPr="00AF2304">
        <w:rPr>
          <w:spacing w:val="1"/>
        </w:rPr>
        <w:t xml:space="preserve"> </w:t>
      </w:r>
      <w:r w:rsidRPr="008858B4">
        <w:rPr>
          <w:spacing w:val="-2"/>
        </w:rPr>
        <w:t xml:space="preserve">of </w:t>
      </w:r>
      <w:r w:rsidRPr="008858B4">
        <w:t>an</w:t>
      </w:r>
      <w:r w:rsidRPr="00AF2304">
        <w:rPr>
          <w:spacing w:val="53"/>
        </w:rPr>
        <w:t xml:space="preserve"> </w:t>
      </w:r>
      <w:r w:rsidRPr="008858B4">
        <w:t>intelligence</w:t>
      </w:r>
      <w:r w:rsidRPr="00AF2304">
        <w:rPr>
          <w:spacing w:val="-2"/>
        </w:rPr>
        <w:t xml:space="preserve"> </w:t>
      </w:r>
      <w:r w:rsidRPr="008858B4">
        <w:t>or</w:t>
      </w:r>
      <w:r w:rsidRPr="00AF2304">
        <w:rPr>
          <w:spacing w:val="-2"/>
        </w:rPr>
        <w:t xml:space="preserve"> </w:t>
      </w:r>
      <w:r w:rsidRPr="008858B4">
        <w:t xml:space="preserve">intelligence-related </w:t>
      </w:r>
      <w:r w:rsidRPr="008858B4">
        <w:rPr>
          <w:spacing w:val="-2"/>
        </w:rPr>
        <w:t>activity,</w:t>
      </w:r>
      <w:r w:rsidRPr="008858B4">
        <w:t xml:space="preserve"> other than</w:t>
      </w:r>
      <w:r w:rsidRPr="00AF2304">
        <w:rPr>
          <w:spacing w:val="-2"/>
        </w:rPr>
        <w:t xml:space="preserve"> </w:t>
      </w:r>
      <w:r w:rsidRPr="008858B4">
        <w:t>an employee or officer of</w:t>
      </w:r>
      <w:r w:rsidRPr="00AF2304">
        <w:rPr>
          <w:spacing w:val="-2"/>
        </w:rPr>
        <w:t xml:space="preserve"> </w:t>
      </w:r>
      <w:r w:rsidRPr="008858B4">
        <w:t>the United</w:t>
      </w:r>
      <w:r w:rsidR="00D03CBD">
        <w:t xml:space="preserve"> </w:t>
      </w:r>
      <w:r w:rsidR="0012225B">
        <w:t>States g</w:t>
      </w:r>
      <w:r w:rsidRPr="008858B4">
        <w:t xml:space="preserve">overnment, </w:t>
      </w:r>
      <w:r w:rsidRPr="008858B4">
        <w:rPr>
          <w:spacing w:val="-2"/>
        </w:rPr>
        <w:t xml:space="preserve">may </w:t>
      </w:r>
      <w:r w:rsidRPr="008858B4">
        <w:t>contain provisions appropriate to</w:t>
      </w:r>
      <w:r w:rsidRPr="00AF2304">
        <w:rPr>
          <w:spacing w:val="-3"/>
        </w:rPr>
        <w:t xml:space="preserve"> </w:t>
      </w:r>
      <w:r w:rsidRPr="008858B4">
        <w:t>the particular</w:t>
      </w:r>
      <w:r w:rsidRPr="00AF2304">
        <w:rPr>
          <w:spacing w:val="1"/>
        </w:rPr>
        <w:t xml:space="preserve"> </w:t>
      </w:r>
      <w:r w:rsidRPr="008858B4">
        <w:t>activity</w:t>
      </w:r>
      <w:r w:rsidRPr="00AF2304">
        <w:rPr>
          <w:spacing w:val="-3"/>
        </w:rPr>
        <w:t xml:space="preserve"> </w:t>
      </w:r>
      <w:r w:rsidRPr="008858B4">
        <w:t>for which</w:t>
      </w:r>
      <w:r w:rsidRPr="00AF2304">
        <w:rPr>
          <w:spacing w:val="53"/>
        </w:rPr>
        <w:t xml:space="preserve"> </w:t>
      </w:r>
      <w:r w:rsidRPr="008858B4">
        <w:t>such document</w:t>
      </w:r>
      <w:r w:rsidRPr="00AF2304">
        <w:rPr>
          <w:spacing w:val="1"/>
        </w:rPr>
        <w:t xml:space="preserve"> </w:t>
      </w:r>
      <w:r w:rsidRPr="008858B4">
        <w:t>is</w:t>
      </w:r>
      <w:r w:rsidRPr="00AF2304">
        <w:rPr>
          <w:spacing w:val="-2"/>
        </w:rPr>
        <w:t xml:space="preserve"> </w:t>
      </w:r>
      <w:r w:rsidRPr="008858B4">
        <w:t xml:space="preserve">to </w:t>
      </w:r>
      <w:r w:rsidRPr="008858B4">
        <w:rPr>
          <w:spacing w:val="-2"/>
        </w:rPr>
        <w:t>be</w:t>
      </w:r>
      <w:r w:rsidRPr="008858B4">
        <w:t xml:space="preserve"> used. Such</w:t>
      </w:r>
      <w:r w:rsidRPr="00AF2304">
        <w:rPr>
          <w:spacing w:val="-3"/>
        </w:rPr>
        <w:t xml:space="preserve"> </w:t>
      </w:r>
      <w:r w:rsidRPr="008858B4">
        <w:t>form</w:t>
      </w:r>
      <w:r w:rsidRPr="00AF2304">
        <w:rPr>
          <w:spacing w:val="-4"/>
        </w:rPr>
        <w:t xml:space="preserve"> </w:t>
      </w:r>
      <w:r w:rsidRPr="008858B4">
        <w:lastRenderedPageBreak/>
        <w:t>or agreement</w:t>
      </w:r>
      <w:r w:rsidRPr="00AF2304">
        <w:rPr>
          <w:spacing w:val="-2"/>
        </w:rPr>
        <w:t xml:space="preserve"> </w:t>
      </w:r>
      <w:r w:rsidRPr="008858B4">
        <w:t>shall, at</w:t>
      </w:r>
      <w:r w:rsidRPr="00AF2304">
        <w:rPr>
          <w:spacing w:val="1"/>
        </w:rPr>
        <w:t xml:space="preserve"> </w:t>
      </w:r>
      <w:r w:rsidRPr="008858B4">
        <w:t xml:space="preserve">a </w:t>
      </w:r>
      <w:r w:rsidRPr="008858B4">
        <w:rPr>
          <w:spacing w:val="-2"/>
        </w:rPr>
        <w:t>minimum,</w:t>
      </w:r>
      <w:r w:rsidRPr="008858B4">
        <w:t xml:space="preserve"> require that</w:t>
      </w:r>
      <w:r w:rsidRPr="00AF2304">
        <w:rPr>
          <w:spacing w:val="-2"/>
        </w:rPr>
        <w:t xml:space="preserve"> </w:t>
      </w:r>
      <w:r w:rsidRPr="008858B4">
        <w:t>the</w:t>
      </w:r>
      <w:r w:rsidRPr="00AF2304">
        <w:rPr>
          <w:spacing w:val="47"/>
        </w:rPr>
        <w:t xml:space="preserve"> </w:t>
      </w:r>
      <w:r w:rsidRPr="008858B4">
        <w:t>person will</w:t>
      </w:r>
      <w:r w:rsidRPr="00AF2304">
        <w:rPr>
          <w:spacing w:val="1"/>
        </w:rPr>
        <w:t xml:space="preserve"> </w:t>
      </w:r>
      <w:r w:rsidRPr="008858B4">
        <w:t>not</w:t>
      </w:r>
      <w:r w:rsidRPr="00AF2304">
        <w:rPr>
          <w:spacing w:val="1"/>
        </w:rPr>
        <w:t xml:space="preserve"> </w:t>
      </w:r>
      <w:r w:rsidRPr="008858B4">
        <w:t>disclose any</w:t>
      </w:r>
      <w:r w:rsidRPr="00AF2304">
        <w:rPr>
          <w:spacing w:val="-3"/>
        </w:rPr>
        <w:t xml:space="preserve"> </w:t>
      </w:r>
      <w:r w:rsidRPr="008858B4">
        <w:t>classified</w:t>
      </w:r>
      <w:r w:rsidRPr="00AF2304">
        <w:rPr>
          <w:spacing w:val="-2"/>
        </w:rPr>
        <w:t xml:space="preserve"> </w:t>
      </w:r>
      <w:r w:rsidRPr="008858B4">
        <w:t>information</w:t>
      </w:r>
      <w:r w:rsidRPr="00AF2304">
        <w:rPr>
          <w:spacing w:val="-3"/>
        </w:rPr>
        <w:t xml:space="preserve"> </w:t>
      </w:r>
      <w:r w:rsidRPr="008858B4">
        <w:t>received in</w:t>
      </w:r>
      <w:r w:rsidRPr="00AF2304">
        <w:rPr>
          <w:spacing w:val="-3"/>
        </w:rPr>
        <w:t xml:space="preserve"> </w:t>
      </w:r>
      <w:r w:rsidRPr="008858B4">
        <w:t>the</w:t>
      </w:r>
      <w:r w:rsidRPr="00AF2304">
        <w:rPr>
          <w:spacing w:val="-2"/>
        </w:rPr>
        <w:t xml:space="preserve"> </w:t>
      </w:r>
      <w:r w:rsidRPr="008858B4">
        <w:t xml:space="preserve">course </w:t>
      </w:r>
      <w:r w:rsidRPr="008858B4">
        <w:rPr>
          <w:spacing w:val="-2"/>
        </w:rPr>
        <w:t>of</w:t>
      </w:r>
      <w:r w:rsidRPr="008858B4">
        <w:t xml:space="preserve"> such</w:t>
      </w:r>
      <w:r w:rsidRPr="00AF2304">
        <w:rPr>
          <w:spacing w:val="-2"/>
        </w:rPr>
        <w:t xml:space="preserve"> </w:t>
      </w:r>
      <w:r w:rsidRPr="008858B4">
        <w:t>activity</w:t>
      </w:r>
      <w:r w:rsidRPr="00AF2304">
        <w:rPr>
          <w:spacing w:val="69"/>
        </w:rPr>
        <w:t xml:space="preserve"> </w:t>
      </w:r>
      <w:r w:rsidRPr="008858B4">
        <w:t>unless specifically</w:t>
      </w:r>
      <w:r w:rsidRPr="00AF2304">
        <w:rPr>
          <w:spacing w:val="-3"/>
        </w:rPr>
        <w:t xml:space="preserve"> </w:t>
      </w:r>
      <w:r w:rsidRPr="008858B4">
        <w:t xml:space="preserve">authorized to </w:t>
      </w:r>
      <w:r w:rsidRPr="008858B4">
        <w:rPr>
          <w:spacing w:val="-2"/>
        </w:rPr>
        <w:t>do</w:t>
      </w:r>
      <w:r w:rsidRPr="008858B4">
        <w:t xml:space="preserve"> so by</w:t>
      </w:r>
      <w:r w:rsidRPr="00AF2304">
        <w:rPr>
          <w:spacing w:val="-2"/>
        </w:rPr>
        <w:t xml:space="preserve"> </w:t>
      </w:r>
      <w:r w:rsidRPr="008858B4">
        <w:t>the United States</w:t>
      </w:r>
      <w:r w:rsidRPr="00AF2304">
        <w:rPr>
          <w:spacing w:val="-2"/>
        </w:rPr>
        <w:t xml:space="preserve"> </w:t>
      </w:r>
      <w:r w:rsidR="0012225B">
        <w:t>g</w:t>
      </w:r>
      <w:r w:rsidRPr="008858B4">
        <w:t>overnment. Such nondisclosure</w:t>
      </w:r>
      <w:r w:rsidRPr="00AF2304">
        <w:rPr>
          <w:spacing w:val="53"/>
        </w:rPr>
        <w:t xml:space="preserve"> </w:t>
      </w:r>
      <w:r w:rsidRPr="008858B4">
        <w:t>or confidentiality</w:t>
      </w:r>
      <w:r w:rsidRPr="00AF2304">
        <w:rPr>
          <w:spacing w:val="-3"/>
        </w:rPr>
        <w:t xml:space="preserve"> </w:t>
      </w:r>
      <w:r w:rsidRPr="008858B4">
        <w:t>forms shall</w:t>
      </w:r>
      <w:r w:rsidRPr="00AF2304">
        <w:rPr>
          <w:spacing w:val="1"/>
        </w:rPr>
        <w:t xml:space="preserve"> </w:t>
      </w:r>
      <w:r w:rsidRPr="008858B4">
        <w:t>also</w:t>
      </w:r>
      <w:r w:rsidRPr="008858B4">
        <w:rPr>
          <w:spacing w:val="-2"/>
        </w:rPr>
        <w:t xml:space="preserve"> make</w:t>
      </w:r>
      <w:r w:rsidRPr="008858B4">
        <w:t xml:space="preserve"> it</w:t>
      </w:r>
      <w:r w:rsidRPr="00AF2304">
        <w:rPr>
          <w:spacing w:val="1"/>
        </w:rPr>
        <w:t xml:space="preserve"> </w:t>
      </w:r>
      <w:r w:rsidRPr="008858B4">
        <w:t>clear</w:t>
      </w:r>
      <w:r w:rsidRPr="00AF2304">
        <w:rPr>
          <w:spacing w:val="-2"/>
        </w:rPr>
        <w:t xml:space="preserve"> </w:t>
      </w:r>
      <w:r w:rsidRPr="008858B4">
        <w:t>that</w:t>
      </w:r>
      <w:r w:rsidRPr="00AF2304">
        <w:rPr>
          <w:spacing w:val="1"/>
        </w:rPr>
        <w:t xml:space="preserve"> </w:t>
      </w:r>
      <w:r w:rsidRPr="008858B4">
        <w:t>they</w:t>
      </w:r>
      <w:r w:rsidRPr="00AF2304">
        <w:rPr>
          <w:spacing w:val="-3"/>
        </w:rPr>
        <w:t xml:space="preserve"> </w:t>
      </w:r>
      <w:r w:rsidRPr="008858B4">
        <w:t>do not</w:t>
      </w:r>
      <w:r w:rsidRPr="00AF2304">
        <w:rPr>
          <w:spacing w:val="1"/>
        </w:rPr>
        <w:t xml:space="preserve"> </w:t>
      </w:r>
      <w:r w:rsidRPr="008858B4">
        <w:t>bar disclosures</w:t>
      </w:r>
      <w:r w:rsidRPr="00AF2304">
        <w:rPr>
          <w:spacing w:val="-2"/>
        </w:rPr>
        <w:t xml:space="preserve"> </w:t>
      </w:r>
      <w:r w:rsidRPr="008858B4">
        <w:t>to</w:t>
      </w:r>
      <w:r w:rsidRPr="00AF2304">
        <w:rPr>
          <w:spacing w:val="-3"/>
        </w:rPr>
        <w:t xml:space="preserve"> </w:t>
      </w:r>
      <w:r w:rsidRPr="008858B4">
        <w:t>Congress, or</w:t>
      </w:r>
      <w:r w:rsidRPr="00AF2304">
        <w:rPr>
          <w:spacing w:val="63"/>
        </w:rPr>
        <w:t xml:space="preserve"> </w:t>
      </w:r>
      <w:r w:rsidRPr="008858B4">
        <w:t>to an</w:t>
      </w:r>
      <w:r w:rsidRPr="00AF2304">
        <w:rPr>
          <w:spacing w:val="-2"/>
        </w:rPr>
        <w:t xml:space="preserve"> </w:t>
      </w:r>
      <w:r w:rsidRPr="008858B4">
        <w:t>authorized official</w:t>
      </w:r>
      <w:r w:rsidRPr="00AF2304">
        <w:rPr>
          <w:spacing w:val="1"/>
        </w:rPr>
        <w:t xml:space="preserve"> </w:t>
      </w:r>
      <w:r w:rsidRPr="008858B4">
        <w:rPr>
          <w:spacing w:val="-2"/>
        </w:rPr>
        <w:t xml:space="preserve">of </w:t>
      </w:r>
      <w:r w:rsidRPr="008858B4">
        <w:t>an executive agency</w:t>
      </w:r>
      <w:r w:rsidRPr="00AF2304">
        <w:rPr>
          <w:spacing w:val="-3"/>
        </w:rPr>
        <w:t xml:space="preserve"> </w:t>
      </w:r>
      <w:r w:rsidRPr="008858B4">
        <w:t>or</w:t>
      </w:r>
      <w:r w:rsidRPr="00AF2304">
        <w:rPr>
          <w:spacing w:val="4"/>
        </w:rPr>
        <w:t xml:space="preserve"> </w:t>
      </w:r>
      <w:r w:rsidRPr="008858B4">
        <w:t>the</w:t>
      </w:r>
      <w:r w:rsidRPr="00AF2304">
        <w:rPr>
          <w:spacing w:val="-2"/>
        </w:rPr>
        <w:t xml:space="preserve"> </w:t>
      </w:r>
      <w:r w:rsidRPr="008858B4">
        <w:t>Department</w:t>
      </w:r>
      <w:r w:rsidRPr="00AF2304">
        <w:rPr>
          <w:spacing w:val="1"/>
        </w:rPr>
        <w:t xml:space="preserve"> </w:t>
      </w:r>
      <w:r w:rsidRPr="008858B4">
        <w:t>of</w:t>
      </w:r>
      <w:r w:rsidRPr="00AF2304">
        <w:rPr>
          <w:spacing w:val="-2"/>
        </w:rPr>
        <w:t xml:space="preserve"> </w:t>
      </w:r>
      <w:r w:rsidRPr="008858B4">
        <w:t>Justice, that</w:t>
      </w:r>
      <w:r w:rsidRPr="00AF2304">
        <w:rPr>
          <w:spacing w:val="-2"/>
        </w:rPr>
        <w:t xml:space="preserve"> </w:t>
      </w:r>
      <w:r w:rsidRPr="008858B4">
        <w:t>are essential to reporting</w:t>
      </w:r>
      <w:r w:rsidRPr="00AF2304">
        <w:rPr>
          <w:spacing w:val="-3"/>
        </w:rPr>
        <w:t xml:space="preserve"> </w:t>
      </w:r>
      <w:r w:rsidRPr="008858B4">
        <w:t>a substantial</w:t>
      </w:r>
      <w:r w:rsidRPr="00AF2304">
        <w:rPr>
          <w:spacing w:val="1"/>
        </w:rPr>
        <w:t xml:space="preserve"> </w:t>
      </w:r>
      <w:r w:rsidRPr="008858B4">
        <w:t>violation</w:t>
      </w:r>
      <w:r w:rsidRPr="00AF2304">
        <w:rPr>
          <w:spacing w:val="-3"/>
        </w:rPr>
        <w:t xml:space="preserve"> </w:t>
      </w:r>
      <w:r w:rsidRPr="008858B4">
        <w:t>of</w:t>
      </w:r>
      <w:r w:rsidRPr="00AF2304">
        <w:rPr>
          <w:spacing w:val="-2"/>
        </w:rPr>
        <w:t xml:space="preserve"> </w:t>
      </w:r>
      <w:r w:rsidRPr="008858B4">
        <w:t>law.</w:t>
      </w:r>
    </w:p>
    <w:p w14:paraId="5AF3E83F" w14:textId="77777777" w:rsidR="00D7486C" w:rsidRPr="008858B4" w:rsidRDefault="00D7486C" w:rsidP="008858B4">
      <w:pPr>
        <w:pStyle w:val="ListParagraph"/>
        <w:ind w:left="764"/>
      </w:pPr>
    </w:p>
    <w:p w14:paraId="5A219F2A" w14:textId="72C65E6C" w:rsidR="00B07932" w:rsidRPr="00872882" w:rsidRDefault="004E672B" w:rsidP="004D5367">
      <w:pPr>
        <w:pStyle w:val="FOAHeading3"/>
        <w:numPr>
          <w:ilvl w:val="0"/>
          <w:numId w:val="48"/>
        </w:numPr>
        <w:ind w:left="1440"/>
        <w:outlineLvl w:val="2"/>
      </w:pPr>
      <w:bookmarkStart w:id="646" w:name="_Toc519602428"/>
      <w:bookmarkStart w:id="647" w:name="_Toc176864514"/>
      <w:r w:rsidRPr="00C72CE2">
        <w:t>Statement of Federal Stewardship</w:t>
      </w:r>
      <w:bookmarkEnd w:id="646"/>
      <w:bookmarkEnd w:id="647"/>
    </w:p>
    <w:p w14:paraId="56E3E5C6" w14:textId="17FFE5FE" w:rsidR="00B07932" w:rsidRPr="00AF2304" w:rsidRDefault="004E672B" w:rsidP="00A53BBC">
      <w:pPr>
        <w:pStyle w:val="FOATemplateBody"/>
        <w:ind w:left="1440"/>
        <w:rPr>
          <w:rFonts w:asciiTheme="minorHAnsi" w:hAnsiTheme="minorHAnsi"/>
        </w:rPr>
      </w:pPr>
      <w:bookmarkStart w:id="648" w:name="_Toc378068050"/>
      <w:r w:rsidRPr="00AF2304">
        <w:rPr>
          <w:rFonts w:asciiTheme="minorHAnsi" w:hAnsiTheme="minorHAnsi"/>
        </w:rPr>
        <w:t xml:space="preserve">EERE will exercise normal </w:t>
      </w:r>
      <w:r w:rsidR="001F169D">
        <w:rPr>
          <w:rFonts w:asciiTheme="minorHAnsi" w:hAnsiTheme="minorHAnsi"/>
        </w:rPr>
        <w:t>f</w:t>
      </w:r>
      <w:r w:rsidR="001F169D" w:rsidRPr="00AF2304">
        <w:rPr>
          <w:rFonts w:asciiTheme="minorHAnsi" w:hAnsiTheme="minorHAnsi"/>
        </w:rPr>
        <w:t xml:space="preserve">ederal </w:t>
      </w:r>
      <w:r w:rsidRPr="00AF2304">
        <w:rPr>
          <w:rFonts w:asciiTheme="minorHAnsi" w:hAnsiTheme="minorHAnsi"/>
        </w:rPr>
        <w:t xml:space="preserve">stewardship in overseeing the project activities performed under EERE </w:t>
      </w:r>
      <w:r w:rsidR="00942A1A">
        <w:rPr>
          <w:rFonts w:asciiTheme="minorHAnsi" w:hAnsiTheme="minorHAnsi"/>
        </w:rPr>
        <w:t>a</w:t>
      </w:r>
      <w:r w:rsidR="00942A1A" w:rsidRPr="00AF2304">
        <w:rPr>
          <w:rFonts w:asciiTheme="minorHAnsi" w:hAnsiTheme="minorHAnsi"/>
        </w:rPr>
        <w:t>wards</w:t>
      </w:r>
      <w:r w:rsidRPr="00AF2304">
        <w:rPr>
          <w:rFonts w:asciiTheme="minorHAnsi" w:hAnsiTheme="minorHAnsi"/>
        </w:rPr>
        <w:t>. Stewardship Activities include, but are not limited to, conducting site visits; reviewing performance and financial reports</w:t>
      </w:r>
      <w:r w:rsidR="009701C7">
        <w:rPr>
          <w:rFonts w:asciiTheme="minorHAnsi" w:hAnsiTheme="minorHAnsi"/>
        </w:rPr>
        <w:t>;</w:t>
      </w:r>
      <w:r w:rsidRPr="00AF2304">
        <w:rPr>
          <w:rFonts w:asciiTheme="minorHAnsi" w:hAnsiTheme="minorHAnsi"/>
        </w:rPr>
        <w:t xml:space="preserve"> providing assistance and/or temporary intervention in </w:t>
      </w:r>
      <w:r w:rsidR="009701C7">
        <w:rPr>
          <w:rFonts w:asciiTheme="minorHAnsi" w:hAnsiTheme="minorHAnsi"/>
        </w:rPr>
        <w:t>un</w:t>
      </w:r>
      <w:r w:rsidRPr="00AF2304">
        <w:rPr>
          <w:rFonts w:asciiTheme="minorHAnsi" w:hAnsiTheme="minorHAnsi"/>
        </w:rPr>
        <w:t>usual circumstances to correct deficiencies that develop during the project; assuring compliance with terms and conditions; and reviewing technical performance after project completion to ensure that the project objectives have been accomplished.</w:t>
      </w:r>
      <w:bookmarkEnd w:id="648"/>
    </w:p>
    <w:p w14:paraId="7FF2BCC2" w14:textId="77777777" w:rsidR="00B07932" w:rsidRPr="00B5344E" w:rsidRDefault="00B07932" w:rsidP="00A53BBC"/>
    <w:p w14:paraId="1E406AE5" w14:textId="764C8A65" w:rsidR="00B07932" w:rsidRPr="00872882" w:rsidRDefault="004E672B" w:rsidP="004D5367">
      <w:pPr>
        <w:pStyle w:val="FOAHeading3"/>
        <w:numPr>
          <w:ilvl w:val="0"/>
          <w:numId w:val="48"/>
        </w:numPr>
        <w:ind w:left="1440"/>
        <w:outlineLvl w:val="2"/>
      </w:pPr>
      <w:bookmarkStart w:id="649" w:name="_Toc519602429"/>
      <w:bookmarkStart w:id="650" w:name="_Toc176864515"/>
      <w:r w:rsidRPr="00C72CE2">
        <w:t>Statement of Substantial Involvement</w:t>
      </w:r>
      <w:bookmarkEnd w:id="649"/>
      <w:bookmarkEnd w:id="650"/>
    </w:p>
    <w:p w14:paraId="5EF4E9D4" w14:textId="3EC50702" w:rsidR="00B07932" w:rsidRPr="008858B4" w:rsidRDefault="004E672B" w:rsidP="00A53BBC">
      <w:pPr>
        <w:ind w:left="1440"/>
        <w:rPr>
          <w:szCs w:val="24"/>
        </w:rPr>
      </w:pPr>
      <w:r w:rsidRPr="00120F39">
        <w:t>EERE has substantial involvement in work perform</w:t>
      </w:r>
      <w:r w:rsidRPr="009061D6">
        <w:t xml:space="preserve">ed under </w:t>
      </w:r>
      <w:r w:rsidR="00942A1A">
        <w:t>a</w:t>
      </w:r>
      <w:r w:rsidR="00942A1A" w:rsidRPr="009061D6">
        <w:t xml:space="preserve">wards </w:t>
      </w:r>
      <w:r w:rsidRPr="009061D6">
        <w:t>made as a result of this FOA.</w:t>
      </w:r>
      <w:r w:rsidR="001A3502">
        <w:t xml:space="preserve"> </w:t>
      </w:r>
      <w:r w:rsidRPr="009061D6">
        <w:t xml:space="preserve">EERE does not limit its involvement to the administrative requirements of the </w:t>
      </w:r>
      <w:r w:rsidR="00942A1A">
        <w:t>a</w:t>
      </w:r>
      <w:r w:rsidR="00942A1A" w:rsidRPr="009061D6">
        <w:t>ward</w:t>
      </w:r>
      <w:r w:rsidRPr="009061D6">
        <w:t>. Instead, EERE has substantial involvement in the direction and redirection of the technical aspects of the project. Substantial involvement includes, but is not limited to, the following:</w:t>
      </w:r>
    </w:p>
    <w:p w14:paraId="74BB5E4D" w14:textId="77777777" w:rsidR="00B07932" w:rsidRDefault="00B07932" w:rsidP="005817D3">
      <w:pPr>
        <w:ind w:left="1440"/>
        <w:rPr>
          <w:szCs w:val="24"/>
        </w:rPr>
      </w:pPr>
    </w:p>
    <w:p w14:paraId="531DAC94" w14:textId="1B8B263F" w:rsidR="00B07932" w:rsidRDefault="004E672B" w:rsidP="004E672B">
      <w:pPr>
        <w:pStyle w:val="ListParagraph"/>
        <w:numPr>
          <w:ilvl w:val="0"/>
          <w:numId w:val="21"/>
        </w:numPr>
        <w:autoSpaceDN w:val="0"/>
        <w:spacing w:after="240"/>
        <w:ind w:left="1800"/>
        <w:contextualSpacing w:val="0"/>
      </w:pPr>
      <w:r w:rsidRPr="00120F39">
        <w:t xml:space="preserve">EERE shares responsibility with the recipient for the management, control, direction, and performance of the </w:t>
      </w:r>
      <w:r w:rsidR="00B27482">
        <w:t>p</w:t>
      </w:r>
      <w:r w:rsidR="00B27482" w:rsidRPr="00120F39">
        <w:t>roject</w:t>
      </w:r>
      <w:r w:rsidRPr="00120F39">
        <w:t>.</w:t>
      </w:r>
    </w:p>
    <w:p w14:paraId="28971E54" w14:textId="5EA62159" w:rsidR="00B07932" w:rsidRDefault="004E672B" w:rsidP="004E672B">
      <w:pPr>
        <w:pStyle w:val="ListParagraph"/>
        <w:numPr>
          <w:ilvl w:val="0"/>
          <w:numId w:val="21"/>
        </w:numPr>
        <w:autoSpaceDN w:val="0"/>
        <w:spacing w:after="240"/>
        <w:ind w:left="1800"/>
        <w:contextualSpacing w:val="0"/>
      </w:pPr>
      <w:r w:rsidRPr="00120F39">
        <w:t>EERE may int</w:t>
      </w:r>
      <w:r w:rsidRPr="009061D6">
        <w:t xml:space="preserve">ervene in the conduct or performance of work under this </w:t>
      </w:r>
      <w:r w:rsidR="00942A1A">
        <w:t>a</w:t>
      </w:r>
      <w:r w:rsidR="00942A1A" w:rsidRPr="009061D6">
        <w:t xml:space="preserve">ward </w:t>
      </w:r>
      <w:r w:rsidRPr="009061D6">
        <w:t>for programmatic reasons.</w:t>
      </w:r>
      <w:r w:rsidR="001A3502">
        <w:t xml:space="preserve"> </w:t>
      </w:r>
      <w:r w:rsidRPr="009061D6">
        <w:t>Intervention includes the interruption or modification of the conduct or performance of project activities.</w:t>
      </w:r>
    </w:p>
    <w:p w14:paraId="06B72CEE" w14:textId="2B19ADDF" w:rsidR="00B07932" w:rsidRDefault="004E672B" w:rsidP="004E672B">
      <w:pPr>
        <w:pStyle w:val="ListParagraph"/>
        <w:numPr>
          <w:ilvl w:val="0"/>
          <w:numId w:val="21"/>
        </w:numPr>
        <w:autoSpaceDN w:val="0"/>
        <w:spacing w:after="240"/>
        <w:ind w:left="1800"/>
        <w:contextualSpacing w:val="0"/>
      </w:pPr>
      <w:r w:rsidRPr="00120F39">
        <w:t xml:space="preserve">EERE may redirect or discontinue funding the </w:t>
      </w:r>
      <w:r w:rsidR="00B27482">
        <w:t>p</w:t>
      </w:r>
      <w:r w:rsidR="00B27482" w:rsidRPr="00120F39">
        <w:t xml:space="preserve">roject </w:t>
      </w:r>
      <w:r w:rsidRPr="00120F39">
        <w:t>based</w:t>
      </w:r>
      <w:r w:rsidRPr="009061D6">
        <w:t xml:space="preserve"> on the outcome of EERE’s evaluation of the </w:t>
      </w:r>
      <w:r w:rsidR="00B27482">
        <w:t>p</w:t>
      </w:r>
      <w:r w:rsidR="00B27482" w:rsidRPr="009061D6">
        <w:t xml:space="preserve">roject </w:t>
      </w:r>
      <w:r w:rsidRPr="009061D6">
        <w:t>at the Go/No</w:t>
      </w:r>
      <w:r w:rsidR="001C1BE4" w:rsidRPr="009061D6">
        <w:t>-</w:t>
      </w:r>
      <w:r w:rsidRPr="009061D6">
        <w:t xml:space="preserve">Go decision point(s). </w:t>
      </w:r>
    </w:p>
    <w:p w14:paraId="7C0DAD20" w14:textId="27FA526A" w:rsidR="00B07932" w:rsidRPr="008858B4" w:rsidRDefault="004E672B" w:rsidP="008858B4">
      <w:pPr>
        <w:pStyle w:val="ListParagraph"/>
        <w:numPr>
          <w:ilvl w:val="0"/>
          <w:numId w:val="21"/>
        </w:numPr>
        <w:autoSpaceDN w:val="0"/>
        <w:spacing w:after="240"/>
        <w:ind w:left="1800"/>
        <w:contextualSpacing w:val="0"/>
      </w:pPr>
      <w:r w:rsidRPr="00120F39">
        <w:t>EERE participates in major project decision-making processes.</w:t>
      </w:r>
    </w:p>
    <w:p w14:paraId="33B79CA0" w14:textId="0C891D18" w:rsidR="00B07932" w:rsidRPr="0036164D" w:rsidRDefault="004E672B" w:rsidP="004D5367">
      <w:pPr>
        <w:pStyle w:val="FOAHeading3"/>
        <w:numPr>
          <w:ilvl w:val="0"/>
          <w:numId w:val="48"/>
        </w:numPr>
        <w:ind w:left="1440"/>
        <w:outlineLvl w:val="2"/>
      </w:pPr>
      <w:bookmarkStart w:id="651" w:name="_Toc519602430"/>
      <w:bookmarkStart w:id="652" w:name="_Toc176864516"/>
      <w:r w:rsidRPr="0036164D">
        <w:t>Intellectual Property Management Plan</w:t>
      </w:r>
      <w:bookmarkEnd w:id="651"/>
      <w:bookmarkEnd w:id="652"/>
    </w:p>
    <w:p w14:paraId="260068E3" w14:textId="531E048B" w:rsidR="00B07932" w:rsidRPr="0036164D" w:rsidRDefault="00216E1C" w:rsidP="00A53BBC">
      <w:pPr>
        <w:ind w:left="1440"/>
      </w:pPr>
      <w:r w:rsidRPr="008B0D95">
        <w:t>As a quarter 1 milestone if selected for award,</w:t>
      </w:r>
      <w:r w:rsidRPr="008858B4">
        <w:rPr>
          <w:color w:val="0000FF"/>
        </w:rPr>
        <w:t xml:space="preserve"> </w:t>
      </w:r>
      <w:bookmarkStart w:id="653" w:name="_Hlk89357537"/>
      <w:r w:rsidR="004E672B" w:rsidRPr="0036164D">
        <w:t xml:space="preserve">applicants must submit an executed </w:t>
      </w:r>
      <w:r w:rsidR="00524863" w:rsidRPr="0036164D">
        <w:t xml:space="preserve">Intellectual Property Management Plan </w:t>
      </w:r>
      <w:r w:rsidR="00524863">
        <w:t>(</w:t>
      </w:r>
      <w:r w:rsidR="004E672B" w:rsidRPr="0036164D">
        <w:t>IP</w:t>
      </w:r>
      <w:r w:rsidR="002B764F" w:rsidRPr="0036164D">
        <w:t>MP</w:t>
      </w:r>
      <w:r w:rsidR="00524863">
        <w:t>)</w:t>
      </w:r>
      <w:r w:rsidR="004E672B" w:rsidRPr="0036164D">
        <w:t xml:space="preserve"> between the members of the consortia or team</w:t>
      </w:r>
      <w:r w:rsidR="00D07006">
        <w:t>.</w:t>
      </w:r>
    </w:p>
    <w:p w14:paraId="78C4A03B" w14:textId="77777777" w:rsidR="00B07932" w:rsidRPr="0036164D" w:rsidRDefault="00B07932" w:rsidP="00215544">
      <w:pPr>
        <w:ind w:left="1440" w:hanging="180"/>
      </w:pPr>
    </w:p>
    <w:p w14:paraId="2A43FA7C" w14:textId="77777777" w:rsidR="00B07932" w:rsidRPr="0036164D" w:rsidRDefault="004E672B" w:rsidP="00A53BBC">
      <w:pPr>
        <w:ind w:left="1440"/>
      </w:pPr>
      <w:r w:rsidRPr="0036164D">
        <w:t xml:space="preserve">The award will set forth the treatment of and obligations related to intellectual property rights between EERE and the individual members. </w:t>
      </w:r>
      <w:bookmarkStart w:id="654" w:name="_Hlk89357195"/>
      <w:r w:rsidRPr="0036164D">
        <w:t>The IP</w:t>
      </w:r>
      <w:r w:rsidR="002B764F" w:rsidRPr="0036164D">
        <w:t>MP</w:t>
      </w:r>
      <w:r w:rsidRPr="0036164D">
        <w:t xml:space="preserve"> should </w:t>
      </w:r>
      <w:r w:rsidRPr="0036164D">
        <w:lastRenderedPageBreak/>
        <w:t xml:space="preserve">describe how the members will handle intellectual property rights and issues between themselves while ensuring compliance with </w:t>
      </w:r>
      <w:r w:rsidR="001F169D" w:rsidRPr="0036164D">
        <w:t xml:space="preserve">federal </w:t>
      </w:r>
      <w:r w:rsidR="003C2FE2" w:rsidRPr="0036164D">
        <w:t xml:space="preserve">intellectual property </w:t>
      </w:r>
      <w:r w:rsidRPr="0036164D">
        <w:t>laws, regulations, a</w:t>
      </w:r>
      <w:r w:rsidR="00E07B77" w:rsidRPr="0036164D">
        <w:t xml:space="preserve">nd policies </w:t>
      </w:r>
      <w:bookmarkEnd w:id="654"/>
      <w:r w:rsidR="00E07B77" w:rsidRPr="0036164D">
        <w:t xml:space="preserve">(see </w:t>
      </w:r>
      <w:r w:rsidR="00E07B77" w:rsidRPr="008B0D95">
        <w:t>Sections VIII.K</w:t>
      </w:r>
      <w:r w:rsidR="001610A1" w:rsidRPr="008B0D95">
        <w:t>.</w:t>
      </w:r>
      <w:r w:rsidR="00E07B77" w:rsidRPr="008B0D95">
        <w:t>-VIII.N</w:t>
      </w:r>
      <w:r w:rsidR="001610A1" w:rsidRPr="008B0D95">
        <w:t>.</w:t>
      </w:r>
      <w:r w:rsidRPr="0036164D">
        <w:t xml:space="preserve"> of this FOA for more details on applicable </w:t>
      </w:r>
      <w:r w:rsidR="001F169D" w:rsidRPr="0036164D">
        <w:t xml:space="preserve">federal </w:t>
      </w:r>
      <w:r w:rsidR="003C2FE2" w:rsidRPr="0036164D">
        <w:t xml:space="preserve">intellectual property </w:t>
      </w:r>
      <w:r w:rsidRPr="0036164D">
        <w:t>laws and regulations).</w:t>
      </w:r>
      <w:r w:rsidR="001A3502" w:rsidRPr="0036164D">
        <w:t xml:space="preserve"> </w:t>
      </w:r>
      <w:r w:rsidRPr="0036164D">
        <w:t>Guidance regarding the contents of IP</w:t>
      </w:r>
      <w:r w:rsidR="003C2FE2" w:rsidRPr="0036164D">
        <w:t>MP</w:t>
      </w:r>
      <w:r w:rsidRPr="0036164D">
        <w:t xml:space="preserve"> is available from EERE upon request.</w:t>
      </w:r>
    </w:p>
    <w:p w14:paraId="0CED350D" w14:textId="77777777" w:rsidR="00B07932" w:rsidRPr="0036164D" w:rsidRDefault="00B07932" w:rsidP="00A53BBC">
      <w:pPr>
        <w:ind w:left="1440" w:hanging="180"/>
      </w:pPr>
    </w:p>
    <w:p w14:paraId="0318EA93" w14:textId="516656CD" w:rsidR="00B07932" w:rsidRPr="0036164D" w:rsidRDefault="004E672B" w:rsidP="00A53BBC">
      <w:pPr>
        <w:ind w:left="1440"/>
      </w:pPr>
      <w:r w:rsidRPr="0036164D">
        <w:t>The following is a list of examples of items the IP</w:t>
      </w:r>
      <w:r w:rsidR="003C2FE2" w:rsidRPr="0036164D">
        <w:t>MP</w:t>
      </w:r>
      <w:r w:rsidRPr="0036164D">
        <w:t xml:space="preserve"> may cover:</w:t>
      </w:r>
    </w:p>
    <w:p w14:paraId="6DEBBB61" w14:textId="77777777" w:rsidR="00B07932" w:rsidRPr="0036164D" w:rsidRDefault="004E672B" w:rsidP="004E672B">
      <w:pPr>
        <w:pStyle w:val="ListParagraph"/>
        <w:numPr>
          <w:ilvl w:val="0"/>
          <w:numId w:val="24"/>
        </w:numPr>
        <w:ind w:left="1800"/>
      </w:pPr>
      <w:r w:rsidRPr="0036164D">
        <w:t>The treatment of confidential information between members (e.</w:t>
      </w:r>
      <w:r w:rsidR="00B27482" w:rsidRPr="0036164D">
        <w:t>g.</w:t>
      </w:r>
      <w:r w:rsidRPr="0036164D">
        <w:t xml:space="preserve">, the use of </w:t>
      </w:r>
      <w:r w:rsidR="00B27482" w:rsidRPr="0036164D">
        <w:t>NDAs</w:t>
      </w:r>
      <w:r w:rsidRPr="0036164D">
        <w:t>);</w:t>
      </w:r>
    </w:p>
    <w:p w14:paraId="07805801" w14:textId="77777777" w:rsidR="00B07932" w:rsidRPr="0036164D" w:rsidRDefault="004E672B" w:rsidP="004E672B">
      <w:pPr>
        <w:pStyle w:val="ListParagraph"/>
        <w:numPr>
          <w:ilvl w:val="0"/>
          <w:numId w:val="24"/>
        </w:numPr>
        <w:ind w:left="1800"/>
      </w:pPr>
      <w:r w:rsidRPr="0036164D">
        <w:t xml:space="preserve">The treatment of background </w:t>
      </w:r>
      <w:r w:rsidR="003C2FE2" w:rsidRPr="0036164D">
        <w:t xml:space="preserve">intellectual property </w:t>
      </w:r>
      <w:r w:rsidRPr="0036164D">
        <w:t>(e.g., any requirements for identifying it or making it available);</w:t>
      </w:r>
    </w:p>
    <w:p w14:paraId="61BCC7CC" w14:textId="77777777" w:rsidR="00B07932" w:rsidRPr="0036164D" w:rsidRDefault="004E672B" w:rsidP="004E672B">
      <w:pPr>
        <w:pStyle w:val="ListParagraph"/>
        <w:numPr>
          <w:ilvl w:val="0"/>
          <w:numId w:val="24"/>
        </w:numPr>
        <w:ind w:left="1800"/>
      </w:pPr>
      <w:r w:rsidRPr="0036164D">
        <w:t xml:space="preserve">The treatment of inventions made under the </w:t>
      </w:r>
      <w:r w:rsidR="00B27482" w:rsidRPr="0036164D">
        <w:t xml:space="preserve">award </w:t>
      </w:r>
      <w:r w:rsidRPr="0036164D">
        <w:t>(e.g., any requirements for disclosing to the other members</w:t>
      </w:r>
      <w:r w:rsidR="00B27482" w:rsidRPr="0036164D">
        <w:t xml:space="preserve"> on an application</w:t>
      </w:r>
      <w:r w:rsidRPr="0036164D">
        <w:t>, filing patent applications, paying for patent prosecution, and cross-licensing or other licensing arrangements between the members);</w:t>
      </w:r>
    </w:p>
    <w:p w14:paraId="2249C81C" w14:textId="77777777" w:rsidR="00B07932" w:rsidRPr="0036164D" w:rsidRDefault="004E672B" w:rsidP="004E672B">
      <w:pPr>
        <w:pStyle w:val="ListParagraph"/>
        <w:numPr>
          <w:ilvl w:val="0"/>
          <w:numId w:val="24"/>
        </w:numPr>
        <w:ind w:left="1800"/>
      </w:pPr>
      <w:r w:rsidRPr="0036164D">
        <w:t xml:space="preserve">The treatment of data produced, including software, under the </w:t>
      </w:r>
      <w:r w:rsidR="00B27482" w:rsidRPr="0036164D">
        <w:t xml:space="preserve">award </w:t>
      </w:r>
      <w:r w:rsidRPr="0036164D">
        <w:t>(e.g., any publication process or other dissemination strategies, copyrighting strategy or arrangement between members);</w:t>
      </w:r>
    </w:p>
    <w:p w14:paraId="038E9C56" w14:textId="77777777" w:rsidR="00B07932" w:rsidRPr="0036164D" w:rsidRDefault="004E672B" w:rsidP="004E672B">
      <w:pPr>
        <w:pStyle w:val="ListParagraph"/>
        <w:numPr>
          <w:ilvl w:val="0"/>
          <w:numId w:val="24"/>
        </w:numPr>
        <w:ind w:left="1800"/>
      </w:pPr>
      <w:r w:rsidRPr="0036164D">
        <w:t>Any technology transfer and commercialization requirements or arrangements between the members;</w:t>
      </w:r>
    </w:p>
    <w:p w14:paraId="111051A2" w14:textId="77777777" w:rsidR="00B07932" w:rsidRPr="0036164D" w:rsidRDefault="004E672B" w:rsidP="004E672B">
      <w:pPr>
        <w:pStyle w:val="ListParagraph"/>
        <w:numPr>
          <w:ilvl w:val="0"/>
          <w:numId w:val="24"/>
        </w:numPr>
        <w:ind w:left="1800"/>
      </w:pPr>
      <w:r w:rsidRPr="0036164D">
        <w:t>The treatment of any intellectual property issues that may arise due to a change in membership of the consortia or team; and</w:t>
      </w:r>
    </w:p>
    <w:p w14:paraId="3A1864C8" w14:textId="014A55E0" w:rsidR="00B07932" w:rsidRPr="0036164D" w:rsidRDefault="004E672B" w:rsidP="004E672B">
      <w:pPr>
        <w:pStyle w:val="ListParagraph"/>
        <w:numPr>
          <w:ilvl w:val="0"/>
          <w:numId w:val="24"/>
        </w:numPr>
        <w:ind w:left="1800"/>
      </w:pPr>
      <w:r w:rsidRPr="0036164D">
        <w:t>The handling of disputes related to intellectual property between the members.</w:t>
      </w:r>
      <w:bookmarkEnd w:id="653"/>
    </w:p>
    <w:p w14:paraId="54DF1795" w14:textId="77777777" w:rsidR="0082190B" w:rsidRPr="001F33A7" w:rsidRDefault="0082190B"/>
    <w:p w14:paraId="0D98A18C" w14:textId="638248E2" w:rsidR="00B07932" w:rsidRPr="00872882" w:rsidRDefault="004E672B" w:rsidP="004D5367">
      <w:pPr>
        <w:pStyle w:val="FOAHeading3"/>
        <w:numPr>
          <w:ilvl w:val="0"/>
          <w:numId w:val="48"/>
        </w:numPr>
        <w:ind w:left="1440"/>
        <w:outlineLvl w:val="2"/>
      </w:pPr>
      <w:bookmarkStart w:id="655" w:name="_Toc519602431"/>
      <w:bookmarkStart w:id="656" w:name="_Toc176864517"/>
      <w:r w:rsidRPr="00C72CE2">
        <w:t>Subject Invention Utilization Reporting</w:t>
      </w:r>
      <w:bookmarkEnd w:id="655"/>
      <w:bookmarkEnd w:id="656"/>
    </w:p>
    <w:p w14:paraId="337A3959" w14:textId="31BEB58D" w:rsidR="00B07932" w:rsidRPr="008858B4" w:rsidRDefault="00865F7B" w:rsidP="00A53BBC">
      <w:pPr>
        <w:ind w:left="1440"/>
      </w:pPr>
      <w:r>
        <w:t>T</w:t>
      </w:r>
      <w:r w:rsidR="004E672B">
        <w:t xml:space="preserve">o ensure that </w:t>
      </w:r>
      <w:r w:rsidR="00647D5B">
        <w:t>prime recipients</w:t>
      </w:r>
      <w:r w:rsidR="005C21F5">
        <w:t>,</w:t>
      </w:r>
      <w:r w:rsidR="004E672B">
        <w:t xml:space="preserve"> </w:t>
      </w:r>
      <w:r w:rsidR="00496B2A">
        <w:t>subrecipients</w:t>
      </w:r>
      <w:r w:rsidR="005C21F5">
        <w:t>, and contra</w:t>
      </w:r>
      <w:r w:rsidR="2DBBDE1E">
        <w:t>c</w:t>
      </w:r>
      <w:r w:rsidR="005C21F5">
        <w:t>tors</w:t>
      </w:r>
      <w:r w:rsidR="00496B2A">
        <w:t xml:space="preserve"> </w:t>
      </w:r>
      <w:r w:rsidR="004E672B">
        <w:t xml:space="preserve">holding title to subject inventions are taking the appropriate steps to commercialize subject inventions, EERE may require that each </w:t>
      </w:r>
      <w:r w:rsidR="00647D5B">
        <w:t xml:space="preserve">prime recipient </w:t>
      </w:r>
      <w:r w:rsidR="004E672B">
        <w:t>holding title to a subject invention submit annual reports for</w:t>
      </w:r>
      <w:r w:rsidR="006641C5">
        <w:t xml:space="preserve"> ten (</w:t>
      </w:r>
      <w:r w:rsidR="004E672B">
        <w:t>10</w:t>
      </w:r>
      <w:r w:rsidR="006641C5">
        <w:t>)</w:t>
      </w:r>
      <w:r w:rsidR="004E672B">
        <w:t xml:space="preserve"> years from the date the subject invention was disclosed to EERE on the utilization of the subject invention and efforts made by </w:t>
      </w:r>
      <w:r w:rsidR="00647D5B">
        <w:t xml:space="preserve">prime recipient </w:t>
      </w:r>
      <w:r w:rsidR="004E672B">
        <w:t xml:space="preserve">or their licensees or assignees to stimulate such utilization. The reports must include information regarding the status of development, date of first commercial sale or use, gross royalties received by the </w:t>
      </w:r>
      <w:r w:rsidR="00647D5B">
        <w:t>prime recipient</w:t>
      </w:r>
      <w:r w:rsidR="004E672B">
        <w:t>, and such other data and information as EERE may specify.</w:t>
      </w:r>
      <w:r w:rsidR="001A3502" w:rsidRPr="13AD3D27">
        <w:rPr>
          <w:color w:val="000000" w:themeColor="text1"/>
        </w:rPr>
        <w:t xml:space="preserve"> </w:t>
      </w:r>
    </w:p>
    <w:p w14:paraId="72F6DBBA" w14:textId="77777777" w:rsidR="00B07932" w:rsidRPr="008858B4" w:rsidRDefault="00B07932" w:rsidP="008858B4"/>
    <w:p w14:paraId="03586AF5" w14:textId="6C3A9B12" w:rsidR="002504D2" w:rsidRPr="00872882" w:rsidRDefault="004E672B" w:rsidP="004D5367">
      <w:pPr>
        <w:pStyle w:val="FOAHeading3"/>
        <w:numPr>
          <w:ilvl w:val="0"/>
          <w:numId w:val="48"/>
        </w:numPr>
        <w:ind w:left="1440"/>
        <w:outlineLvl w:val="2"/>
      </w:pPr>
      <w:bookmarkStart w:id="657" w:name="_Toc442878457"/>
      <w:bookmarkStart w:id="658" w:name="_Toc519602432"/>
      <w:bookmarkStart w:id="659" w:name="_Toc176864518"/>
      <w:r w:rsidRPr="00C72CE2">
        <w:t>Intellectual Property Provisions</w:t>
      </w:r>
      <w:bookmarkEnd w:id="657"/>
      <w:bookmarkEnd w:id="658"/>
      <w:bookmarkEnd w:id="659"/>
    </w:p>
    <w:p w14:paraId="720BDA32" w14:textId="7FC46F4A" w:rsidR="00B5344E" w:rsidRDefault="004E672B" w:rsidP="00A53BBC">
      <w:pPr>
        <w:ind w:left="1440"/>
      </w:pPr>
      <w:r w:rsidRPr="008858B4">
        <w:t xml:space="preserve">The standard DOE financial assistance intellectual property provisions applicable to the various types of recipients are located at </w:t>
      </w:r>
      <w:hyperlink r:id="rId61" w:history="1">
        <w:r w:rsidR="001C1BE4">
          <w:rPr>
            <w:rStyle w:val="Hyperlink"/>
          </w:rPr>
          <w:t>http://energy.gov/gc/standard-intellectual-property-ip-provisions-financial-assistance-awards</w:t>
        </w:r>
      </w:hyperlink>
      <w:r>
        <w:t xml:space="preserve">. </w:t>
      </w:r>
    </w:p>
    <w:p w14:paraId="4BBE9BE9" w14:textId="77777777" w:rsidR="002504D2" w:rsidRPr="008858B4" w:rsidRDefault="002504D2" w:rsidP="00A53BBC">
      <w:pPr>
        <w:ind w:left="1620"/>
      </w:pPr>
    </w:p>
    <w:p w14:paraId="6A701B46" w14:textId="4DFC597A" w:rsidR="002504D2" w:rsidRPr="00872882" w:rsidRDefault="004E672B" w:rsidP="004D5367">
      <w:pPr>
        <w:pStyle w:val="FOAHeading3"/>
        <w:numPr>
          <w:ilvl w:val="0"/>
          <w:numId w:val="48"/>
        </w:numPr>
        <w:ind w:left="1440"/>
        <w:outlineLvl w:val="2"/>
      </w:pPr>
      <w:bookmarkStart w:id="660" w:name="_Toc517799267"/>
      <w:bookmarkStart w:id="661" w:name="_Toc519602433"/>
      <w:bookmarkStart w:id="662" w:name="_Toc519602599"/>
      <w:bookmarkStart w:id="663" w:name="_Toc520382708"/>
      <w:bookmarkStart w:id="664" w:name="_Toc520455709"/>
      <w:bookmarkStart w:id="665" w:name="_Toc520455879"/>
      <w:bookmarkStart w:id="666" w:name="_Toc442878458"/>
      <w:bookmarkStart w:id="667" w:name="_Toc519602434"/>
      <w:bookmarkStart w:id="668" w:name="_Toc176864519"/>
      <w:bookmarkEnd w:id="660"/>
      <w:bookmarkEnd w:id="661"/>
      <w:bookmarkEnd w:id="662"/>
      <w:bookmarkEnd w:id="663"/>
      <w:bookmarkEnd w:id="664"/>
      <w:bookmarkEnd w:id="665"/>
      <w:r w:rsidRPr="00C72CE2">
        <w:lastRenderedPageBreak/>
        <w:t>Reporting</w:t>
      </w:r>
      <w:bookmarkEnd w:id="666"/>
      <w:bookmarkEnd w:id="667"/>
      <w:bookmarkEnd w:id="668"/>
    </w:p>
    <w:p w14:paraId="69D34044" w14:textId="22D9174C" w:rsidR="00B5344E" w:rsidRDefault="004E672B" w:rsidP="00A53BBC">
      <w:pPr>
        <w:ind w:left="1440"/>
      </w:pPr>
      <w:r w:rsidRPr="008858B4">
        <w:t>Reporting requirements are identified on the Federal Assistance Reporting</w:t>
      </w:r>
      <w:r w:rsidR="001F19A6">
        <w:t xml:space="preserve"> </w:t>
      </w:r>
      <w:r w:rsidRPr="008858B4">
        <w:t xml:space="preserve">Checklist, attached to the award agreement. </w:t>
      </w:r>
    </w:p>
    <w:p w14:paraId="685569DC" w14:textId="77777777" w:rsidR="00B07932" w:rsidRPr="008858B4" w:rsidRDefault="004E672B" w:rsidP="00A53BBC">
      <w:pPr>
        <w:ind w:left="1620"/>
      </w:pPr>
      <w:r>
        <w:t xml:space="preserve"> </w:t>
      </w:r>
    </w:p>
    <w:p w14:paraId="2FCB121C" w14:textId="77777777" w:rsidR="00B07932" w:rsidRPr="00872882" w:rsidRDefault="004E672B" w:rsidP="004D5367">
      <w:pPr>
        <w:pStyle w:val="FOAHeading3"/>
        <w:numPr>
          <w:ilvl w:val="0"/>
          <w:numId w:val="48"/>
        </w:numPr>
        <w:ind w:left="1440"/>
        <w:outlineLvl w:val="2"/>
      </w:pPr>
      <w:bookmarkStart w:id="669" w:name="_Toc519602435"/>
      <w:bookmarkStart w:id="670" w:name="_Toc176864520"/>
      <w:r w:rsidRPr="00C72CE2">
        <w:t>Go/No-Go Review</w:t>
      </w:r>
      <w:bookmarkEnd w:id="669"/>
      <w:bookmarkEnd w:id="670"/>
      <w:r w:rsidRPr="00C72CE2">
        <w:t xml:space="preserve"> </w:t>
      </w:r>
    </w:p>
    <w:p w14:paraId="1C82994F" w14:textId="77102B2F" w:rsidR="00B07932" w:rsidRPr="008858B4" w:rsidRDefault="004E672B" w:rsidP="003E3D5F">
      <w:pPr>
        <w:ind w:left="1440"/>
        <w:rPr>
          <w:szCs w:val="24"/>
        </w:rPr>
      </w:pPr>
      <w:r w:rsidRPr="00120F39">
        <w:t xml:space="preserve">Each project selected under this FOA will be subject to a periodic project evaluation referred to as a Go/No-Go Review. </w:t>
      </w:r>
      <w:r w:rsidR="00657A15">
        <w:t>A Go/No-Go Review is a risk management tool and a project management best practice to ensure that, for the current phase or period of performance, technical success is definitively achieved and potential for success in future phases or periods of performance is evaluated, prior to beginning the execution of future phases.</w:t>
      </w:r>
      <w:r w:rsidR="00657A15" w:rsidRPr="6B59E98D">
        <w:rPr>
          <w:rFonts w:ascii="Calibri" w:eastAsia="Calibri" w:hAnsi="Calibri" w:cs="Calibri"/>
          <w:color w:val="000000" w:themeColor="text1"/>
          <w:sz w:val="21"/>
          <w:szCs w:val="21"/>
        </w:rPr>
        <w:t xml:space="preserve"> </w:t>
      </w:r>
      <w:r w:rsidR="00C10C72" w:rsidRPr="008858B4">
        <w:t xml:space="preserve">At the </w:t>
      </w:r>
      <w:r w:rsidR="00C10C72">
        <w:t>G</w:t>
      </w:r>
      <w:r w:rsidR="00C10C72" w:rsidRPr="008858B4">
        <w:t>o/</w:t>
      </w:r>
      <w:r w:rsidR="00C10C72">
        <w:t>N</w:t>
      </w:r>
      <w:r w:rsidR="00C10C72" w:rsidRPr="008858B4">
        <w:t>o-</w:t>
      </w:r>
      <w:r w:rsidR="00C10C72">
        <w:t>G</w:t>
      </w:r>
      <w:r w:rsidR="00C10C72" w:rsidRPr="008858B4">
        <w:t xml:space="preserve">o decision points, EERE will evaluate project performance, project schedule adherence, meeting milestone objectives, compliance with reporting requirements, and overall contribution to the program goals and objectives. </w:t>
      </w:r>
      <w:r w:rsidRPr="00120F39">
        <w:t>Federal funding beyond the Go/No</w:t>
      </w:r>
      <w:r w:rsidR="00E6224A" w:rsidRPr="009061D6">
        <w:t>-</w:t>
      </w:r>
      <w:r w:rsidRPr="009061D6">
        <w:t xml:space="preserve">Go decision point (continuation funding) is contingent </w:t>
      </w:r>
      <w:r w:rsidR="00E82294">
        <w:t>up</w:t>
      </w:r>
      <w:r w:rsidRPr="009061D6">
        <w:t xml:space="preserve">on </w:t>
      </w:r>
      <w:r w:rsidR="003E3D5F">
        <w:t>(1</w:t>
      </w:r>
      <w:r w:rsidR="003E3D5F" w:rsidRPr="0065782B">
        <w:t xml:space="preserve">) availability of </w:t>
      </w:r>
      <w:r w:rsidR="001F169D">
        <w:t>f</w:t>
      </w:r>
      <w:r w:rsidR="001F169D" w:rsidRPr="0065782B">
        <w:t xml:space="preserve">ederal </w:t>
      </w:r>
      <w:r w:rsidR="003E3D5F" w:rsidRPr="0065782B">
        <w:t>funds appropriated by Congress for</w:t>
      </w:r>
      <w:r w:rsidR="003E3D5F">
        <w:t xml:space="preserve"> the purpose of this program; (2</w:t>
      </w:r>
      <w:r w:rsidR="003E3D5F" w:rsidRPr="0065782B">
        <w:t xml:space="preserve">) the availability of future-year budget authority; </w:t>
      </w:r>
      <w:r w:rsidR="003E3D5F" w:rsidRPr="00120F39">
        <w:t>(3</w:t>
      </w:r>
      <w:r w:rsidR="003E3D5F" w:rsidRPr="009061D6">
        <w:t xml:space="preserve">) </w:t>
      </w:r>
      <w:r w:rsidR="00E82294">
        <w:t xml:space="preserve">recipient’s </w:t>
      </w:r>
      <w:r w:rsidR="003E3D5F" w:rsidRPr="009061D6">
        <w:t>technical progress</w:t>
      </w:r>
      <w:r w:rsidR="00E82294">
        <w:t xml:space="preserve"> compared to the Milestone Summary Table stated in Attachment 1 of the award</w:t>
      </w:r>
      <w:r w:rsidR="003E3D5F" w:rsidRPr="009061D6">
        <w:t>;</w:t>
      </w:r>
      <w:r w:rsidR="001A3502">
        <w:t xml:space="preserve"> </w:t>
      </w:r>
      <w:r w:rsidR="003E3D5F" w:rsidRPr="009061D6">
        <w:t xml:space="preserve">(4) </w:t>
      </w:r>
      <w:r w:rsidR="00E82294">
        <w:t xml:space="preserve">recipient’s </w:t>
      </w:r>
      <w:r w:rsidR="003E3D5F" w:rsidRPr="009061D6">
        <w:t xml:space="preserve">submittal of required reports; (5) </w:t>
      </w:r>
      <w:r w:rsidR="00E82294">
        <w:t xml:space="preserve">recipient’s </w:t>
      </w:r>
      <w:r w:rsidR="003E3D5F" w:rsidRPr="009061D6">
        <w:t>compliance with t</w:t>
      </w:r>
      <w:r w:rsidR="006A6897" w:rsidRPr="009061D6">
        <w:t>he terms and conditions of the a</w:t>
      </w:r>
      <w:r w:rsidR="003E3D5F" w:rsidRPr="009061D6">
        <w:t>ward;</w:t>
      </w:r>
      <w:r w:rsidR="003E3D5F">
        <w:t xml:space="preserve"> (6) EERE’s Go/No-Go decision; (7</w:t>
      </w:r>
      <w:r w:rsidR="003E3D5F" w:rsidRPr="0065782B">
        <w:t xml:space="preserve">) the </w:t>
      </w:r>
      <w:r w:rsidR="00E82294">
        <w:t xml:space="preserve">recipient’s </w:t>
      </w:r>
      <w:r w:rsidR="003E3D5F" w:rsidRPr="0065782B">
        <w:t xml:space="preserve">submission of a </w:t>
      </w:r>
      <w:r w:rsidR="003E3D5F">
        <w:t>continuation application;</w:t>
      </w:r>
      <w:r w:rsidR="00657A15">
        <w:rPr>
          <w:rStyle w:val="FootnoteReference"/>
        </w:rPr>
        <w:footnoteReference w:id="53"/>
      </w:r>
      <w:r w:rsidR="003E3D5F">
        <w:t xml:space="preserve"> and (8</w:t>
      </w:r>
      <w:r w:rsidR="003E3D5F" w:rsidRPr="0065782B">
        <w:t>) written approval of the continuation application by the Contracting Officer.</w:t>
      </w:r>
      <w:r w:rsidR="00604DB0">
        <w:t xml:space="preserve">  </w:t>
      </w:r>
    </w:p>
    <w:p w14:paraId="59403D12" w14:textId="77777777" w:rsidR="00135ADC" w:rsidRDefault="00135ADC" w:rsidP="00A53BBC">
      <w:pPr>
        <w:ind w:left="1440"/>
      </w:pPr>
    </w:p>
    <w:p w14:paraId="1073BF6C" w14:textId="77777777" w:rsidR="00B07932" w:rsidRPr="008858B4" w:rsidRDefault="004E672B" w:rsidP="00A53BBC">
      <w:pPr>
        <w:ind w:left="1440"/>
        <w:rPr>
          <w:szCs w:val="24"/>
        </w:rPr>
      </w:pPr>
      <w:r w:rsidRPr="00120F39">
        <w:t>As a result of the Go/No</w:t>
      </w:r>
      <w:r w:rsidR="00E6224A" w:rsidRPr="009061D6">
        <w:t>-</w:t>
      </w:r>
      <w:r w:rsidRPr="009061D6">
        <w:t>Go Review, DOE may, at its discretion, authorize the following actions:</w:t>
      </w:r>
      <w:r w:rsidR="001A3502">
        <w:t xml:space="preserve"> </w:t>
      </w:r>
      <w:r w:rsidRPr="009061D6">
        <w:t xml:space="preserve">(1) continue to fund the project, contingent upon the availability of funds appropriated by Congress for the purpose of this program and the availability of future-year budget authority; (2) recommend redirection of work under the project; (3) place a hold on </w:t>
      </w:r>
      <w:r w:rsidR="001F169D">
        <w:t>f</w:t>
      </w:r>
      <w:r w:rsidR="001F169D" w:rsidRPr="009061D6">
        <w:t xml:space="preserve">ederal </w:t>
      </w:r>
      <w:r w:rsidRPr="009061D6">
        <w:t xml:space="preserve">funding for the project, pending further supporting data or funding; or (4) discontinue funding the project because of insufficient progress, change in strategic direction, or lack of funding. </w:t>
      </w:r>
    </w:p>
    <w:p w14:paraId="43834A95" w14:textId="77777777" w:rsidR="00B07932" w:rsidRPr="008858B4" w:rsidRDefault="00B07932" w:rsidP="00A53BBC">
      <w:pPr>
        <w:ind w:left="1440"/>
        <w:rPr>
          <w:szCs w:val="24"/>
        </w:rPr>
      </w:pPr>
    </w:p>
    <w:p w14:paraId="1ED10063" w14:textId="12A868A8" w:rsidR="00B07932" w:rsidRPr="008858B4" w:rsidRDefault="004E672B" w:rsidP="00A53BBC">
      <w:pPr>
        <w:ind w:left="1440"/>
      </w:pPr>
      <w:r w:rsidRPr="008858B4">
        <w:t xml:space="preserve">The Go/No-Go decision is distinct from a non-compliance determination. In the event a recipient fails to comply with the requirements of an award, EERE may take appropriate action, including but not limited to, redirecting, </w:t>
      </w:r>
      <w:r w:rsidR="00A440CF" w:rsidRPr="008858B4">
        <w:t>suspending,</w:t>
      </w:r>
      <w:r w:rsidRPr="008858B4">
        <w:t xml:space="preserve"> or terminating the award. </w:t>
      </w:r>
    </w:p>
    <w:p w14:paraId="530889AA" w14:textId="77777777" w:rsidR="00800A5E" w:rsidRPr="00800A5E" w:rsidRDefault="00800A5E" w:rsidP="00A53BBC"/>
    <w:p w14:paraId="09962557" w14:textId="6C2E0761" w:rsidR="00B07932" w:rsidRPr="00872882" w:rsidRDefault="004E672B" w:rsidP="004D5367">
      <w:pPr>
        <w:pStyle w:val="FOAHeading3"/>
        <w:numPr>
          <w:ilvl w:val="0"/>
          <w:numId w:val="48"/>
        </w:numPr>
        <w:ind w:left="1440"/>
        <w:outlineLvl w:val="2"/>
      </w:pPr>
      <w:bookmarkStart w:id="671" w:name="_Toc519602436"/>
      <w:bookmarkStart w:id="672" w:name="_Toc176864521"/>
      <w:r w:rsidRPr="00C72CE2">
        <w:t>Conference</w:t>
      </w:r>
      <w:r w:rsidR="001A3502">
        <w:t xml:space="preserve"> </w:t>
      </w:r>
      <w:r w:rsidRPr="0022038E">
        <w:t>Spending</w:t>
      </w:r>
      <w:bookmarkEnd w:id="671"/>
      <w:bookmarkEnd w:id="672"/>
    </w:p>
    <w:p w14:paraId="60232144" w14:textId="2F5142E7" w:rsidR="00252465" w:rsidRDefault="004E672B" w:rsidP="00A53BBC">
      <w:pPr>
        <w:pStyle w:val="FOATemplateBody"/>
        <w:ind w:left="1440"/>
      </w:pPr>
      <w:r w:rsidRPr="00252465">
        <w:t>The recipient shall not expend any funds on a conference not directly and programmatically related to the purpose for which the grant or cooperative agreement was awarded that would defray</w:t>
      </w:r>
      <w:r w:rsidR="00040BEC">
        <w:t xml:space="preserve"> the cost to the United States g</w:t>
      </w:r>
      <w:r w:rsidRPr="00252465">
        <w:t xml:space="preserve">overnment of a conference held by any Executive branch department, agency, board, commission, or office for which the cost to the </w:t>
      </w:r>
      <w:r w:rsidR="00657A15" w:rsidRPr="00252465">
        <w:t>U</w:t>
      </w:r>
      <w:r w:rsidR="00657A15">
        <w:t>.</w:t>
      </w:r>
      <w:r w:rsidR="00657A15" w:rsidRPr="00252465">
        <w:t>S</w:t>
      </w:r>
      <w:r w:rsidR="00657A15">
        <w:t>.</w:t>
      </w:r>
      <w:r w:rsidR="00657A15" w:rsidRPr="00252465">
        <w:t xml:space="preserve"> </w:t>
      </w:r>
      <w:r w:rsidR="00040BEC">
        <w:t>g</w:t>
      </w:r>
      <w:r w:rsidRPr="00252465">
        <w:t>overnment would otherwise exceed $20,000, thereby circumventing the required notification by the head of any such Executive Branch department, agency, board, commission, or office to the Inspector General (or senior ethics official for any entity without an Inspector General), of the date, location, and number of employees attending such conference.</w:t>
      </w:r>
    </w:p>
    <w:p w14:paraId="3EC0236A" w14:textId="77777777" w:rsidR="00252465" w:rsidRPr="00B5344E" w:rsidRDefault="00252465" w:rsidP="00A53BBC"/>
    <w:p w14:paraId="6C1B810E" w14:textId="300EEC76" w:rsidR="00252465" w:rsidRPr="00872882" w:rsidRDefault="004E672B" w:rsidP="004D5367">
      <w:pPr>
        <w:pStyle w:val="FOAHeading3"/>
        <w:numPr>
          <w:ilvl w:val="0"/>
          <w:numId w:val="48"/>
        </w:numPr>
        <w:ind w:left="1440"/>
        <w:outlineLvl w:val="2"/>
      </w:pPr>
      <w:bookmarkStart w:id="673" w:name="_Toc519602437"/>
      <w:bookmarkStart w:id="674" w:name="_Toc176864522"/>
      <w:r>
        <w:t>Uniform Commercial Code (</w:t>
      </w:r>
      <w:r w:rsidRPr="00C72CE2">
        <w:t>UCC</w:t>
      </w:r>
      <w:r>
        <w:t>)</w:t>
      </w:r>
      <w:r w:rsidRPr="00C72CE2">
        <w:t xml:space="preserve"> Financing Statements</w:t>
      </w:r>
      <w:bookmarkEnd w:id="673"/>
      <w:bookmarkEnd w:id="674"/>
    </w:p>
    <w:p w14:paraId="7632F756" w14:textId="10ED108A" w:rsidR="00800A5E" w:rsidRPr="00AF2304" w:rsidRDefault="004E672B" w:rsidP="00A53BBC">
      <w:pPr>
        <w:pStyle w:val="FOATemplateBody"/>
        <w:ind w:left="1440"/>
        <w:rPr>
          <w:rFonts w:asciiTheme="minorHAnsi" w:hAnsiTheme="minorHAnsi"/>
        </w:rPr>
      </w:pPr>
      <w:r w:rsidRPr="00AF2304">
        <w:rPr>
          <w:rFonts w:asciiTheme="minorHAnsi" w:hAnsiTheme="minorHAnsi"/>
        </w:rPr>
        <w:t xml:space="preserve">Per 2 CFR 910.360 (Real Property and Equipment) when a piece of equipment is purchased by a for-profit recipient or subrecipient with </w:t>
      </w:r>
      <w:r w:rsidR="001F169D">
        <w:rPr>
          <w:rFonts w:asciiTheme="minorHAnsi" w:hAnsiTheme="minorHAnsi"/>
        </w:rPr>
        <w:t>f</w:t>
      </w:r>
      <w:r w:rsidR="001F169D" w:rsidRPr="00AF2304">
        <w:rPr>
          <w:rFonts w:asciiTheme="minorHAnsi" w:hAnsiTheme="minorHAnsi"/>
        </w:rPr>
        <w:t xml:space="preserve">ederal </w:t>
      </w:r>
      <w:r w:rsidR="00A553D7">
        <w:rPr>
          <w:rFonts w:asciiTheme="minorHAnsi" w:hAnsiTheme="minorHAnsi"/>
        </w:rPr>
        <w:t>f</w:t>
      </w:r>
      <w:r w:rsidR="00A553D7" w:rsidRPr="00AF2304">
        <w:rPr>
          <w:rFonts w:asciiTheme="minorHAnsi" w:hAnsiTheme="minorHAnsi"/>
        </w:rPr>
        <w:t>unds</w:t>
      </w:r>
      <w:r w:rsidRPr="00AF2304">
        <w:rPr>
          <w:rFonts w:asciiTheme="minorHAnsi" w:hAnsiTheme="minorHAnsi"/>
        </w:rPr>
        <w:t xml:space="preserve">, and when the </w:t>
      </w:r>
      <w:r w:rsidR="001F169D">
        <w:rPr>
          <w:rFonts w:asciiTheme="minorHAnsi" w:hAnsiTheme="minorHAnsi"/>
        </w:rPr>
        <w:t>f</w:t>
      </w:r>
      <w:r w:rsidR="001F169D" w:rsidRPr="00AF2304">
        <w:rPr>
          <w:rFonts w:asciiTheme="minorHAnsi" w:hAnsiTheme="minorHAnsi"/>
        </w:rPr>
        <w:t xml:space="preserve">ederal </w:t>
      </w:r>
      <w:r w:rsidRPr="00AF2304">
        <w:rPr>
          <w:rFonts w:asciiTheme="minorHAnsi" w:hAnsiTheme="minorHAnsi"/>
        </w:rPr>
        <w:t>share of the financial assistance agreement is more than $1</w:t>
      </w:r>
      <w:r w:rsidR="00865F7B">
        <w:rPr>
          <w:rFonts w:asciiTheme="minorHAnsi" w:hAnsiTheme="minorHAnsi"/>
        </w:rPr>
        <w:t xml:space="preserve"> million</w:t>
      </w:r>
      <w:r w:rsidRPr="00AF2304">
        <w:rPr>
          <w:rFonts w:asciiTheme="minorHAnsi" w:hAnsiTheme="minorHAnsi"/>
        </w:rPr>
        <w:t xml:space="preserve"> the recipient or subrecipient must:</w:t>
      </w:r>
    </w:p>
    <w:p w14:paraId="1C4784D2" w14:textId="77777777" w:rsidR="00800A5E" w:rsidRPr="00186784" w:rsidRDefault="00800A5E" w:rsidP="00A53BBC">
      <w:pPr>
        <w:pStyle w:val="FOATemplateBody"/>
        <w:ind w:left="1440" w:hanging="180"/>
        <w:rPr>
          <w:rFonts w:asciiTheme="minorHAnsi" w:hAnsiTheme="minorHAnsi"/>
        </w:rPr>
      </w:pPr>
    </w:p>
    <w:p w14:paraId="7EBF3963" w14:textId="62E3FE33" w:rsidR="00252465" w:rsidRDefault="004E672B" w:rsidP="00A53BBC">
      <w:pPr>
        <w:pStyle w:val="FOATemplateBody"/>
        <w:ind w:left="1440"/>
        <w:rPr>
          <w:rFonts w:asciiTheme="minorHAnsi" w:hAnsiTheme="minorHAnsi"/>
        </w:rPr>
      </w:pPr>
      <w:r w:rsidRPr="00AF2304">
        <w:rPr>
          <w:rFonts w:asciiTheme="minorHAnsi" w:hAnsiTheme="minorHAnsi"/>
        </w:rPr>
        <w:t>Properly record, and consent to the Department</w:t>
      </w:r>
      <w:r w:rsidR="00865F7B">
        <w:rPr>
          <w:rFonts w:asciiTheme="minorHAnsi" w:hAnsiTheme="minorHAnsi"/>
        </w:rPr>
        <w:t>’</w:t>
      </w:r>
      <w:r w:rsidRPr="00AF2304">
        <w:rPr>
          <w:rFonts w:asciiTheme="minorHAnsi" w:hAnsiTheme="minorHAnsi"/>
        </w:rPr>
        <w:t>s ability to properly record if the recipient fails to do so, UCC financing statement(s) for all equipment</w:t>
      </w:r>
      <w:r w:rsidR="00F07F9C" w:rsidRPr="00AF2304">
        <w:rPr>
          <w:rFonts w:asciiTheme="minorHAnsi" w:hAnsiTheme="minorHAnsi"/>
        </w:rPr>
        <w:t xml:space="preserve"> in excess of $5,000</w:t>
      </w:r>
      <w:r w:rsidRPr="00AF2304">
        <w:rPr>
          <w:rFonts w:asciiTheme="minorHAnsi" w:hAnsiTheme="minorHAnsi"/>
        </w:rPr>
        <w:t xml:space="preserve"> purchased with </w:t>
      </w:r>
      <w:r w:rsidR="00F07F9C" w:rsidRPr="00AF2304">
        <w:rPr>
          <w:rFonts w:asciiTheme="minorHAnsi" w:hAnsiTheme="minorHAnsi"/>
        </w:rPr>
        <w:t>project</w:t>
      </w:r>
      <w:r w:rsidRPr="00AF2304">
        <w:rPr>
          <w:rFonts w:asciiTheme="minorHAnsi" w:hAnsiTheme="minorHAnsi"/>
        </w:rPr>
        <w:t xml:space="preserve"> funds</w:t>
      </w:r>
      <w:r w:rsidR="00F07F9C" w:rsidRPr="00AF2304">
        <w:rPr>
          <w:rFonts w:asciiTheme="minorHAnsi" w:hAnsiTheme="minorHAnsi"/>
        </w:rPr>
        <w:t>.</w:t>
      </w:r>
      <w:r w:rsidR="001A3502">
        <w:rPr>
          <w:rFonts w:asciiTheme="minorHAnsi" w:hAnsiTheme="minorHAnsi"/>
        </w:rPr>
        <w:t xml:space="preserve"> </w:t>
      </w:r>
      <w:r w:rsidRPr="00AF2304">
        <w:rPr>
          <w:rFonts w:asciiTheme="minorHAnsi" w:hAnsiTheme="minorHAnsi"/>
        </w:rPr>
        <w:t xml:space="preserve">These financing statement(s) must be approved in writing by the </w:t>
      </w:r>
      <w:r w:rsidR="00691C8F" w:rsidRPr="00AF2304">
        <w:rPr>
          <w:rFonts w:asciiTheme="minorHAnsi" w:hAnsiTheme="minorHAnsi"/>
        </w:rPr>
        <w:t>C</w:t>
      </w:r>
      <w:r w:rsidRPr="00AF2304">
        <w:rPr>
          <w:rFonts w:asciiTheme="minorHAnsi" w:hAnsiTheme="minorHAnsi"/>
        </w:rPr>
        <w:t xml:space="preserve">ontracting </w:t>
      </w:r>
      <w:r w:rsidR="00691C8F" w:rsidRPr="00AF2304">
        <w:rPr>
          <w:rFonts w:asciiTheme="minorHAnsi" w:hAnsiTheme="minorHAnsi"/>
        </w:rPr>
        <w:t>O</w:t>
      </w:r>
      <w:r w:rsidRPr="00AF2304">
        <w:rPr>
          <w:rFonts w:asciiTheme="minorHAnsi" w:hAnsiTheme="minorHAnsi"/>
        </w:rPr>
        <w:t>fficer prior to the recording, and they shall provide</w:t>
      </w:r>
      <w:r w:rsidR="00F07F9C" w:rsidRPr="00AF2304">
        <w:rPr>
          <w:rFonts w:asciiTheme="minorHAnsi" w:hAnsiTheme="minorHAnsi"/>
        </w:rPr>
        <w:t xml:space="preserve"> notice that the </w:t>
      </w:r>
      <w:r w:rsidR="00D848AF">
        <w:rPr>
          <w:rFonts w:asciiTheme="minorHAnsi" w:hAnsiTheme="minorHAnsi"/>
        </w:rPr>
        <w:t>r</w:t>
      </w:r>
      <w:r w:rsidR="00D848AF" w:rsidRPr="00AF2304">
        <w:rPr>
          <w:rFonts w:asciiTheme="minorHAnsi" w:hAnsiTheme="minorHAnsi"/>
        </w:rPr>
        <w:t xml:space="preserve">ecipient's </w:t>
      </w:r>
      <w:r w:rsidRPr="00AF2304">
        <w:rPr>
          <w:rFonts w:asciiTheme="minorHAnsi" w:hAnsiTheme="minorHAnsi"/>
        </w:rPr>
        <w:t xml:space="preserve">title to all equipment (not real property) purchased with </w:t>
      </w:r>
      <w:r w:rsidR="001F169D">
        <w:rPr>
          <w:rFonts w:asciiTheme="minorHAnsi" w:hAnsiTheme="minorHAnsi"/>
        </w:rPr>
        <w:t>f</w:t>
      </w:r>
      <w:r w:rsidR="001F169D" w:rsidRPr="00AF2304">
        <w:rPr>
          <w:rFonts w:asciiTheme="minorHAnsi" w:hAnsiTheme="minorHAnsi"/>
        </w:rPr>
        <w:t xml:space="preserve">ederal </w:t>
      </w:r>
      <w:r w:rsidRPr="00AF2304">
        <w:rPr>
          <w:rFonts w:asciiTheme="minorHAnsi" w:hAnsiTheme="minorHAnsi"/>
        </w:rPr>
        <w:t>funds under the financial assistance agreement is conditional pursuant to the terms</w:t>
      </w:r>
      <w:r w:rsidR="001D5943">
        <w:rPr>
          <w:rFonts w:asciiTheme="minorHAnsi" w:hAnsiTheme="minorHAnsi"/>
        </w:rPr>
        <w:t xml:space="preserve"> of this section, and that the g</w:t>
      </w:r>
      <w:r w:rsidRPr="00AF2304">
        <w:rPr>
          <w:rFonts w:asciiTheme="minorHAnsi" w:hAnsiTheme="minorHAnsi"/>
        </w:rPr>
        <w:t>overnment retains an undivided reversionary interest in the equipment. The UCC financing stateme</w:t>
      </w:r>
      <w:r w:rsidR="00F07F9C" w:rsidRPr="00AF2304">
        <w:rPr>
          <w:rFonts w:asciiTheme="minorHAnsi" w:hAnsiTheme="minorHAnsi"/>
        </w:rPr>
        <w:t>nt(s) must be filed before the C</w:t>
      </w:r>
      <w:r w:rsidRPr="00AF2304">
        <w:rPr>
          <w:rFonts w:asciiTheme="minorHAnsi" w:hAnsiTheme="minorHAnsi"/>
        </w:rPr>
        <w:t xml:space="preserve">ontracting </w:t>
      </w:r>
      <w:r w:rsidR="00F07F9C" w:rsidRPr="00AF2304">
        <w:rPr>
          <w:rFonts w:asciiTheme="minorHAnsi" w:hAnsiTheme="minorHAnsi"/>
        </w:rPr>
        <w:t>O</w:t>
      </w:r>
      <w:r w:rsidRPr="00AF2304">
        <w:rPr>
          <w:rFonts w:asciiTheme="minorHAnsi" w:hAnsiTheme="minorHAnsi"/>
        </w:rPr>
        <w:t xml:space="preserve">fficer may reimburse the recipient for the </w:t>
      </w:r>
      <w:r w:rsidR="001F169D">
        <w:rPr>
          <w:rFonts w:asciiTheme="minorHAnsi" w:hAnsiTheme="minorHAnsi"/>
        </w:rPr>
        <w:t>f</w:t>
      </w:r>
      <w:r w:rsidR="001F169D" w:rsidRPr="00AF2304">
        <w:rPr>
          <w:rFonts w:asciiTheme="minorHAnsi" w:hAnsiTheme="minorHAnsi"/>
        </w:rPr>
        <w:t xml:space="preserve">ederal </w:t>
      </w:r>
      <w:r w:rsidRPr="00AF2304">
        <w:rPr>
          <w:rFonts w:asciiTheme="minorHAnsi" w:hAnsiTheme="minorHAnsi"/>
        </w:rPr>
        <w:t xml:space="preserve">share of the equipment unless otherwise provided for in the relevant financial assistance agreement. The recipient shall further make any amendments to the financing statements or additional recordings, including appropriate continuation statements, as necessary or as the </w:t>
      </w:r>
      <w:r w:rsidR="00A553D7">
        <w:rPr>
          <w:rFonts w:asciiTheme="minorHAnsi" w:hAnsiTheme="minorHAnsi"/>
        </w:rPr>
        <w:t>C</w:t>
      </w:r>
      <w:r w:rsidR="00A553D7" w:rsidRPr="00AF2304">
        <w:rPr>
          <w:rFonts w:asciiTheme="minorHAnsi" w:hAnsiTheme="minorHAnsi"/>
        </w:rPr>
        <w:t xml:space="preserve">ontracting </w:t>
      </w:r>
      <w:r w:rsidR="00A553D7">
        <w:rPr>
          <w:rFonts w:asciiTheme="minorHAnsi" w:hAnsiTheme="minorHAnsi"/>
        </w:rPr>
        <w:t>O</w:t>
      </w:r>
      <w:r w:rsidR="00A553D7" w:rsidRPr="00AF2304">
        <w:rPr>
          <w:rFonts w:asciiTheme="minorHAnsi" w:hAnsiTheme="minorHAnsi"/>
        </w:rPr>
        <w:t xml:space="preserve">fficer </w:t>
      </w:r>
      <w:r w:rsidRPr="00AF2304">
        <w:rPr>
          <w:rFonts w:asciiTheme="minorHAnsi" w:hAnsiTheme="minorHAnsi"/>
        </w:rPr>
        <w:t>may direct.</w:t>
      </w:r>
    </w:p>
    <w:p w14:paraId="769D0711" w14:textId="77777777" w:rsidR="008E7670" w:rsidRDefault="008E7670" w:rsidP="00A53BBC">
      <w:pPr>
        <w:pStyle w:val="FOATemplateBody"/>
        <w:ind w:left="1440"/>
        <w:rPr>
          <w:rFonts w:asciiTheme="minorHAnsi" w:hAnsiTheme="minorHAnsi"/>
        </w:rPr>
      </w:pPr>
    </w:p>
    <w:p w14:paraId="72B3BE31" w14:textId="77777777" w:rsidR="00657A15" w:rsidRPr="00893701" w:rsidRDefault="00657A15" w:rsidP="00657A15">
      <w:pPr>
        <w:pStyle w:val="FOAHeading3"/>
        <w:numPr>
          <w:ilvl w:val="0"/>
          <w:numId w:val="48"/>
        </w:numPr>
        <w:ind w:left="1440"/>
        <w:outlineLvl w:val="2"/>
      </w:pPr>
      <w:bookmarkStart w:id="675" w:name="_Toc140061024"/>
      <w:bookmarkStart w:id="676" w:name="_Hlk121152383"/>
      <w:bookmarkStart w:id="677" w:name="_Toc176864523"/>
      <w:r w:rsidRPr="00893701">
        <w:t>Real Property and Equipment</w:t>
      </w:r>
      <w:bookmarkEnd w:id="675"/>
      <w:bookmarkEnd w:id="677"/>
    </w:p>
    <w:p w14:paraId="74945934" w14:textId="77777777" w:rsidR="00657A15" w:rsidRDefault="00657A15" w:rsidP="00657A15">
      <w:pPr>
        <w:pStyle w:val="FOATemplateBody"/>
        <w:ind w:left="1440"/>
        <w:rPr>
          <w:rFonts w:asciiTheme="minorHAnsi" w:hAnsiTheme="minorHAnsi"/>
        </w:rPr>
      </w:pPr>
      <w:r w:rsidRPr="5F2B9FEB">
        <w:rPr>
          <w:rFonts w:asciiTheme="minorHAnsi" w:hAnsiTheme="minorHAnsi"/>
        </w:rPr>
        <w:t xml:space="preserve">Real property and equipment purchased with project funds (federal share and recipient cost share) are subject to the requirements at 2 CFR 200.310, 200.311, </w:t>
      </w:r>
      <w:r w:rsidRPr="5F2B9FEB">
        <w:rPr>
          <w:rFonts w:asciiTheme="minorHAnsi" w:hAnsiTheme="minorHAnsi"/>
        </w:rPr>
        <w:lastRenderedPageBreak/>
        <w:t>200.313, and 200.316 (non-federal entities, except for-profit entities) and 2 CFR 910.360 (for-profit entities).</w:t>
      </w:r>
    </w:p>
    <w:p w14:paraId="7A2F2662" w14:textId="77777777" w:rsidR="00657A15" w:rsidRDefault="00657A15" w:rsidP="00657A15">
      <w:pPr>
        <w:pStyle w:val="FOATemplateBody"/>
        <w:ind w:left="1440"/>
        <w:rPr>
          <w:rFonts w:asciiTheme="minorHAnsi" w:hAnsiTheme="minorHAnsi"/>
        </w:rPr>
      </w:pPr>
    </w:p>
    <w:p w14:paraId="7DE07F99" w14:textId="77777777" w:rsidR="00657A15" w:rsidRPr="006C56C2" w:rsidRDefault="00657A15" w:rsidP="00657A15">
      <w:pPr>
        <w:pStyle w:val="FOATemplateBody"/>
        <w:ind w:left="1440"/>
        <w:rPr>
          <w:rFonts w:asciiTheme="minorHAnsi" w:hAnsiTheme="minorHAnsi"/>
        </w:rPr>
      </w:pPr>
      <w:r w:rsidRPr="5F2B9FEB">
        <w:rPr>
          <w:rFonts w:asciiTheme="minorHAnsi" w:hAnsiTheme="minorHAnsi"/>
        </w:rPr>
        <w:t xml:space="preserve">For projects selected for awards under this FOA, the recipients may (1) take disposition action on the real property and equipment; or (2) continue to use the real property and equipment after the conclusion of the award period of performance with Contracting Officer approval. The recipient’s written request for Continued Use must identify the property and include: a summary of how the property will be used (must align with the authorized project purposes); a proposed use period, (e.g., perpetuity, until fully depreciated, or a calendar date when the recipient expects to submit disposition instructions); acknowledgement that the recipient shall not sell or encumber the property or permit any encumbrance without prior written DOE approval; current fair market value of the property; and an estimated useful life or depreciation schedule for equipment. </w:t>
      </w:r>
    </w:p>
    <w:p w14:paraId="288C167B" w14:textId="77777777" w:rsidR="00657A15" w:rsidRDefault="00657A15" w:rsidP="00657A15">
      <w:pPr>
        <w:pStyle w:val="FOATemplateBody"/>
        <w:ind w:left="1440"/>
        <w:rPr>
          <w:rFonts w:asciiTheme="minorHAnsi" w:hAnsiTheme="minorHAnsi"/>
        </w:rPr>
      </w:pPr>
    </w:p>
    <w:p w14:paraId="214736F1" w14:textId="77777777" w:rsidR="00657A15" w:rsidRPr="006C56C2" w:rsidRDefault="00657A15" w:rsidP="00657A15">
      <w:pPr>
        <w:pStyle w:val="FOATemplateBody"/>
        <w:ind w:left="1440"/>
        <w:rPr>
          <w:rFonts w:asciiTheme="minorHAnsi" w:hAnsiTheme="minorHAnsi"/>
        </w:rPr>
      </w:pPr>
      <w:r w:rsidRPr="5F2B9FEB">
        <w:rPr>
          <w:rFonts w:asciiTheme="minorHAnsi" w:hAnsiTheme="minorHAnsi"/>
        </w:rPr>
        <w:t xml:space="preserve">When the property is no longer needed for authorized project purposes, the recipient must request disposition instructions from DOE. For-profit entity disposition requirements are set forth in 2 CFR 910.360. Property disposition requirements for other non-federal entities are set forth in 2 CFR 200.310 – 200.316. </w:t>
      </w:r>
    </w:p>
    <w:p w14:paraId="44136F40" w14:textId="77777777" w:rsidR="00657A15" w:rsidRDefault="00657A15" w:rsidP="00657A15">
      <w:pPr>
        <w:pStyle w:val="FOATemplateBody"/>
        <w:ind w:left="1440"/>
        <w:rPr>
          <w:rFonts w:asciiTheme="minorHAnsi" w:hAnsiTheme="minorHAnsi"/>
        </w:rPr>
      </w:pPr>
    </w:p>
    <w:p w14:paraId="4BB614FC" w14:textId="4505B38B" w:rsidR="00E77BDD" w:rsidRPr="00C53B99" w:rsidRDefault="00E77BDD" w:rsidP="004D5367">
      <w:pPr>
        <w:pStyle w:val="FOAHeading3"/>
        <w:numPr>
          <w:ilvl w:val="0"/>
          <w:numId w:val="48"/>
        </w:numPr>
        <w:ind w:left="1440"/>
        <w:outlineLvl w:val="2"/>
      </w:pPr>
      <w:bookmarkStart w:id="678" w:name="_Toc176864524"/>
      <w:bookmarkEnd w:id="676"/>
      <w:r>
        <w:t>Implementation of Executive Order 13798, Promoting Free Speech</w:t>
      </w:r>
      <w:r w:rsidR="007F5E25">
        <w:t xml:space="preserve"> </w:t>
      </w:r>
      <w:r>
        <w:t>and Religious Liberty</w:t>
      </w:r>
      <w:bookmarkEnd w:id="678"/>
    </w:p>
    <w:p w14:paraId="644E211F" w14:textId="08BB0735" w:rsidR="00101E99" w:rsidRDefault="00E77BDD" w:rsidP="00C53B99">
      <w:pPr>
        <w:pStyle w:val="FOATemplateBody"/>
        <w:ind w:left="1440"/>
        <w:rPr>
          <w:rFonts w:asciiTheme="minorHAnsi" w:hAnsiTheme="minorHAnsi"/>
        </w:rPr>
      </w:pPr>
      <w:r w:rsidRPr="00EE74B1">
        <w:t xml:space="preserve">States, local governments, </w:t>
      </w:r>
      <w:r w:rsidR="00865F7B">
        <w:t>and</w:t>
      </w:r>
      <w:r w:rsidRPr="00EE74B1">
        <w:t xml:space="preserve"> other public entities may not condition subawards in a manner that would discriminate</w:t>
      </w:r>
      <w:r w:rsidR="005C710C">
        <w:t xml:space="preserve"> against</w:t>
      </w:r>
      <w:r w:rsidRPr="00EE74B1">
        <w:t xml:space="preserve"> or </w:t>
      </w:r>
      <w:r w:rsidR="005C710C">
        <w:t xml:space="preserve">otherwise </w:t>
      </w:r>
      <w:r w:rsidRPr="00EE74B1">
        <w:t>disadvantage subrecipients based on their religious character.</w:t>
      </w:r>
    </w:p>
    <w:p w14:paraId="2CAFD2C6" w14:textId="77777777" w:rsidR="00471393" w:rsidRDefault="00471393" w:rsidP="00C53B99">
      <w:pPr>
        <w:pStyle w:val="FOATemplateBody"/>
        <w:ind w:left="1440"/>
        <w:rPr>
          <w:rFonts w:asciiTheme="minorHAnsi" w:hAnsiTheme="minorHAnsi"/>
        </w:rPr>
      </w:pPr>
    </w:p>
    <w:p w14:paraId="57969699" w14:textId="64EE8F63" w:rsidR="00471393" w:rsidRPr="00C442F9" w:rsidRDefault="00AD6783" w:rsidP="00AD6783">
      <w:pPr>
        <w:pStyle w:val="FOAHeading3"/>
        <w:numPr>
          <w:ilvl w:val="0"/>
          <w:numId w:val="35"/>
        </w:numPr>
        <w:ind w:left="1440"/>
        <w:outlineLvl w:val="2"/>
      </w:pPr>
      <w:bookmarkStart w:id="679" w:name="_Toc176864525"/>
      <w:r w:rsidRPr="00C442F9">
        <w:t>Participants and Collaborating Organizations</w:t>
      </w:r>
      <w:bookmarkEnd w:id="679"/>
    </w:p>
    <w:p w14:paraId="1823E946" w14:textId="753465C6" w:rsidR="00AD6783" w:rsidRPr="001B4D19" w:rsidRDefault="00471393" w:rsidP="002F6F2A">
      <w:pPr>
        <w:ind w:left="1440"/>
        <w:rPr>
          <w:rFonts w:ascii="Calibri" w:hAnsi="Calibri"/>
          <w:highlight w:val="green"/>
        </w:rPr>
      </w:pPr>
      <w:r w:rsidRPr="00C442F9">
        <w:rPr>
          <w:rFonts w:ascii="Calibri" w:hAnsi="Calibri"/>
        </w:rPr>
        <w:t>If selected for award negotiations, the selected applicant must submit a list of personnel who are proposed to work on the project, both at the recipient and subrecipient level</w:t>
      </w:r>
      <w:r w:rsidR="002D31C8" w:rsidRPr="00C442F9">
        <w:rPr>
          <w:rFonts w:ascii="Calibri" w:hAnsi="Calibri"/>
        </w:rPr>
        <w:t xml:space="preserve"> and a list of collaborating organizations</w:t>
      </w:r>
      <w:r w:rsidR="0002735F" w:rsidRPr="00C442F9">
        <w:rPr>
          <w:rFonts w:ascii="Calibri" w:hAnsi="Calibri"/>
        </w:rPr>
        <w:t xml:space="preserve"> </w:t>
      </w:r>
      <w:r w:rsidR="009E3975" w:rsidRPr="00C442F9">
        <w:rPr>
          <w:rFonts w:ascii="Calibri" w:hAnsi="Calibri"/>
        </w:rPr>
        <w:t>prior to award</w:t>
      </w:r>
      <w:r w:rsidRPr="00C442F9">
        <w:rPr>
          <w:rFonts w:ascii="Calibri" w:hAnsi="Calibri"/>
        </w:rPr>
        <w:t xml:space="preserve">. </w:t>
      </w:r>
      <w:bookmarkStart w:id="680" w:name="_Hlk90040397"/>
      <w:r w:rsidRPr="00C442F9">
        <w:rPr>
          <w:rFonts w:ascii="Calibri" w:hAnsi="Calibri"/>
        </w:rPr>
        <w:t xml:space="preserve">Recipients will have an ongoing responsibility to notify DOE of changes to the personnel </w:t>
      </w:r>
      <w:r w:rsidR="002D31C8" w:rsidRPr="00C442F9">
        <w:rPr>
          <w:rFonts w:ascii="Calibri" w:hAnsi="Calibri"/>
        </w:rPr>
        <w:t>and collaborati</w:t>
      </w:r>
      <w:r w:rsidR="00B53E00" w:rsidRPr="00C442F9">
        <w:rPr>
          <w:rFonts w:ascii="Calibri" w:hAnsi="Calibri"/>
        </w:rPr>
        <w:t>ng</w:t>
      </w:r>
      <w:r w:rsidR="002D31C8" w:rsidRPr="00C442F9">
        <w:rPr>
          <w:rFonts w:ascii="Calibri" w:hAnsi="Calibri"/>
        </w:rPr>
        <w:t xml:space="preserve"> organizations </w:t>
      </w:r>
      <w:r w:rsidRPr="00C442F9">
        <w:rPr>
          <w:rFonts w:ascii="Calibri" w:hAnsi="Calibri"/>
        </w:rPr>
        <w:t xml:space="preserve">and submit updated </w:t>
      </w:r>
      <w:r w:rsidR="00AD6783" w:rsidRPr="00C442F9">
        <w:rPr>
          <w:rFonts w:ascii="Calibri" w:hAnsi="Calibri"/>
        </w:rPr>
        <w:t>information</w:t>
      </w:r>
      <w:r w:rsidR="002D31C8" w:rsidRPr="00C442F9">
        <w:rPr>
          <w:rFonts w:ascii="Calibri" w:hAnsi="Calibri"/>
        </w:rPr>
        <w:t xml:space="preserve"> during the life of the award.</w:t>
      </w:r>
      <w:bookmarkEnd w:id="680"/>
    </w:p>
    <w:p w14:paraId="7035B611" w14:textId="2800F721" w:rsidR="00471393" w:rsidRPr="001B4D19" w:rsidRDefault="00471393" w:rsidP="00C53B99">
      <w:pPr>
        <w:pStyle w:val="FOATemplateBody"/>
        <w:ind w:left="1440"/>
        <w:rPr>
          <w:rFonts w:asciiTheme="minorHAnsi" w:hAnsiTheme="minorHAnsi"/>
          <w:highlight w:val="green"/>
        </w:rPr>
      </w:pPr>
    </w:p>
    <w:p w14:paraId="3336F16F" w14:textId="4CDEF893" w:rsidR="00E47A6D" w:rsidRPr="00C442F9" w:rsidRDefault="00E47A6D" w:rsidP="004D5367">
      <w:pPr>
        <w:pStyle w:val="FOAHeading3"/>
        <w:numPr>
          <w:ilvl w:val="0"/>
          <w:numId w:val="35"/>
        </w:numPr>
        <w:ind w:left="1440"/>
        <w:outlineLvl w:val="2"/>
      </w:pPr>
      <w:bookmarkStart w:id="681" w:name="_Toc176864526"/>
      <w:r w:rsidRPr="00C442F9">
        <w:t>Current</w:t>
      </w:r>
      <w:r w:rsidR="00103176" w:rsidRPr="00C442F9">
        <w:t xml:space="preserve"> and Pending</w:t>
      </w:r>
      <w:r w:rsidRPr="00C442F9">
        <w:t xml:space="preserve"> Support</w:t>
      </w:r>
      <w:bookmarkEnd w:id="681"/>
    </w:p>
    <w:p w14:paraId="7AB82FD0" w14:textId="0984D89E" w:rsidR="00C442F9" w:rsidRDefault="00954E8C" w:rsidP="00C442F9">
      <w:pPr>
        <w:ind w:left="1440"/>
        <w:rPr>
          <w:rFonts w:ascii="Calibri" w:hAnsi="Calibri"/>
        </w:rPr>
      </w:pPr>
      <w:r w:rsidRPr="00C442F9">
        <w:rPr>
          <w:rFonts w:ascii="Calibri" w:hAnsi="Calibri"/>
        </w:rPr>
        <w:t>If selected for award negotiations</w:t>
      </w:r>
      <w:r w:rsidR="001479AD" w:rsidRPr="00C442F9">
        <w:rPr>
          <w:rFonts w:ascii="Calibri" w:hAnsi="Calibri"/>
        </w:rPr>
        <w:t xml:space="preserve">, </w:t>
      </w:r>
      <w:r w:rsidR="002F23B7" w:rsidRPr="00C442F9">
        <w:rPr>
          <w:rFonts w:ascii="Calibri" w:hAnsi="Calibri"/>
        </w:rPr>
        <w:t xml:space="preserve">within 30 days of the selection notice, </w:t>
      </w:r>
      <w:r w:rsidR="00F60A7B" w:rsidRPr="00C442F9">
        <w:rPr>
          <w:rFonts w:ascii="Calibri" w:hAnsi="Calibri"/>
        </w:rPr>
        <w:t xml:space="preserve">the </w:t>
      </w:r>
      <w:r w:rsidR="005E7F1C" w:rsidRPr="00C442F9">
        <w:rPr>
          <w:rFonts w:ascii="Calibri" w:hAnsi="Calibri"/>
        </w:rPr>
        <w:t>selectee</w:t>
      </w:r>
      <w:r w:rsidR="00F60A7B" w:rsidRPr="00C442F9">
        <w:rPr>
          <w:rFonts w:ascii="Calibri" w:hAnsi="Calibri"/>
        </w:rPr>
        <w:t xml:space="preserve"> must </w:t>
      </w:r>
      <w:r w:rsidR="00995BFB" w:rsidRPr="00C442F9">
        <w:rPr>
          <w:rFonts w:ascii="Calibri" w:hAnsi="Calibri"/>
        </w:rPr>
        <w:t>submit</w:t>
      </w:r>
      <w:r w:rsidR="00F60A7B" w:rsidRPr="00C442F9">
        <w:rPr>
          <w:rFonts w:ascii="Calibri" w:hAnsi="Calibri"/>
        </w:rPr>
        <w:t xml:space="preserve"> </w:t>
      </w:r>
      <w:r w:rsidR="005D7FA2" w:rsidRPr="00C442F9">
        <w:rPr>
          <w:rFonts w:ascii="Calibri" w:hAnsi="Calibri"/>
        </w:rPr>
        <w:t xml:space="preserve">1) </w:t>
      </w:r>
      <w:r w:rsidR="009D63F0" w:rsidRPr="00C442F9">
        <w:rPr>
          <w:rFonts w:ascii="Calibri" w:hAnsi="Calibri"/>
        </w:rPr>
        <w:t>current and pending support disclosures</w:t>
      </w:r>
      <w:r w:rsidR="00465D6E" w:rsidRPr="00C442F9">
        <w:rPr>
          <w:rFonts w:ascii="Calibri" w:hAnsi="Calibri"/>
        </w:rPr>
        <w:t xml:space="preserve"> </w:t>
      </w:r>
      <w:r w:rsidR="005D7FA2" w:rsidRPr="00C442F9">
        <w:rPr>
          <w:rFonts w:ascii="Calibri" w:hAnsi="Calibri"/>
        </w:rPr>
        <w:t xml:space="preserve">and resumes </w:t>
      </w:r>
      <w:r w:rsidR="00465D6E" w:rsidRPr="00C442F9">
        <w:rPr>
          <w:rFonts w:ascii="Calibri" w:hAnsi="Calibri"/>
        </w:rPr>
        <w:t xml:space="preserve">for any new PIs or </w:t>
      </w:r>
      <w:r w:rsidR="0011279A">
        <w:rPr>
          <w:rFonts w:ascii="Calibri" w:hAnsi="Calibri"/>
        </w:rPr>
        <w:t>S</w:t>
      </w:r>
      <w:r w:rsidR="00465D6E" w:rsidRPr="00C442F9">
        <w:rPr>
          <w:rFonts w:ascii="Calibri" w:hAnsi="Calibri"/>
        </w:rPr>
        <w:t>enior/</w:t>
      </w:r>
      <w:r w:rsidR="0011279A">
        <w:rPr>
          <w:rFonts w:ascii="Calibri" w:hAnsi="Calibri"/>
        </w:rPr>
        <w:t>K</w:t>
      </w:r>
      <w:r w:rsidR="00465D6E" w:rsidRPr="00C442F9">
        <w:rPr>
          <w:rFonts w:ascii="Calibri" w:hAnsi="Calibri"/>
        </w:rPr>
        <w:t xml:space="preserve">ey </w:t>
      </w:r>
      <w:r w:rsidR="0011279A">
        <w:rPr>
          <w:rFonts w:ascii="Calibri" w:hAnsi="Calibri"/>
        </w:rPr>
        <w:t>P</w:t>
      </w:r>
      <w:r w:rsidR="00465D6E" w:rsidRPr="00C442F9">
        <w:rPr>
          <w:rFonts w:ascii="Calibri" w:hAnsi="Calibri"/>
        </w:rPr>
        <w:t xml:space="preserve">ersonnel </w:t>
      </w:r>
      <w:r w:rsidR="002F23B7" w:rsidRPr="00C442F9">
        <w:rPr>
          <w:rFonts w:ascii="Calibri" w:hAnsi="Calibri"/>
        </w:rPr>
        <w:t xml:space="preserve">and </w:t>
      </w:r>
      <w:r w:rsidR="005D7FA2" w:rsidRPr="00C442F9">
        <w:rPr>
          <w:rFonts w:ascii="Calibri" w:hAnsi="Calibri"/>
        </w:rPr>
        <w:t xml:space="preserve">2) </w:t>
      </w:r>
      <w:r w:rsidR="002F23B7" w:rsidRPr="00C442F9">
        <w:rPr>
          <w:rFonts w:ascii="Calibri" w:hAnsi="Calibri"/>
        </w:rPr>
        <w:t>updated disclosures</w:t>
      </w:r>
      <w:r w:rsidR="009D63F0" w:rsidRPr="00C442F9">
        <w:rPr>
          <w:rFonts w:ascii="Calibri" w:hAnsi="Calibri"/>
        </w:rPr>
        <w:t xml:space="preserve"> if there have been any changes to the </w:t>
      </w:r>
      <w:r w:rsidR="00D3567D" w:rsidRPr="00C442F9">
        <w:rPr>
          <w:rFonts w:ascii="Calibri" w:hAnsi="Calibri"/>
        </w:rPr>
        <w:t>current and pending support submitted with the application</w:t>
      </w:r>
      <w:r w:rsidR="001B7AC6" w:rsidRPr="00C442F9">
        <w:rPr>
          <w:rFonts w:ascii="Calibri" w:hAnsi="Calibri"/>
        </w:rPr>
        <w:t xml:space="preserve">. </w:t>
      </w:r>
      <w:r w:rsidR="00B86FF7" w:rsidRPr="00C442F9">
        <w:rPr>
          <w:rFonts w:ascii="Calibri" w:hAnsi="Calibri"/>
        </w:rPr>
        <w:t>Th</w:t>
      </w:r>
      <w:r w:rsidR="008745B5" w:rsidRPr="00C442F9">
        <w:rPr>
          <w:rFonts w:ascii="Calibri" w:hAnsi="Calibri"/>
        </w:rPr>
        <w:t xml:space="preserve">roughout the life of the award, the Recipient </w:t>
      </w:r>
      <w:r w:rsidR="00F0094F" w:rsidRPr="00C442F9">
        <w:rPr>
          <w:rFonts w:ascii="Calibri" w:hAnsi="Calibri"/>
        </w:rPr>
        <w:t>has</w:t>
      </w:r>
      <w:r w:rsidR="00C66CAD" w:rsidRPr="00C442F9">
        <w:rPr>
          <w:rFonts w:ascii="Calibri" w:hAnsi="Calibri"/>
        </w:rPr>
        <w:t xml:space="preserve"> an ongoing </w:t>
      </w:r>
      <w:r w:rsidR="00C66CAD" w:rsidRPr="00C442F9">
        <w:rPr>
          <w:rFonts w:ascii="Calibri" w:hAnsi="Calibri"/>
        </w:rPr>
        <w:lastRenderedPageBreak/>
        <w:t>responsibility to</w:t>
      </w:r>
      <w:r w:rsidR="008745B5" w:rsidRPr="00C442F9">
        <w:rPr>
          <w:rFonts w:ascii="Calibri" w:hAnsi="Calibri"/>
        </w:rPr>
        <w:t xml:space="preserve"> submit </w:t>
      </w:r>
      <w:r w:rsidR="00AF7F53" w:rsidRPr="00C442F9">
        <w:rPr>
          <w:rFonts w:ascii="Calibri" w:hAnsi="Calibri"/>
        </w:rPr>
        <w:t xml:space="preserve">1) </w:t>
      </w:r>
      <w:r w:rsidR="008745B5" w:rsidRPr="00C442F9">
        <w:rPr>
          <w:rFonts w:ascii="Calibri" w:hAnsi="Calibri"/>
        </w:rPr>
        <w:t xml:space="preserve">current and pending support disclosure statements </w:t>
      </w:r>
      <w:r w:rsidR="0037345C" w:rsidRPr="00C442F9">
        <w:rPr>
          <w:rFonts w:ascii="Calibri" w:hAnsi="Calibri"/>
        </w:rPr>
        <w:t xml:space="preserve">and resumes </w:t>
      </w:r>
      <w:r w:rsidR="008745B5" w:rsidRPr="00C442F9">
        <w:rPr>
          <w:rFonts w:ascii="Calibri" w:hAnsi="Calibri"/>
        </w:rPr>
        <w:t xml:space="preserve">for any new PI and </w:t>
      </w:r>
      <w:r w:rsidR="009E3975" w:rsidRPr="00C442F9">
        <w:rPr>
          <w:rFonts w:ascii="Calibri" w:hAnsi="Calibri"/>
        </w:rPr>
        <w:t>S</w:t>
      </w:r>
      <w:r w:rsidR="008745B5" w:rsidRPr="00C442F9">
        <w:rPr>
          <w:rFonts w:ascii="Calibri" w:hAnsi="Calibri"/>
        </w:rPr>
        <w:t>enior/</w:t>
      </w:r>
      <w:r w:rsidR="009E3975" w:rsidRPr="00C442F9">
        <w:rPr>
          <w:rFonts w:ascii="Calibri" w:hAnsi="Calibri"/>
        </w:rPr>
        <w:t>K</w:t>
      </w:r>
      <w:r w:rsidR="008745B5" w:rsidRPr="00C442F9">
        <w:rPr>
          <w:rFonts w:ascii="Calibri" w:hAnsi="Calibri"/>
        </w:rPr>
        <w:t xml:space="preserve">ey </w:t>
      </w:r>
      <w:r w:rsidR="009E3975" w:rsidRPr="00C442F9">
        <w:rPr>
          <w:rFonts w:ascii="Calibri" w:hAnsi="Calibri"/>
        </w:rPr>
        <w:t>P</w:t>
      </w:r>
      <w:r w:rsidR="008745B5" w:rsidRPr="00C442F9">
        <w:rPr>
          <w:rFonts w:ascii="Calibri" w:hAnsi="Calibri"/>
        </w:rPr>
        <w:t xml:space="preserve">ersonnel </w:t>
      </w:r>
      <w:r w:rsidR="00AD67FF" w:rsidRPr="00C442F9">
        <w:rPr>
          <w:rFonts w:ascii="Calibri" w:hAnsi="Calibri"/>
        </w:rPr>
        <w:t xml:space="preserve">and </w:t>
      </w:r>
      <w:r w:rsidR="00AF7F53" w:rsidRPr="00C442F9">
        <w:rPr>
          <w:rFonts w:ascii="Calibri" w:hAnsi="Calibri"/>
        </w:rPr>
        <w:t xml:space="preserve">2) </w:t>
      </w:r>
      <w:r w:rsidR="00AD67FF" w:rsidRPr="00C442F9">
        <w:rPr>
          <w:rFonts w:ascii="Calibri" w:hAnsi="Calibri"/>
        </w:rPr>
        <w:t>updated disclosures if there are changes to the current and pending support</w:t>
      </w:r>
      <w:r w:rsidR="00705A15" w:rsidRPr="00C442F9">
        <w:rPr>
          <w:rFonts w:ascii="Calibri" w:hAnsi="Calibri"/>
        </w:rPr>
        <w:t xml:space="preserve"> previously submitted to DOE. </w:t>
      </w:r>
      <w:r w:rsidR="004B27A6" w:rsidRPr="00C442F9">
        <w:rPr>
          <w:rFonts w:ascii="Calibri" w:hAnsi="Calibri"/>
        </w:rPr>
        <w:t xml:space="preserve">Also </w:t>
      </w:r>
      <w:r w:rsidR="009E3975" w:rsidRPr="00C442F9">
        <w:rPr>
          <w:rFonts w:ascii="Calibri" w:hAnsi="Calibri"/>
        </w:rPr>
        <w:t>s</w:t>
      </w:r>
      <w:r w:rsidR="00D61CB0" w:rsidRPr="00C442F9">
        <w:rPr>
          <w:rFonts w:ascii="Calibri" w:hAnsi="Calibri"/>
        </w:rPr>
        <w:t>ee Section IV.E.xvii.</w:t>
      </w:r>
    </w:p>
    <w:p w14:paraId="7E5A04F0" w14:textId="77777777" w:rsidR="00C442F9" w:rsidRDefault="00C442F9" w:rsidP="00C442F9">
      <w:pPr>
        <w:ind w:left="1440"/>
        <w:rPr>
          <w:rFonts w:ascii="Calibri" w:hAnsi="Calibri"/>
        </w:rPr>
      </w:pPr>
    </w:p>
    <w:p w14:paraId="2D87B918" w14:textId="5B03C07B" w:rsidR="002804FB" w:rsidRPr="00C442F9" w:rsidRDefault="002804FB" w:rsidP="00C442F9">
      <w:pPr>
        <w:pStyle w:val="FOAHeading3"/>
        <w:numPr>
          <w:ilvl w:val="0"/>
          <w:numId w:val="35"/>
        </w:numPr>
        <w:ind w:left="1440"/>
        <w:outlineLvl w:val="2"/>
      </w:pPr>
      <w:bookmarkStart w:id="682" w:name="_Toc176864527"/>
      <w:r w:rsidRPr="00DE01D1">
        <w:t>U.S. Manufacturing Commitments</w:t>
      </w:r>
      <w:bookmarkEnd w:id="682"/>
    </w:p>
    <w:p w14:paraId="4C57FEC2" w14:textId="2FB8F089" w:rsidR="009E3975" w:rsidRDefault="002804FB" w:rsidP="009E3975">
      <w:pPr>
        <w:keepNext/>
        <w:ind w:left="1440"/>
        <w:rPr>
          <w:rFonts w:cstheme="minorBidi"/>
        </w:rPr>
      </w:pPr>
      <w:r w:rsidRPr="00DE01D1">
        <w:t>A primary objective of DOE’s multi-billion</w:t>
      </w:r>
      <w:r w:rsidR="009E3975" w:rsidRPr="00DE01D1">
        <w:t>-</w:t>
      </w:r>
      <w:r w:rsidRPr="00DE01D1">
        <w:t>dollar research, development and demonstration investments is to cultivate new research and development ecosystems, manufacturing capabilities, and supply chains for and by U</w:t>
      </w:r>
      <w:r w:rsidR="009E3975" w:rsidRPr="00DE01D1">
        <w:t xml:space="preserve">nited </w:t>
      </w:r>
      <w:r w:rsidRPr="00DE01D1">
        <w:t>S</w:t>
      </w:r>
      <w:r w:rsidR="009E3975" w:rsidRPr="00DE01D1">
        <w:t>tates</w:t>
      </w:r>
      <w:r w:rsidRPr="00DE01D1">
        <w:t xml:space="preserve"> industry and labor. Therefore, in exchange for receiving taxpayer dollars to support an applicant’s project, the applicant</w:t>
      </w:r>
      <w:r w:rsidR="00836FA3">
        <w:t xml:space="preserve"> and any subrecipient</w:t>
      </w:r>
      <w:r w:rsidR="00CD135E">
        <w:t xml:space="preserve"> and contractor</w:t>
      </w:r>
      <w:r w:rsidRPr="00DE01D1">
        <w:t xml:space="preserve"> must agree to </w:t>
      </w:r>
      <w:r w:rsidR="009E3975" w:rsidRPr="00DE01D1">
        <w:t xml:space="preserve">a U.S. Competitiveness provision requiring that any products embodying any subject invention or produced through the use of any subject invention will be manufactured substantially in the United States unless the recipient can show to the satisfaction of DOE that it is not commercially feasible. Award terms, including the specific U.S. Competitiveness Provision applicable to the various types of recipients and projects, are available at: </w:t>
      </w:r>
      <w:hyperlink r:id="rId62" w:history="1">
        <w:r w:rsidR="009E3975" w:rsidRPr="00DE01D1">
          <w:rPr>
            <w:color w:val="0000FF"/>
            <w:u w:val="single"/>
          </w:rPr>
          <w:t>https://www.energy.gov/gc/standard-intellectual-property-ip-provisions-financial-assistance-awards</w:t>
        </w:r>
      </w:hyperlink>
      <w:r w:rsidR="009E3975" w:rsidRPr="00DE01D1">
        <w:t>.</w:t>
      </w:r>
    </w:p>
    <w:p w14:paraId="2AB088DF" w14:textId="77777777" w:rsidR="008C452E" w:rsidRPr="00DE01D1" w:rsidRDefault="008C452E" w:rsidP="009E3975">
      <w:pPr>
        <w:keepNext/>
        <w:ind w:left="1440"/>
        <w:rPr>
          <w:rFonts w:cstheme="minorBidi"/>
        </w:rPr>
      </w:pPr>
    </w:p>
    <w:p w14:paraId="3FA478EE" w14:textId="28330D68" w:rsidR="002804FB" w:rsidRPr="00DE01D1" w:rsidRDefault="009E3975" w:rsidP="009E3975">
      <w:pPr>
        <w:spacing w:after="240"/>
        <w:ind w:left="1440"/>
      </w:pPr>
      <w:r w:rsidRPr="00DE01D1">
        <w:t>Please note that a</w:t>
      </w:r>
      <w:r w:rsidR="002804FB" w:rsidRPr="00DE01D1">
        <w:t xml:space="preserve"> subject invention is any invention conceived or first actually reduced in performance of work under an award. An invention is any invention or discovery which is or may be patentable. </w:t>
      </w:r>
      <w:r w:rsidRPr="00DE01D1">
        <w:t>The recipient includes any awardee, recipient, sub-awardee, or sub-recipient.</w:t>
      </w:r>
    </w:p>
    <w:p w14:paraId="23C01E67" w14:textId="19E21F9E" w:rsidR="002804FB" w:rsidRPr="00DE01D1" w:rsidRDefault="009E3975" w:rsidP="002804FB">
      <w:pPr>
        <w:spacing w:after="240"/>
        <w:ind w:left="1440"/>
        <w:rPr>
          <w:rFonts w:cstheme="minorHAnsi"/>
          <w:szCs w:val="24"/>
        </w:rPr>
      </w:pPr>
      <w:r w:rsidRPr="00DE01D1">
        <w:t xml:space="preserve">As noted in the U.S. Competitiveness Provision, if an entity cannot meet the requirements of the U.S. Competitiveness Provision, the entity may request a modification or waiver of the U.S. Competitiveness Provision. </w:t>
      </w:r>
      <w:bookmarkStart w:id="683" w:name="_Hlk145067019"/>
      <w:r w:rsidRPr="00DE01D1">
        <w:t xml:space="preserve">For example, the entity may propose modifying the language of the U.S. Competitiveness Provision </w:t>
      </w:r>
      <w:bookmarkEnd w:id="683"/>
      <w:r w:rsidRPr="00DE01D1">
        <w:t xml:space="preserve">in order to change the scope of the requirements or to provide more specifics on the application of the requirements for a particular technology. As another example, the entity may request that the U.S. Competitiveness Provision be waived in lieu of a net benefits statement or United States manufacturing plan. The statement or plan would contain specific and enforceable commitments that would be beneficial to the United States economy and competitiveness. Examples of such commitments could include manufacturing specific products in the United States, making a specific investment in a new or existing United States manufacturing facility, keeping certain activities based in the United States or supporting a </w:t>
      </w:r>
      <w:r w:rsidRPr="00DE01D1">
        <w:rPr>
          <w:rFonts w:cstheme="minorBidi"/>
        </w:rPr>
        <w:t xml:space="preserve">certain number of jobs in the United States related to the technology. DOE may, in its sole discretion, determine that the proposed modification or waiver promotes commercialization and provides substantial United States economic benefits, and grant the request. If granted, </w:t>
      </w:r>
      <w:r w:rsidRPr="00DE01D1">
        <w:rPr>
          <w:rFonts w:cstheme="minorBidi"/>
        </w:rPr>
        <w:lastRenderedPageBreak/>
        <w:t>DOE will modify the award terms and conditions for the requesting entity accordingly.</w:t>
      </w:r>
      <w:r w:rsidR="002804FB" w:rsidRPr="00DE01D1">
        <w:rPr>
          <w:rFonts w:cstheme="minorHAnsi"/>
          <w:szCs w:val="24"/>
        </w:rPr>
        <w:t xml:space="preserve">  </w:t>
      </w:r>
    </w:p>
    <w:p w14:paraId="5D29A826" w14:textId="41A124A8" w:rsidR="009E3975" w:rsidRPr="00DE01D1" w:rsidRDefault="009E3975" w:rsidP="00993E6E">
      <w:pPr>
        <w:ind w:left="1440"/>
      </w:pPr>
      <w:r w:rsidRPr="00DE01D1">
        <w:t xml:space="preserve">More information and guidance on the waiver and modification request process can be found in the DOE Financial Assistance Letter on this topic, available at </w:t>
      </w:r>
      <w:hyperlink r:id="rId63" w:history="1">
        <w:r w:rsidRPr="00DE01D1">
          <w:rPr>
            <w:rStyle w:val="Hyperlink"/>
          </w:rPr>
          <w:t>https://www.energy.gov/management/pf-2022-09-fal-2022-01-implementation-doe-determination-exceptional-circumstances-under</w:t>
        </w:r>
      </w:hyperlink>
      <w:r w:rsidRPr="00DE01D1">
        <w:t xml:space="preserve">. Additional information on DOE’s Commitment to Domestic Manufacturing for DOE-funded </w:t>
      </w:r>
      <w:r w:rsidR="00BA1BF6">
        <w:t>RD&amp;D</w:t>
      </w:r>
      <w:r w:rsidRPr="00DE01D1">
        <w:t xml:space="preserve"> is available at </w:t>
      </w:r>
      <w:hyperlink r:id="rId64" w:history="1">
        <w:r w:rsidRPr="00DE01D1">
          <w:rPr>
            <w:rStyle w:val="Hyperlink"/>
          </w:rPr>
          <w:t>https://www.energy.gov/gc/us-manufacturing</w:t>
        </w:r>
      </w:hyperlink>
      <w:r w:rsidRPr="00DE01D1">
        <w:t>.</w:t>
      </w:r>
    </w:p>
    <w:p w14:paraId="4F821E1C" w14:textId="77777777" w:rsidR="009E3975" w:rsidRPr="00DE01D1" w:rsidRDefault="009E3975" w:rsidP="00993E6E">
      <w:pPr>
        <w:ind w:left="1440"/>
      </w:pPr>
    </w:p>
    <w:p w14:paraId="44FB9D29" w14:textId="77777777" w:rsidR="00C442F9" w:rsidRDefault="002804FB" w:rsidP="00C442F9">
      <w:pPr>
        <w:ind w:left="1440"/>
      </w:pPr>
      <w:r w:rsidRPr="00DE01D1">
        <w:t xml:space="preserve">The U.S. Competitiveness Provision is implemented by DOE pursuant to a Determination of Exceptional Circumstances (DEC) under the Bayh-Dole Act and DOE Patent Waivers. See </w:t>
      </w:r>
      <w:r w:rsidRPr="008B0D95">
        <w:t>Section VIII.J.</w:t>
      </w:r>
      <w:r w:rsidRPr="00DE01D1">
        <w:t xml:space="preserve"> Title to Subject Inventions of this FOA for more information on the DEC and DOE Patent Waivers.</w:t>
      </w:r>
      <w:r>
        <w:t xml:space="preserve">  </w:t>
      </w:r>
      <w:bookmarkStart w:id="684" w:name="_Toc110346631"/>
    </w:p>
    <w:p w14:paraId="44C5E10B" w14:textId="77777777" w:rsidR="00C442F9" w:rsidRDefault="00C442F9" w:rsidP="00C442F9">
      <w:pPr>
        <w:ind w:left="1440"/>
      </w:pPr>
    </w:p>
    <w:p w14:paraId="28D61524" w14:textId="0AE66BE5" w:rsidR="00EA6908" w:rsidRPr="00C442F9" w:rsidRDefault="00EA6908" w:rsidP="00C442F9">
      <w:pPr>
        <w:pStyle w:val="FOAHeading3"/>
        <w:numPr>
          <w:ilvl w:val="0"/>
          <w:numId w:val="35"/>
        </w:numPr>
        <w:ind w:left="1440"/>
        <w:outlineLvl w:val="2"/>
        <w:rPr>
          <w:b w:val="0"/>
        </w:rPr>
      </w:pPr>
      <w:bookmarkStart w:id="685" w:name="_Toc176864528"/>
      <w:r w:rsidRPr="00DE01D1">
        <w:t>Interim Conflict of Interest Policy for Financial Assistance</w:t>
      </w:r>
      <w:bookmarkEnd w:id="684"/>
      <w:bookmarkEnd w:id="685"/>
      <w:r w:rsidRPr="00DE01D1">
        <w:t xml:space="preserve">  </w:t>
      </w:r>
    </w:p>
    <w:p w14:paraId="37F5D128" w14:textId="77777777" w:rsidR="00EA6908" w:rsidRPr="00DE01D1" w:rsidRDefault="00EA6908" w:rsidP="00EA6908">
      <w:pPr>
        <w:keepNext/>
        <w:ind w:left="1440"/>
        <w:rPr>
          <w:rFonts w:ascii="Calibri" w:eastAsiaTheme="minorEastAsia" w:hAnsi="Calibri" w:cstheme="minorBidi"/>
        </w:rPr>
      </w:pPr>
      <w:r w:rsidRPr="00DE01D1">
        <w:rPr>
          <w:rFonts w:ascii="Calibri" w:eastAsiaTheme="minorEastAsia" w:hAnsi="Calibri" w:cstheme="minorBidi"/>
        </w:rPr>
        <w:t>The DOE interim Conflict of Interest Policy for Financial Assistance (COI Policy)</w:t>
      </w:r>
      <w:r w:rsidRPr="00DE01D1">
        <w:rPr>
          <w:rFonts w:ascii="Calibri" w:eastAsiaTheme="minorEastAsia" w:hAnsi="Calibri" w:cstheme="minorBidi"/>
          <w:vertAlign w:val="superscript"/>
        </w:rPr>
        <w:footnoteReference w:id="54"/>
      </w:r>
      <w:r w:rsidRPr="00DE01D1">
        <w:rPr>
          <w:rFonts w:ascii="Calibri" w:eastAsiaTheme="minorEastAsia" w:hAnsi="Calibri" w:cstheme="minorBidi"/>
        </w:rPr>
        <w:t xml:space="preserve"> is applicable to all non-Federal entities applying for, or that receive, DOE funding by means of a financial assistance award (e.g., a grant, cooperative agreement, or technology investment agreement) and, through the implementation of this policy by the entity, to each Investigator who is planning to participate in, or is participating in, the project funded wholly or in part under the DOE financial assistance award. The term “Investigator” means the PI and any other person, regardless of title or position, who is responsible for the purpose, design, conduct, or reporting of a project funded by DOE or proposed for funding by DOE. Recipients must flow down the requirements of the interim COI Policy to any subrecipient non-federal entities. Further, for DOE funded projects, the recipient must include all financial conflicts of interest (FCOI) (i.e., managed and unmanaged/ unmanageable) in its initial and ongoing FCOI reports.</w:t>
      </w:r>
    </w:p>
    <w:p w14:paraId="6C65C585" w14:textId="77777777" w:rsidR="00EA6908" w:rsidRPr="00DE01D1" w:rsidRDefault="00EA6908" w:rsidP="00EA6908">
      <w:pPr>
        <w:ind w:left="1440"/>
        <w:rPr>
          <w:rFonts w:ascii="Calibri" w:eastAsiaTheme="minorHAnsi" w:hAnsi="Calibri" w:cstheme="minorBidi"/>
          <w:szCs w:val="22"/>
        </w:rPr>
      </w:pPr>
    </w:p>
    <w:p w14:paraId="17575EED" w14:textId="77777777" w:rsidR="00EA6908" w:rsidRPr="006C56C2" w:rsidRDefault="00EA6908" w:rsidP="00EA6908">
      <w:pPr>
        <w:ind w:left="1440"/>
        <w:rPr>
          <w:rFonts w:ascii="Calibri" w:eastAsiaTheme="minorEastAsia" w:hAnsi="Calibri" w:cstheme="minorBidi"/>
        </w:rPr>
      </w:pPr>
      <w:r w:rsidRPr="00DE01D1">
        <w:rPr>
          <w:rFonts w:ascii="Calibri" w:eastAsiaTheme="minorEastAsia" w:hAnsi="Calibri" w:cstheme="minorBidi"/>
        </w:rPr>
        <w:t xml:space="preserve">It is understood that non-federal entities and individuals receiving DOE financial assistance awards will need sufficient time to come into full compliance with DOE’s interim COI Policy. To provide some flexibility, DOE allows for a staggered implementation. Specifically, prior to award, applicants selected for award negotiations must: ensure all Investigators complete their significant financial disclosures; review the disclosures; determine whether a FCOI exists; develop and implement a management plan for FCOIs; and provide DOE with an initial FCOI report that includes all FCOIs (i.e., managed and unmanaged/ unmanageable). Recipients will have 180 days from the date of the award to come into full compliance with the other requirements set forth in DOE’s interim </w:t>
      </w:r>
      <w:r w:rsidRPr="00DE01D1">
        <w:rPr>
          <w:rFonts w:ascii="Calibri" w:eastAsiaTheme="minorEastAsia" w:hAnsi="Calibri" w:cstheme="minorBidi"/>
        </w:rPr>
        <w:lastRenderedPageBreak/>
        <w:t>COI Policy. Prior to award, the applicant must certify that it is, or will be within 180 days of the award, compliant with all requirements in the COI Policy.</w:t>
      </w:r>
    </w:p>
    <w:p w14:paraId="0DE17B40" w14:textId="77777777" w:rsidR="00EA6908" w:rsidRPr="008858B4" w:rsidRDefault="00EA6908" w:rsidP="00EA6908">
      <w:pPr>
        <w:rPr>
          <w:color w:val="0000FF"/>
        </w:rPr>
      </w:pPr>
    </w:p>
    <w:p w14:paraId="161EF9ED" w14:textId="5E082AE7" w:rsidR="00EA6908" w:rsidRPr="00872882" w:rsidRDefault="00EA6908" w:rsidP="00EA6908">
      <w:pPr>
        <w:pStyle w:val="FOAHeading3"/>
        <w:ind w:left="1440"/>
        <w:outlineLvl w:val="2"/>
      </w:pPr>
      <w:bookmarkStart w:id="686" w:name="_Toc140061028"/>
      <w:bookmarkStart w:id="687" w:name="_Toc176864529"/>
      <w:r w:rsidRPr="00C72CE2">
        <w:t>Data Management Plan</w:t>
      </w:r>
      <w:bookmarkEnd w:id="687"/>
      <w:r>
        <w:t xml:space="preserve"> </w:t>
      </w:r>
      <w:bookmarkEnd w:id="686"/>
    </w:p>
    <w:p w14:paraId="31CA2138" w14:textId="3D68765E" w:rsidR="002804FB" w:rsidRPr="008757CD" w:rsidRDefault="002804FB" w:rsidP="00B1386D">
      <w:pPr>
        <w:pStyle w:val="FOATemplateBody"/>
        <w:ind w:left="1440"/>
        <w:rPr>
          <w:rFonts w:asciiTheme="minorHAnsi" w:hAnsiTheme="minorHAnsi"/>
        </w:rPr>
      </w:pPr>
      <w:r>
        <w:rPr>
          <w:rFonts w:asciiTheme="minorHAnsi" w:hAnsiTheme="minorHAnsi"/>
        </w:rPr>
        <w:t>Each a</w:t>
      </w:r>
      <w:r w:rsidRPr="00725466">
        <w:rPr>
          <w:rFonts w:asciiTheme="minorHAnsi" w:hAnsiTheme="minorHAnsi"/>
        </w:rPr>
        <w:t>pplicant</w:t>
      </w:r>
      <w:r>
        <w:rPr>
          <w:rFonts w:asciiTheme="minorHAnsi" w:hAnsiTheme="minorHAnsi"/>
        </w:rPr>
        <w:t xml:space="preserve"> whose F</w:t>
      </w:r>
      <w:r w:rsidRPr="008757CD">
        <w:rPr>
          <w:rFonts w:asciiTheme="minorHAnsi" w:hAnsiTheme="minorHAnsi"/>
        </w:rPr>
        <w:t xml:space="preserve">ull </w:t>
      </w:r>
      <w:r>
        <w:rPr>
          <w:rFonts w:asciiTheme="minorHAnsi" w:hAnsiTheme="minorHAnsi"/>
        </w:rPr>
        <w:t>A</w:t>
      </w:r>
      <w:r w:rsidRPr="008757CD">
        <w:rPr>
          <w:rFonts w:asciiTheme="minorHAnsi" w:hAnsiTheme="minorHAnsi"/>
        </w:rPr>
        <w:t xml:space="preserve">pplication </w:t>
      </w:r>
      <w:r>
        <w:rPr>
          <w:rFonts w:asciiTheme="minorHAnsi" w:hAnsiTheme="minorHAnsi"/>
        </w:rPr>
        <w:t>is</w:t>
      </w:r>
      <w:r w:rsidRPr="008757CD">
        <w:rPr>
          <w:rFonts w:asciiTheme="minorHAnsi" w:hAnsiTheme="minorHAnsi"/>
        </w:rPr>
        <w:t xml:space="preserve"> selected for award negotiations will be required to submit a </w:t>
      </w:r>
      <w:r w:rsidR="00EA6908" w:rsidRPr="5F2B9FEB">
        <w:rPr>
          <w:rFonts w:asciiTheme="minorHAnsi" w:hAnsiTheme="minorHAnsi"/>
        </w:rPr>
        <w:t xml:space="preserve">Data Management Plan </w:t>
      </w:r>
      <w:r w:rsidR="00EA6908">
        <w:rPr>
          <w:rFonts w:asciiTheme="minorHAnsi" w:hAnsiTheme="minorHAnsi"/>
        </w:rPr>
        <w:t>(</w:t>
      </w:r>
      <w:r w:rsidRPr="008757CD">
        <w:rPr>
          <w:rFonts w:asciiTheme="minorHAnsi" w:hAnsiTheme="minorHAnsi"/>
        </w:rPr>
        <w:t>DMP</w:t>
      </w:r>
      <w:r w:rsidR="00EA6908">
        <w:rPr>
          <w:rFonts w:asciiTheme="minorHAnsi" w:hAnsiTheme="minorHAnsi"/>
        </w:rPr>
        <w:t>)</w:t>
      </w:r>
      <w:r w:rsidRPr="008757CD">
        <w:rPr>
          <w:rFonts w:asciiTheme="minorHAnsi" w:hAnsiTheme="minorHAnsi"/>
        </w:rPr>
        <w:t xml:space="preserve"> during the award negotiations phase. </w:t>
      </w:r>
      <w:r w:rsidRPr="00AD4033">
        <w:rPr>
          <w:rFonts w:asciiTheme="minorHAnsi" w:hAnsiTheme="minorHAnsi"/>
        </w:rPr>
        <w:t>A DMP explains how, when appropriate, data generated in the course of the work performed under an EERE award will be shared and preserved to validate the results of the proposed work or how the results could be validated if the data is not shared or preserved.</w:t>
      </w:r>
      <w:r>
        <w:rPr>
          <w:rFonts w:asciiTheme="minorHAnsi" w:hAnsiTheme="minorHAnsi"/>
        </w:rPr>
        <w:t xml:space="preserve"> </w:t>
      </w:r>
      <w:r w:rsidRPr="00AD4033">
        <w:rPr>
          <w:rFonts w:asciiTheme="minorHAnsi" w:hAnsiTheme="minorHAnsi"/>
        </w:rPr>
        <w:t>The DMP must provide a plan for making all research data displayed in publications resulting from the proposed work digitally accessible at the time of publications.</w:t>
      </w:r>
    </w:p>
    <w:p w14:paraId="5D81FFD1" w14:textId="77777777" w:rsidR="00AD6783" w:rsidRDefault="00AD6783" w:rsidP="00C53B99">
      <w:pPr>
        <w:pStyle w:val="FOATemplateBody"/>
        <w:ind w:left="1440"/>
        <w:rPr>
          <w:rFonts w:asciiTheme="minorHAnsi" w:hAnsiTheme="minorHAnsi"/>
        </w:rPr>
      </w:pPr>
    </w:p>
    <w:p w14:paraId="30EAB173" w14:textId="77777777" w:rsidR="00EA6908" w:rsidRPr="00DE01D1" w:rsidRDefault="00EA6908" w:rsidP="00EA6908">
      <w:pPr>
        <w:pStyle w:val="FOAHeading3"/>
        <w:ind w:left="1440"/>
        <w:outlineLvl w:val="2"/>
      </w:pPr>
      <w:bookmarkStart w:id="688" w:name="_Toc110346633"/>
      <w:bookmarkStart w:id="689" w:name="_Toc140061029"/>
      <w:bookmarkStart w:id="690" w:name="_Hlk97646453"/>
      <w:bookmarkStart w:id="691" w:name="_Toc176864530"/>
      <w:r w:rsidRPr="00DE01D1">
        <w:t>Fraud, Waste, and Abuse</w:t>
      </w:r>
      <w:bookmarkEnd w:id="688"/>
      <w:bookmarkEnd w:id="689"/>
      <w:bookmarkEnd w:id="691"/>
    </w:p>
    <w:p w14:paraId="36A650A2" w14:textId="77777777" w:rsidR="00EA6908" w:rsidRPr="00DE01D1" w:rsidRDefault="00EA6908" w:rsidP="00EA6908">
      <w:pPr>
        <w:pStyle w:val="FOATemplateBody"/>
        <w:keepNext/>
        <w:ind w:left="1440"/>
        <w:rPr>
          <w:rFonts w:asciiTheme="minorHAnsi" w:hAnsiTheme="minorHAnsi"/>
        </w:rPr>
      </w:pPr>
      <w:r w:rsidRPr="00DE01D1">
        <w:rPr>
          <w:rFonts w:asciiTheme="minorHAnsi" w:hAnsiTheme="minorHAnsi"/>
        </w:rPr>
        <w:t xml:space="preserve">The mission of the DOE Office of Inspector General (OIG) is to strengthen the integrity, economy, and efficiency of the Department’s programs and operations including deterring and detecting fraud, waste, abuse, and mismanagement. The OIG accomplishes this mission primarily through investigations, audits, and inspections of DOE activities to include grants, cooperative agreements, loans, and contracts. </w:t>
      </w:r>
    </w:p>
    <w:p w14:paraId="2570381C" w14:textId="77777777" w:rsidR="00EA6908" w:rsidRPr="00DE01D1" w:rsidRDefault="00EA6908" w:rsidP="00EA6908">
      <w:pPr>
        <w:pStyle w:val="FOATemplateBody"/>
        <w:ind w:left="1440"/>
        <w:rPr>
          <w:rFonts w:asciiTheme="minorHAnsi" w:hAnsiTheme="minorHAnsi"/>
        </w:rPr>
      </w:pPr>
    </w:p>
    <w:p w14:paraId="5D255B2B" w14:textId="10689316" w:rsidR="00EA6908" w:rsidRPr="00DE01D1" w:rsidRDefault="00EA6908" w:rsidP="00EA6908">
      <w:pPr>
        <w:pStyle w:val="FOATemplateBody"/>
        <w:ind w:left="1440"/>
        <w:rPr>
          <w:rFonts w:asciiTheme="minorHAnsi" w:hAnsiTheme="minorHAnsi"/>
        </w:rPr>
      </w:pPr>
      <w:r w:rsidRPr="00DE01D1">
        <w:rPr>
          <w:rFonts w:asciiTheme="minorHAnsi" w:hAnsiTheme="minorHAnsi"/>
        </w:rPr>
        <w:t xml:space="preserve">The OIG maintains a hotline for reporting allegations of fraud, waste, abuse, or mismanagement. To report such allegations, please visit </w:t>
      </w:r>
      <w:hyperlink r:id="rId65" w:history="1">
        <w:r w:rsidRPr="00DE01D1">
          <w:rPr>
            <w:rStyle w:val="Hyperlink"/>
            <w:rFonts w:asciiTheme="minorHAnsi" w:hAnsiTheme="minorHAnsi"/>
          </w:rPr>
          <w:t>https://www.energy.gov/ig/ig-hotline</w:t>
        </w:r>
      </w:hyperlink>
      <w:r w:rsidRPr="00DE01D1">
        <w:rPr>
          <w:rFonts w:asciiTheme="minorHAnsi" w:hAnsiTheme="minorHAnsi"/>
        </w:rPr>
        <w:t>.</w:t>
      </w:r>
    </w:p>
    <w:p w14:paraId="7D276805" w14:textId="77777777" w:rsidR="00EA6908" w:rsidRPr="00DE01D1" w:rsidRDefault="00EA6908" w:rsidP="00EA6908">
      <w:pPr>
        <w:pStyle w:val="FOATemplateBody"/>
        <w:ind w:left="1440"/>
        <w:rPr>
          <w:rFonts w:asciiTheme="minorHAnsi" w:hAnsiTheme="minorHAnsi"/>
        </w:rPr>
      </w:pPr>
    </w:p>
    <w:p w14:paraId="6BCE7B21" w14:textId="16B7F53F" w:rsidR="00EA6908" w:rsidRPr="00DE01D1" w:rsidRDefault="00EA6908" w:rsidP="00EA6908">
      <w:pPr>
        <w:pStyle w:val="FOATemplateBody"/>
        <w:ind w:left="1440"/>
        <w:rPr>
          <w:rFonts w:asciiTheme="minorHAnsi" w:hAnsiTheme="minorHAnsi"/>
        </w:rPr>
      </w:pPr>
      <w:r w:rsidRPr="00DE01D1">
        <w:rPr>
          <w:rFonts w:asciiTheme="minorHAnsi" w:hAnsiTheme="minorHAnsi"/>
        </w:rPr>
        <w:t xml:space="preserve">Additionally, recipients of DOE awards must be cognizant of the requirements of </w:t>
      </w:r>
      <w:hyperlink r:id="rId66" w:history="1">
        <w:r w:rsidRPr="00DE01D1">
          <w:rPr>
            <w:rStyle w:val="Hyperlink"/>
            <w:rFonts w:cs="Calibri"/>
          </w:rPr>
          <w:t>2 CFR 200.113 Mandatory disclosures</w:t>
        </w:r>
      </w:hyperlink>
      <w:r w:rsidRPr="00DE01D1">
        <w:rPr>
          <w:rFonts w:asciiTheme="minorHAnsi" w:hAnsiTheme="minorHAnsi"/>
        </w:rPr>
        <w:t>, which states:</w:t>
      </w:r>
    </w:p>
    <w:p w14:paraId="6B568FCE" w14:textId="77777777" w:rsidR="00EA6908" w:rsidRPr="00DE01D1" w:rsidRDefault="00EA6908" w:rsidP="00EA6908">
      <w:pPr>
        <w:pStyle w:val="FOATemplateBody"/>
        <w:ind w:left="1440"/>
        <w:rPr>
          <w:rFonts w:asciiTheme="minorHAnsi" w:hAnsiTheme="minorHAnsi"/>
        </w:rPr>
      </w:pPr>
    </w:p>
    <w:p w14:paraId="72D7C48C" w14:textId="21DCEDF9" w:rsidR="00EA6908" w:rsidRPr="00DE01D1" w:rsidRDefault="00EA6908" w:rsidP="00EA6908">
      <w:pPr>
        <w:pStyle w:val="FOATemplateBody"/>
        <w:ind w:left="2160" w:right="720"/>
        <w:rPr>
          <w:rFonts w:cs="Calibri"/>
          <w:color w:val="000000"/>
        </w:rPr>
      </w:pPr>
      <w:r w:rsidRPr="00DE01D1">
        <w:rPr>
          <w:rFonts w:asciiTheme="minorHAnsi" w:hAnsiTheme="minorHAnsi"/>
        </w:rPr>
        <w:t xml:space="preserve">The non-Federal entity or applicant for a </w:t>
      </w:r>
      <w:r w:rsidR="00BD11F8" w:rsidRPr="00DE01D1">
        <w:rPr>
          <w:rFonts w:asciiTheme="minorHAnsi" w:hAnsiTheme="minorHAnsi"/>
        </w:rPr>
        <w:t>federal</w:t>
      </w:r>
      <w:r w:rsidRPr="00DE01D1">
        <w:rPr>
          <w:rFonts w:asciiTheme="minorHAnsi" w:hAnsiTheme="minorHAnsi"/>
        </w:rPr>
        <w:t xml:space="preserve"> award must disclose, in a timely manner, in writing to the Federal awarding agency or pass-through entity all violations of Federal criminal law involving fraud, bribery, or gratuity violations potentially affecting the Federal award. Non-Federal entities that have received a </w:t>
      </w:r>
      <w:r w:rsidR="00BD11F8" w:rsidRPr="00DE01D1">
        <w:rPr>
          <w:rFonts w:asciiTheme="minorHAnsi" w:hAnsiTheme="minorHAnsi"/>
        </w:rPr>
        <w:t>federal</w:t>
      </w:r>
      <w:r w:rsidRPr="00DE01D1">
        <w:rPr>
          <w:rFonts w:asciiTheme="minorHAnsi" w:hAnsiTheme="minorHAnsi"/>
        </w:rPr>
        <w:t xml:space="preserve"> award including the term and condition outlined in appendix XII of 2 CFR Part 200 are required to report certain civil, criminal, or administrative proceedings to SAM.gov. Failure to make required disclosures can result in any of the remedies described in </w:t>
      </w:r>
      <w:hyperlink r:id="rId67" w:history="1">
        <w:r w:rsidRPr="00DE01D1">
          <w:rPr>
            <w:rStyle w:val="Hyperlink"/>
            <w:rFonts w:cs="Calibri"/>
          </w:rPr>
          <w:t>2 CFR 200.339</w:t>
        </w:r>
      </w:hyperlink>
      <w:r w:rsidRPr="00DE01D1">
        <w:rPr>
          <w:rFonts w:cs="Calibri"/>
          <w:color w:val="000000"/>
        </w:rPr>
        <w:t xml:space="preserve">. (See also </w:t>
      </w:r>
      <w:hyperlink r:id="rId68" w:history="1">
        <w:r w:rsidRPr="00DE01D1">
          <w:rPr>
            <w:rStyle w:val="Hyperlink"/>
            <w:rFonts w:cs="Calibri"/>
          </w:rPr>
          <w:t>2 CFR part 180</w:t>
        </w:r>
      </w:hyperlink>
      <w:r w:rsidRPr="00DE01D1">
        <w:rPr>
          <w:rFonts w:cs="Calibri"/>
          <w:color w:val="000000"/>
        </w:rPr>
        <w:t xml:space="preserve">, </w:t>
      </w:r>
      <w:hyperlink r:id="rId69" w:tgtFrame="_blank" w:history="1">
        <w:r w:rsidRPr="00DE01D1">
          <w:rPr>
            <w:rStyle w:val="Hyperlink"/>
            <w:rFonts w:cs="Calibri"/>
          </w:rPr>
          <w:t>31 U.S.C. § 3321</w:t>
        </w:r>
      </w:hyperlink>
      <w:r w:rsidRPr="00DE01D1">
        <w:rPr>
          <w:rFonts w:cs="Calibri"/>
          <w:color w:val="000000"/>
        </w:rPr>
        <w:t xml:space="preserve">, and </w:t>
      </w:r>
      <w:hyperlink r:id="rId70" w:tgtFrame="_blank" w:history="1">
        <w:r w:rsidRPr="00DE01D1">
          <w:rPr>
            <w:rStyle w:val="Hyperlink"/>
            <w:rFonts w:cs="Calibri"/>
          </w:rPr>
          <w:t>41 U.S.C. § 2313</w:t>
        </w:r>
      </w:hyperlink>
      <w:r w:rsidRPr="00DE01D1">
        <w:rPr>
          <w:rFonts w:cs="Calibri"/>
          <w:color w:val="000000"/>
        </w:rPr>
        <w:t>.) [</w:t>
      </w:r>
      <w:hyperlink r:id="rId71" w:history="1">
        <w:r w:rsidRPr="00DE01D1">
          <w:rPr>
            <w:rStyle w:val="Hyperlink"/>
            <w:rFonts w:cs="Calibri"/>
          </w:rPr>
          <w:t>85 FR 49539</w:t>
        </w:r>
      </w:hyperlink>
      <w:r w:rsidRPr="00DE01D1">
        <w:rPr>
          <w:rFonts w:cs="Calibri"/>
          <w:color w:val="000000"/>
        </w:rPr>
        <w:t>, Aug. 13, 2020]</w:t>
      </w:r>
    </w:p>
    <w:bookmarkEnd w:id="690"/>
    <w:p w14:paraId="5A9C32A8" w14:textId="77777777" w:rsidR="00EA6908" w:rsidRPr="00DE01D1" w:rsidRDefault="00EA6908" w:rsidP="00EA6908">
      <w:pPr>
        <w:pStyle w:val="FOATemplateBody"/>
        <w:ind w:left="2160" w:right="720"/>
        <w:rPr>
          <w:rFonts w:cs="Calibri"/>
          <w:color w:val="000000"/>
          <w:szCs w:val="24"/>
        </w:rPr>
      </w:pPr>
    </w:p>
    <w:p w14:paraId="3550445A" w14:textId="77777777" w:rsidR="00EA6908" w:rsidRPr="006C56C2" w:rsidRDefault="00EA6908" w:rsidP="00EA6908">
      <w:pPr>
        <w:pStyle w:val="FOATemplateBody"/>
        <w:ind w:left="1440" w:right="720"/>
        <w:rPr>
          <w:rFonts w:asciiTheme="minorHAnsi" w:hAnsiTheme="minorHAnsi"/>
        </w:rPr>
      </w:pPr>
      <w:r w:rsidRPr="00DE01D1">
        <w:t xml:space="preserve">Applicants and subrecipients (if applicable) are encouraged to allocate sufficient costs in the project budget to cover the costs associated for personnel and data infrastructure needs to support performance </w:t>
      </w:r>
      <w:r w:rsidRPr="00DE01D1">
        <w:lastRenderedPageBreak/>
        <w:t>management and program evaluation needs, including but not limited to independent program and project audits to mitigate risks for fraud, waste, and abuse.</w:t>
      </w:r>
    </w:p>
    <w:p w14:paraId="635B0B0F" w14:textId="77777777" w:rsidR="00EA6908" w:rsidRDefault="00EA6908" w:rsidP="00EA6908">
      <w:pPr>
        <w:pStyle w:val="FOATemplateBody"/>
        <w:ind w:left="1440"/>
        <w:rPr>
          <w:rFonts w:asciiTheme="minorHAnsi" w:hAnsiTheme="minorHAnsi"/>
        </w:rPr>
      </w:pPr>
    </w:p>
    <w:p w14:paraId="36C41A89" w14:textId="77777777" w:rsidR="00EA6908" w:rsidRPr="00DE01D1" w:rsidRDefault="00EA6908" w:rsidP="00EA6908">
      <w:pPr>
        <w:pStyle w:val="FOAHeading3"/>
        <w:ind w:left="1440"/>
        <w:outlineLvl w:val="2"/>
      </w:pPr>
      <w:bookmarkStart w:id="692" w:name="_Toc140061030"/>
      <w:bookmarkStart w:id="693" w:name="_Toc176864531"/>
      <w:r w:rsidRPr="00DE01D1">
        <w:t>Human Subjects Research</w:t>
      </w:r>
      <w:bookmarkEnd w:id="692"/>
      <w:bookmarkEnd w:id="693"/>
    </w:p>
    <w:p w14:paraId="1930A9B3" w14:textId="710E2286" w:rsidR="00EA6908" w:rsidRPr="00F51D93" w:rsidRDefault="00EA6908" w:rsidP="00EA6908">
      <w:pPr>
        <w:pStyle w:val="FOATemplateBody"/>
        <w:ind w:left="1440"/>
      </w:pPr>
      <w:r w:rsidRPr="00DE01D1">
        <w:t xml:space="preserve">Research involving human subjects, biospecimens, or identifiable private information conducted with DOE funding is subject to the requirements of DOE Order 443.1C, Protection of Human Research Subjects, 45 CFR Part 46, Protection of Human Subjects (subpart A which is referred to as the “Common Rule”), and 10 CFR Part 745, Protection of Human Subjects. Additional information on the DOE Human Subjects Research Program can be found at: </w:t>
      </w:r>
      <w:hyperlink r:id="rId72" w:history="1">
        <w:r w:rsidRPr="00DE01D1">
          <w:rPr>
            <w:rStyle w:val="Hyperlink"/>
          </w:rPr>
          <w:t>HUMAN SUBJECTS Human Subjects Pr... | U.S. DOE Office of Science (SC) (osti.gov)</w:t>
        </w:r>
      </w:hyperlink>
      <w:r w:rsidRPr="00DE01D1">
        <w:rPr>
          <w:snapToGrid w:val="0"/>
          <w:color w:val="000000"/>
        </w:rPr>
        <w:t>.</w:t>
      </w:r>
    </w:p>
    <w:p w14:paraId="0DC5E1F7" w14:textId="77777777" w:rsidR="00EA6908" w:rsidRDefault="00EA6908" w:rsidP="00C53B99">
      <w:pPr>
        <w:pStyle w:val="FOATemplateBody"/>
        <w:ind w:left="1440"/>
        <w:rPr>
          <w:rFonts w:asciiTheme="minorHAnsi" w:hAnsiTheme="minorHAnsi"/>
        </w:rPr>
      </w:pPr>
    </w:p>
    <w:p w14:paraId="4DA5A85F" w14:textId="51DAA71C" w:rsidR="00B07932" w:rsidRPr="007B57F7" w:rsidRDefault="004E672B" w:rsidP="001612A1">
      <w:pPr>
        <w:pStyle w:val="FOAHeading2"/>
      </w:pPr>
      <w:bookmarkStart w:id="694" w:name="_Toc62061180"/>
      <w:bookmarkStart w:id="695" w:name="_Toc62108932"/>
      <w:bookmarkStart w:id="696" w:name="_Toc517798938"/>
      <w:bookmarkStart w:id="697" w:name="_Toc519602266"/>
      <w:bookmarkStart w:id="698" w:name="_Toc519602438"/>
      <w:bookmarkStart w:id="699" w:name="_Toc176864532"/>
      <w:bookmarkEnd w:id="694"/>
      <w:bookmarkEnd w:id="695"/>
      <w:r w:rsidRPr="007B57F7">
        <w:t>Program Down-Select</w:t>
      </w:r>
      <w:bookmarkEnd w:id="696"/>
      <w:bookmarkEnd w:id="697"/>
      <w:bookmarkEnd w:id="698"/>
      <w:bookmarkEnd w:id="699"/>
    </w:p>
    <w:p w14:paraId="353A1471" w14:textId="7CABC7F0" w:rsidR="00EA6908" w:rsidRPr="006C56C2" w:rsidRDefault="00546293" w:rsidP="00EA6908">
      <w:pPr>
        <w:pStyle w:val="FOATemplateBody"/>
        <w:ind w:left="1080"/>
        <w:rPr>
          <w:rFonts w:asciiTheme="minorHAnsi" w:hAnsiTheme="minorHAnsi"/>
        </w:rPr>
      </w:pPr>
      <w:r w:rsidRPr="008015FD">
        <w:rPr>
          <w:color w:val="000000"/>
        </w:rPr>
        <w:t xml:space="preserve">For </w:t>
      </w:r>
      <w:r>
        <w:rPr>
          <w:color w:val="000000"/>
        </w:rPr>
        <w:t>Topic</w:t>
      </w:r>
      <w:r w:rsidRPr="008015FD">
        <w:rPr>
          <w:color w:val="000000"/>
        </w:rPr>
        <w:t xml:space="preserve"> Area</w:t>
      </w:r>
      <w:r>
        <w:rPr>
          <w:color w:val="000000"/>
        </w:rPr>
        <w:t>s 1</w:t>
      </w:r>
      <w:r w:rsidR="00B11E00">
        <w:rPr>
          <w:color w:val="000000"/>
        </w:rPr>
        <w:t>,</w:t>
      </w:r>
      <w:r w:rsidR="001C3552">
        <w:rPr>
          <w:color w:val="000000"/>
        </w:rPr>
        <w:t xml:space="preserve"> </w:t>
      </w:r>
      <w:r>
        <w:rPr>
          <w:color w:val="000000"/>
        </w:rPr>
        <w:t>2</w:t>
      </w:r>
      <w:r w:rsidR="00B11E00">
        <w:rPr>
          <w:color w:val="000000"/>
        </w:rPr>
        <w:t>, and 3</w:t>
      </w:r>
      <w:r w:rsidRPr="008015FD">
        <w:rPr>
          <w:color w:val="000000"/>
        </w:rPr>
        <w:t xml:space="preserve">, EERE intends to conduct a competitive project review (down-selection process) upon the completion of Phase 1. </w:t>
      </w:r>
      <w:r w:rsidR="00EA6908" w:rsidRPr="5F2B9FEB">
        <w:rPr>
          <w:rFonts w:asciiTheme="minorHAnsi" w:hAnsiTheme="minorHAnsi"/>
        </w:rPr>
        <w:t xml:space="preserve">Recipients will present their projects to EERE individually (not to other recipients). Subject matter experts from academia, national laboratories, and industry may be used as reviewers, subject to conflict of interest and non-disclosure considerations. </w:t>
      </w:r>
      <w:r w:rsidR="00107698" w:rsidRPr="008015FD">
        <w:rPr>
          <w:color w:val="000000"/>
        </w:rPr>
        <w:t>Projects will be evaluated based on the criteria</w:t>
      </w:r>
      <w:r w:rsidR="00107698">
        <w:rPr>
          <w:color w:val="000000"/>
        </w:rPr>
        <w:t xml:space="preserve"> listed in </w:t>
      </w:r>
      <w:r w:rsidR="00107698" w:rsidRPr="002C5E34">
        <w:rPr>
          <w:b/>
          <w:bCs/>
          <w:color w:val="000000"/>
        </w:rPr>
        <w:t>Appendix I</w:t>
      </w:r>
      <w:r w:rsidR="00107698" w:rsidRPr="002C5E34">
        <w:rPr>
          <w:b/>
          <w:bCs/>
        </w:rPr>
        <w:t xml:space="preserve"> – Preliminary Design Requirements</w:t>
      </w:r>
      <w:r w:rsidR="00107698">
        <w:rPr>
          <w:color w:val="000000"/>
          <w:sz w:val="23"/>
          <w:szCs w:val="23"/>
        </w:rPr>
        <w:t>.</w:t>
      </w:r>
    </w:p>
    <w:p w14:paraId="102EF2D1" w14:textId="77777777" w:rsidR="00EA6908" w:rsidRDefault="00EA6908" w:rsidP="00EA6908">
      <w:pPr>
        <w:pStyle w:val="FOATemplateBody"/>
        <w:ind w:left="1080"/>
        <w:rPr>
          <w:rFonts w:asciiTheme="minorHAnsi" w:hAnsiTheme="minorHAnsi"/>
        </w:rPr>
      </w:pPr>
    </w:p>
    <w:p w14:paraId="50325344" w14:textId="77777777" w:rsidR="007C4CA2" w:rsidRDefault="00B8592A">
      <w:pPr>
        <w:pBdr>
          <w:top w:val="nil"/>
          <w:left w:val="nil"/>
          <w:bottom w:val="nil"/>
          <w:right w:val="nil"/>
          <w:between w:val="nil"/>
        </w:pBdr>
        <w:ind w:left="1080"/>
        <w:rPr>
          <w:rFonts w:ascii="Calibri" w:hAnsi="Calibri"/>
          <w:color w:val="000000"/>
          <w:szCs w:val="24"/>
        </w:rPr>
      </w:pPr>
      <w:r w:rsidRPr="002C5E34">
        <w:rPr>
          <w:rFonts w:ascii="Calibri" w:hAnsi="Calibri"/>
          <w:color w:val="000000"/>
          <w:szCs w:val="24"/>
        </w:rPr>
        <w:t xml:space="preserve">To ensure rapid execution of Phase 2, the readiness of all projects will be evaluated at the down-select review. Within the availability of DOE funding, only the projects demonstrating the most mature project execution plans prepared in Phase 1 will be considered to proceed to Phase 2. </w:t>
      </w:r>
      <w:r w:rsidR="0003452E">
        <w:rPr>
          <w:rFonts w:ascii="Calibri" w:hAnsi="Calibri"/>
          <w:color w:val="000000"/>
          <w:szCs w:val="24"/>
        </w:rPr>
        <w:t xml:space="preserve">Successful completion of </w:t>
      </w:r>
      <w:r w:rsidR="00F905BD">
        <w:rPr>
          <w:rFonts w:ascii="Calibri" w:hAnsi="Calibri"/>
          <w:color w:val="000000"/>
          <w:szCs w:val="24"/>
        </w:rPr>
        <w:t>a Phase 1 award does not guarantee a Phase 2 award.</w:t>
      </w:r>
      <w:r w:rsidR="006B4969">
        <w:rPr>
          <w:rFonts w:ascii="Calibri" w:hAnsi="Calibri"/>
          <w:color w:val="000000"/>
          <w:szCs w:val="24"/>
        </w:rPr>
        <w:t xml:space="preserve"> Phase 2 funds are subject to future appropriations and availab</w:t>
      </w:r>
      <w:r w:rsidR="007C4CA2">
        <w:rPr>
          <w:rFonts w:ascii="Calibri" w:hAnsi="Calibri"/>
          <w:color w:val="000000"/>
          <w:szCs w:val="24"/>
        </w:rPr>
        <w:t xml:space="preserve">ility of funds. </w:t>
      </w:r>
      <w:r w:rsidR="00F905BD">
        <w:rPr>
          <w:rFonts w:ascii="Calibri" w:hAnsi="Calibri"/>
          <w:color w:val="000000"/>
          <w:szCs w:val="24"/>
        </w:rPr>
        <w:t xml:space="preserve">  </w:t>
      </w:r>
    </w:p>
    <w:p w14:paraId="2B30C41A" w14:textId="77777777" w:rsidR="007C4CA2" w:rsidRDefault="007C4CA2">
      <w:pPr>
        <w:pBdr>
          <w:top w:val="nil"/>
          <w:left w:val="nil"/>
          <w:bottom w:val="nil"/>
          <w:right w:val="nil"/>
          <w:between w:val="nil"/>
        </w:pBdr>
        <w:ind w:left="1080"/>
        <w:rPr>
          <w:rFonts w:ascii="Calibri" w:hAnsi="Calibri"/>
          <w:color w:val="000000"/>
          <w:szCs w:val="24"/>
        </w:rPr>
      </w:pPr>
    </w:p>
    <w:p w14:paraId="6D879931" w14:textId="7DF7EC4A" w:rsidR="00B8592A" w:rsidRPr="002C5E34" w:rsidRDefault="00B8592A" w:rsidP="008B0D95">
      <w:pPr>
        <w:pBdr>
          <w:top w:val="nil"/>
          <w:left w:val="nil"/>
          <w:bottom w:val="nil"/>
          <w:right w:val="nil"/>
          <w:between w:val="nil"/>
        </w:pBdr>
        <w:ind w:left="1080"/>
        <w:rPr>
          <w:rFonts w:ascii="Calibri" w:hAnsi="Calibri"/>
          <w:color w:val="000000"/>
          <w:szCs w:val="24"/>
        </w:rPr>
      </w:pPr>
      <w:r w:rsidRPr="002C5E34">
        <w:rPr>
          <w:rFonts w:ascii="Calibri" w:hAnsi="Calibri"/>
          <w:color w:val="000000"/>
          <w:szCs w:val="24"/>
        </w:rPr>
        <w:t xml:space="preserve">All Project Phase 1 deliverables will be evaluated based on the following criteria: </w:t>
      </w:r>
    </w:p>
    <w:p w14:paraId="060CDA33" w14:textId="77777777" w:rsidR="00B8592A" w:rsidRPr="002C5E34" w:rsidRDefault="00B8592A" w:rsidP="00B8592A">
      <w:pPr>
        <w:ind w:left="1620"/>
        <w:rPr>
          <w:rFonts w:ascii="Calibri" w:hAnsi="Calibri"/>
          <w:color w:val="000000"/>
          <w:szCs w:val="24"/>
        </w:rPr>
      </w:pPr>
    </w:p>
    <w:p w14:paraId="361B917F" w14:textId="77777777" w:rsidR="00B8592A" w:rsidRPr="002C5E34" w:rsidRDefault="00B8592A" w:rsidP="00B8592A">
      <w:pPr>
        <w:numPr>
          <w:ilvl w:val="0"/>
          <w:numId w:val="153"/>
        </w:numPr>
        <w:pBdr>
          <w:top w:val="nil"/>
          <w:left w:val="nil"/>
          <w:bottom w:val="nil"/>
          <w:right w:val="nil"/>
          <w:between w:val="nil"/>
        </w:pBdr>
        <w:rPr>
          <w:rFonts w:ascii="Calibri" w:hAnsi="Calibri"/>
          <w:color w:val="000000"/>
          <w:szCs w:val="24"/>
        </w:rPr>
      </w:pPr>
      <w:r w:rsidRPr="002C5E34">
        <w:rPr>
          <w:rFonts w:ascii="Calibri" w:hAnsi="Calibri"/>
          <w:color w:val="000000"/>
          <w:szCs w:val="24"/>
        </w:rPr>
        <w:t xml:space="preserve">The degree to which the Phase 1 deliverables present a comprehensive and complete description of the scope, schedule, and budget that will be required to successfully execute Phase 2. </w:t>
      </w:r>
    </w:p>
    <w:p w14:paraId="5AA98D1A" w14:textId="77777777" w:rsidR="00B8592A" w:rsidRPr="002C5E34" w:rsidRDefault="00B8592A" w:rsidP="00B8592A">
      <w:pPr>
        <w:numPr>
          <w:ilvl w:val="0"/>
          <w:numId w:val="153"/>
        </w:numPr>
        <w:pBdr>
          <w:top w:val="nil"/>
          <w:left w:val="nil"/>
          <w:bottom w:val="nil"/>
          <w:right w:val="nil"/>
          <w:between w:val="nil"/>
        </w:pBdr>
        <w:rPr>
          <w:rFonts w:ascii="Calibri" w:hAnsi="Calibri"/>
          <w:color w:val="000000"/>
          <w:szCs w:val="24"/>
        </w:rPr>
      </w:pPr>
      <w:r w:rsidRPr="002C5E34">
        <w:rPr>
          <w:rFonts w:ascii="Calibri" w:hAnsi="Calibri"/>
          <w:color w:val="000000"/>
          <w:szCs w:val="24"/>
        </w:rPr>
        <w:t xml:space="preserve">Demonstration that all prior-scale data which will be necessary to rapidly execute Phase 2 has been obtained and incorporated into the project plans. </w:t>
      </w:r>
    </w:p>
    <w:p w14:paraId="09835EA8" w14:textId="77777777" w:rsidR="00D93050" w:rsidRDefault="00B8592A" w:rsidP="00D93050">
      <w:pPr>
        <w:numPr>
          <w:ilvl w:val="0"/>
          <w:numId w:val="153"/>
        </w:numPr>
        <w:pBdr>
          <w:top w:val="nil"/>
          <w:left w:val="nil"/>
          <w:bottom w:val="nil"/>
          <w:right w:val="nil"/>
          <w:between w:val="nil"/>
        </w:pBdr>
        <w:rPr>
          <w:rFonts w:ascii="Calibri" w:hAnsi="Calibri"/>
          <w:color w:val="000000"/>
          <w:szCs w:val="24"/>
        </w:rPr>
      </w:pPr>
      <w:r w:rsidRPr="002C5E34">
        <w:rPr>
          <w:rFonts w:ascii="Calibri" w:hAnsi="Calibri"/>
          <w:color w:val="000000"/>
          <w:szCs w:val="24"/>
        </w:rPr>
        <w:t xml:space="preserve">The degree to which sufficient cost share, contingency, and other financial resources have been secured to enable rapid execution of Phase 2. </w:t>
      </w:r>
    </w:p>
    <w:p w14:paraId="17480EEA" w14:textId="4C1CD77B" w:rsidR="00B8592A" w:rsidRPr="008B0D95" w:rsidRDefault="00B8592A" w:rsidP="008B0D95">
      <w:pPr>
        <w:numPr>
          <w:ilvl w:val="0"/>
          <w:numId w:val="153"/>
        </w:numPr>
        <w:pBdr>
          <w:top w:val="nil"/>
          <w:left w:val="nil"/>
          <w:bottom w:val="nil"/>
          <w:right w:val="nil"/>
          <w:between w:val="nil"/>
        </w:pBdr>
        <w:rPr>
          <w:rFonts w:ascii="Calibri" w:hAnsi="Calibri"/>
          <w:color w:val="000000"/>
          <w:szCs w:val="24"/>
        </w:rPr>
      </w:pPr>
      <w:r w:rsidRPr="008B0D95">
        <w:rPr>
          <w:color w:val="000000"/>
          <w:szCs w:val="24"/>
        </w:rPr>
        <w:lastRenderedPageBreak/>
        <w:t>The degree to which all other project resources, such as, but not limited to: site access, required permitting and regulatory approvals, stakeholder and sponsor support, and any licensing agreements have been secured.</w:t>
      </w:r>
    </w:p>
    <w:p w14:paraId="277B7BF6" w14:textId="77777777" w:rsidR="00B8592A" w:rsidRPr="00B977A3" w:rsidRDefault="00B8592A" w:rsidP="00EA6908">
      <w:pPr>
        <w:pStyle w:val="FOATemplateBody"/>
        <w:ind w:left="1080"/>
        <w:rPr>
          <w:rFonts w:asciiTheme="minorHAnsi" w:hAnsiTheme="minorHAnsi"/>
        </w:rPr>
      </w:pPr>
    </w:p>
    <w:p w14:paraId="74260581" w14:textId="1CD9F90D" w:rsidR="00EA6908" w:rsidRPr="006C56C2" w:rsidRDefault="00EA6908" w:rsidP="00EA6908">
      <w:pPr>
        <w:pStyle w:val="FOATemplateBody"/>
        <w:ind w:left="1080"/>
        <w:rPr>
          <w:rFonts w:asciiTheme="minorHAnsi" w:hAnsiTheme="minorHAnsi"/>
        </w:rPr>
      </w:pPr>
      <w:r w:rsidRPr="5F2B9FEB">
        <w:rPr>
          <w:rFonts w:asciiTheme="minorHAnsi" w:hAnsiTheme="minorHAnsi"/>
        </w:rPr>
        <w:t>Upon completion of the competitive project review (down-selection process), EERE will select which projects will receive federal funding beyond</w:t>
      </w:r>
      <w:r w:rsidR="00D93050">
        <w:rPr>
          <w:rFonts w:asciiTheme="minorHAnsi" w:hAnsiTheme="minorHAnsi"/>
          <w:color w:val="0000FF"/>
        </w:rPr>
        <w:t xml:space="preserve"> </w:t>
      </w:r>
      <w:r w:rsidR="00D93050" w:rsidRPr="008B0D95">
        <w:rPr>
          <w:rFonts w:asciiTheme="minorHAnsi" w:hAnsiTheme="minorHAnsi"/>
        </w:rPr>
        <w:t>Phase 1</w:t>
      </w:r>
      <w:r w:rsidRPr="5F2B9FEB">
        <w:rPr>
          <w:rFonts w:asciiTheme="minorHAnsi" w:hAnsiTheme="minorHAnsi"/>
        </w:rPr>
        <w:t xml:space="preserve">. Due to the availability of funding and program considerations, </w:t>
      </w:r>
      <w:r w:rsidR="00C93B6A">
        <w:rPr>
          <w:rFonts w:asciiTheme="minorHAnsi" w:hAnsiTheme="minorHAnsi"/>
        </w:rPr>
        <w:t xml:space="preserve">none or </w:t>
      </w:r>
      <w:r w:rsidRPr="5F2B9FEB">
        <w:rPr>
          <w:rFonts w:asciiTheme="minorHAnsi" w:hAnsiTheme="minorHAnsi"/>
        </w:rPr>
        <w:t xml:space="preserve">only a portion of the recipients will be selected to receive funding for project continuation. As a result of this down-select process, </w:t>
      </w:r>
      <w:r w:rsidRPr="5F2B9FEB">
        <w:rPr>
          <w:rFonts w:asciiTheme="minorHAnsi" w:hAnsiTheme="minorHAnsi"/>
          <w:u w:val="single"/>
        </w:rPr>
        <w:t xml:space="preserve">certain projects will not receive federal funding beyond </w:t>
      </w:r>
      <w:r w:rsidR="0007397D" w:rsidRPr="008B0D95">
        <w:rPr>
          <w:rFonts w:asciiTheme="minorHAnsi" w:hAnsiTheme="minorHAnsi"/>
          <w:u w:val="single"/>
        </w:rPr>
        <w:t>Phase 1</w:t>
      </w:r>
      <w:r w:rsidRPr="5F2B9FEB">
        <w:rPr>
          <w:rFonts w:asciiTheme="minorHAnsi" w:hAnsiTheme="minorHAnsi"/>
          <w:u w:val="single"/>
        </w:rPr>
        <w:t xml:space="preserve"> even if the project is meeting the predefined metrics</w:t>
      </w:r>
      <w:r w:rsidRPr="5F2B9FEB">
        <w:rPr>
          <w:rFonts w:asciiTheme="minorHAnsi" w:hAnsiTheme="minorHAnsi"/>
        </w:rPr>
        <w:t xml:space="preserve">. </w:t>
      </w:r>
    </w:p>
    <w:bookmarkEnd w:id="289"/>
    <w:bookmarkEnd w:id="290"/>
    <w:bookmarkEnd w:id="291"/>
    <w:p w14:paraId="74D91735" w14:textId="77777777" w:rsidR="00B07932" w:rsidRPr="008858B4" w:rsidRDefault="00B07932" w:rsidP="00EA6908"/>
    <w:p w14:paraId="475C482F" w14:textId="17807748" w:rsidR="00B07932" w:rsidRPr="00126FBB" w:rsidRDefault="004E672B" w:rsidP="00B159B5">
      <w:pPr>
        <w:pStyle w:val="FOAHeading1"/>
      </w:pPr>
      <w:bookmarkStart w:id="700" w:name="_Toc517798939"/>
      <w:bookmarkStart w:id="701" w:name="_Toc519602267"/>
      <w:bookmarkStart w:id="702" w:name="_Toc519602439"/>
      <w:bookmarkStart w:id="703" w:name="_Toc176864533"/>
      <w:r w:rsidRPr="00126FBB">
        <w:t>Questions/Agency Contacts</w:t>
      </w:r>
      <w:bookmarkEnd w:id="700"/>
      <w:bookmarkEnd w:id="701"/>
      <w:bookmarkEnd w:id="702"/>
      <w:bookmarkEnd w:id="703"/>
    </w:p>
    <w:p w14:paraId="486221B6" w14:textId="3BE86910" w:rsidR="00514F0B" w:rsidRPr="008858B4" w:rsidRDefault="004E672B" w:rsidP="005D7086">
      <w:pPr>
        <w:ind w:left="1080"/>
      </w:pPr>
      <w:r w:rsidRPr="008858B4">
        <w:t xml:space="preserve">Upon the issuance of a FOA, EERE personnel are prohibited from communicating (in writing or otherwise) with applicants regarding the FOA except through the established question and answer process described below. </w:t>
      </w:r>
      <w:r w:rsidR="00EA6908">
        <w:t>Q</w:t>
      </w:r>
      <w:r w:rsidR="006D4F08" w:rsidRPr="006D4F08">
        <w:t xml:space="preserve">uestions regarding this FOA must be submitted </w:t>
      </w:r>
      <w:r w:rsidR="00385654">
        <w:t>to</w:t>
      </w:r>
      <w:r w:rsidR="00EA6908">
        <w:t xml:space="preserve"> </w:t>
      </w:r>
      <w:r w:rsidR="00E7530F" w:rsidRPr="008B0D95">
        <w:rPr>
          <w:iCs/>
          <w:szCs w:val="24"/>
        </w:rPr>
        <w:t>FY24BETO</w:t>
      </w:r>
      <w:r w:rsidR="00986C15">
        <w:rPr>
          <w:iCs/>
          <w:szCs w:val="24"/>
        </w:rPr>
        <w:t>SCALE-UP</w:t>
      </w:r>
      <w:r w:rsidR="00E7530F" w:rsidRPr="008B0D95">
        <w:rPr>
          <w:iCs/>
          <w:szCs w:val="24"/>
        </w:rPr>
        <w:t>@ee.doe.gov</w:t>
      </w:r>
      <w:r w:rsidR="00E7530F" w:rsidDel="00E7530F">
        <w:rPr>
          <w:color w:val="0000FF"/>
        </w:rPr>
        <w:t xml:space="preserve"> </w:t>
      </w:r>
      <w:r w:rsidR="006D4F08" w:rsidRPr="006D4F08">
        <w:t xml:space="preserve">no later than </w:t>
      </w:r>
      <w:r w:rsidR="00EA6908">
        <w:t>three (</w:t>
      </w:r>
      <w:r w:rsidR="006D4F08" w:rsidRPr="006D4F08">
        <w:t>3</w:t>
      </w:r>
      <w:r w:rsidR="00EA6908">
        <w:t>)</w:t>
      </w:r>
      <w:r w:rsidR="006D4F08" w:rsidRPr="006D4F08">
        <w:t xml:space="preserve"> business days prior to the application due date and time. Please note, feedback on individual concepts will not be provided through Q&amp;A.</w:t>
      </w:r>
      <w:r>
        <w:t xml:space="preserve"> </w:t>
      </w:r>
    </w:p>
    <w:p w14:paraId="77B41A1B" w14:textId="77777777" w:rsidR="00B07932" w:rsidRPr="008858B4" w:rsidRDefault="00B07932" w:rsidP="005D7086">
      <w:pPr>
        <w:ind w:left="1080"/>
      </w:pPr>
    </w:p>
    <w:p w14:paraId="535A7997" w14:textId="6D4A0948" w:rsidR="00B07932" w:rsidRPr="008858B4" w:rsidRDefault="004E672B" w:rsidP="005D7086">
      <w:pPr>
        <w:ind w:left="1080"/>
      </w:pPr>
      <w:r w:rsidRPr="008858B4">
        <w:t xml:space="preserve">All questions and answers related to this FOA will be posted on </w:t>
      </w:r>
      <w:r w:rsidR="002C6207">
        <w:t xml:space="preserve">EERE </w:t>
      </w:r>
      <w:r w:rsidR="00BB516E">
        <w:t>eXCHANGE</w:t>
      </w:r>
      <w:r w:rsidR="002C6207" w:rsidRPr="008858B4">
        <w:t xml:space="preserve"> </w:t>
      </w:r>
      <w:r w:rsidRPr="008858B4">
        <w:t xml:space="preserve">at: </w:t>
      </w:r>
      <w:hyperlink r:id="rId73" w:history="1">
        <w:r w:rsidR="002C6207" w:rsidRPr="002C6207">
          <w:rPr>
            <w:rStyle w:val="Hyperlink"/>
          </w:rPr>
          <w:t>https://eere-exchange.energy.gov</w:t>
        </w:r>
      </w:hyperlink>
      <w:r w:rsidRPr="008858B4">
        <w:t xml:space="preserve">. </w:t>
      </w:r>
      <w:r w:rsidR="00EA6908">
        <w:rPr>
          <w:b/>
        </w:rPr>
        <w:t>Y</w:t>
      </w:r>
      <w:r w:rsidRPr="00120F39">
        <w:rPr>
          <w:b/>
        </w:rPr>
        <w:t>ou must first select th</w:t>
      </w:r>
      <w:r w:rsidR="00EA6908">
        <w:rPr>
          <w:b/>
        </w:rPr>
        <w:t>e</w:t>
      </w:r>
      <w:r w:rsidRPr="00120F39">
        <w:rPr>
          <w:b/>
        </w:rPr>
        <w:t xml:space="preserve"> FOA Number to view the questions and answers specific to this FOA</w:t>
      </w:r>
      <w:r w:rsidRPr="008858B4">
        <w:t xml:space="preserve">. EERE will attempt to respond to a question within </w:t>
      </w:r>
      <w:r w:rsidR="00F15B63">
        <w:t>three (</w:t>
      </w:r>
      <w:r w:rsidRPr="008858B4">
        <w:t>3</w:t>
      </w:r>
      <w:r w:rsidR="00F15B63">
        <w:t>)</w:t>
      </w:r>
      <w:r w:rsidRPr="008858B4">
        <w:t xml:space="preserve"> business days unless a similar question and answer has already been posted on the website.</w:t>
      </w:r>
    </w:p>
    <w:p w14:paraId="50F77264" w14:textId="77777777" w:rsidR="00B07932" w:rsidRPr="008858B4" w:rsidRDefault="00B07932" w:rsidP="005D7086">
      <w:pPr>
        <w:ind w:left="1080"/>
      </w:pPr>
    </w:p>
    <w:p w14:paraId="7F6F0B8A" w14:textId="27398859" w:rsidR="00EB0439" w:rsidRPr="008858B4" w:rsidRDefault="00EB0439" w:rsidP="005D7086">
      <w:pPr>
        <w:ind w:left="1080"/>
      </w:pPr>
      <w:r>
        <w:t xml:space="preserve">Questions related to the registration process and use of the EERE </w:t>
      </w:r>
      <w:r w:rsidR="00BB516E">
        <w:t>eXCHANGE</w:t>
      </w:r>
      <w:r>
        <w:t xml:space="preserve"> website should be submitted to: </w:t>
      </w:r>
      <w:hyperlink r:id="rId74" w:history="1">
        <w:r w:rsidR="00D615E8">
          <w:rPr>
            <w:rStyle w:val="Hyperlink"/>
          </w:rPr>
          <w:t>EERE-eXCHANGESupport@hq.doe.gov</w:t>
        </w:r>
      </w:hyperlink>
      <w:r>
        <w:t>.</w:t>
      </w:r>
      <w:r w:rsidRPr="008858B4" w:rsidDel="00EB0439">
        <w:t xml:space="preserve"> </w:t>
      </w:r>
    </w:p>
    <w:p w14:paraId="67468DB2" w14:textId="77777777" w:rsidR="00B07932" w:rsidRDefault="00B07932" w:rsidP="008858B4"/>
    <w:p w14:paraId="18B6C161" w14:textId="0C0084DC" w:rsidR="00B07932" w:rsidRPr="00126FBB" w:rsidRDefault="004E672B" w:rsidP="00B159B5">
      <w:pPr>
        <w:pStyle w:val="FOAHeading1"/>
      </w:pPr>
      <w:bookmarkStart w:id="704" w:name="_Toc515980143"/>
      <w:bookmarkStart w:id="705" w:name="_Toc515980238"/>
      <w:bookmarkStart w:id="706" w:name="_Toc517191939"/>
      <w:bookmarkStart w:id="707" w:name="_Toc517350988"/>
      <w:bookmarkStart w:id="708" w:name="_Toc517771584"/>
      <w:bookmarkStart w:id="709" w:name="_Toc517797801"/>
      <w:bookmarkStart w:id="710" w:name="_Toc517797881"/>
      <w:bookmarkStart w:id="711" w:name="_Toc517797959"/>
      <w:bookmarkStart w:id="712" w:name="_Toc517798074"/>
      <w:bookmarkStart w:id="713" w:name="_Toc517798299"/>
      <w:bookmarkStart w:id="714" w:name="_Toc517798380"/>
      <w:bookmarkStart w:id="715" w:name="_Toc517798940"/>
      <w:bookmarkStart w:id="716" w:name="_Toc517799274"/>
      <w:bookmarkStart w:id="717" w:name="_Toc519602196"/>
      <w:bookmarkStart w:id="718" w:name="_Toc519602268"/>
      <w:bookmarkStart w:id="719" w:name="_Toc519602440"/>
      <w:bookmarkStart w:id="720" w:name="_Toc519602606"/>
      <w:bookmarkStart w:id="721" w:name="_Toc520382714"/>
      <w:bookmarkStart w:id="722" w:name="_Toc520455715"/>
      <w:bookmarkStart w:id="723" w:name="_Toc520455885"/>
      <w:bookmarkStart w:id="724" w:name="_Toc517798941"/>
      <w:bookmarkStart w:id="725" w:name="_Toc519602269"/>
      <w:bookmarkStart w:id="726" w:name="_Toc519602441"/>
      <w:bookmarkStart w:id="727" w:name="_Toc176864534"/>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126FBB">
        <w:t>Other Information</w:t>
      </w:r>
      <w:bookmarkEnd w:id="724"/>
      <w:bookmarkEnd w:id="725"/>
      <w:bookmarkEnd w:id="726"/>
      <w:bookmarkEnd w:id="727"/>
    </w:p>
    <w:p w14:paraId="3625664E" w14:textId="77777777" w:rsidR="00E87C80" w:rsidRPr="00A53BBC" w:rsidRDefault="00E87C80" w:rsidP="00376783"/>
    <w:p w14:paraId="53D27D6D" w14:textId="72CC817E" w:rsidR="00B07932" w:rsidRPr="008858B4" w:rsidRDefault="004E672B" w:rsidP="001612A1">
      <w:pPr>
        <w:pStyle w:val="FOAHeading2"/>
      </w:pPr>
      <w:bookmarkStart w:id="728" w:name="_Toc517798942"/>
      <w:bookmarkStart w:id="729" w:name="_Toc519602270"/>
      <w:bookmarkStart w:id="730" w:name="_Toc519602442"/>
      <w:bookmarkStart w:id="731" w:name="_Toc176864535"/>
      <w:r w:rsidRPr="008858B4">
        <w:t>FOA Modifications</w:t>
      </w:r>
      <w:bookmarkEnd w:id="728"/>
      <w:bookmarkEnd w:id="729"/>
      <w:bookmarkEnd w:id="730"/>
      <w:bookmarkEnd w:id="731"/>
    </w:p>
    <w:p w14:paraId="4D229630" w14:textId="4652C342" w:rsidR="00B07932" w:rsidRPr="008858B4" w:rsidRDefault="004E672B" w:rsidP="005D7086">
      <w:pPr>
        <w:ind w:left="1080"/>
      </w:pPr>
      <w:r w:rsidRPr="008858B4">
        <w:t xml:space="preserve">Amendments to this FOA will be posted on </w:t>
      </w:r>
      <w:r w:rsidR="002C6207">
        <w:t xml:space="preserve">EERE </w:t>
      </w:r>
      <w:r w:rsidR="00BB516E">
        <w:t>eXCHANGE</w:t>
      </w:r>
      <w:r w:rsidRPr="008858B4">
        <w:t xml:space="preserve"> and the Grants.gov system. However, you will only receive an email when an amendment or a FOA is posted on these sites if you register for email notifications for this FOA in Grants.gov. EERE recommends that you register as soon after the release of the FOA as possible to ensure you receive timely notice of any amendments or other FOAs.</w:t>
      </w:r>
    </w:p>
    <w:p w14:paraId="42E8963D" w14:textId="77777777" w:rsidR="00B07932" w:rsidRDefault="00B07932" w:rsidP="008858B4"/>
    <w:p w14:paraId="6FD88417" w14:textId="45D45F3C" w:rsidR="00B07932" w:rsidRPr="008858B4" w:rsidRDefault="004E672B" w:rsidP="001612A1">
      <w:pPr>
        <w:pStyle w:val="FOAHeading2"/>
      </w:pPr>
      <w:bookmarkStart w:id="732" w:name="_Toc520455719"/>
      <w:bookmarkStart w:id="733" w:name="_Toc520455889"/>
      <w:bookmarkStart w:id="734" w:name="_Toc520455720"/>
      <w:bookmarkStart w:id="735" w:name="_Toc520455890"/>
      <w:bookmarkStart w:id="736" w:name="_Toc517798944"/>
      <w:bookmarkStart w:id="737" w:name="_Toc519602272"/>
      <w:bookmarkStart w:id="738" w:name="_Toc519602444"/>
      <w:bookmarkStart w:id="739" w:name="_Toc176864536"/>
      <w:bookmarkEnd w:id="732"/>
      <w:bookmarkEnd w:id="733"/>
      <w:bookmarkEnd w:id="734"/>
      <w:bookmarkEnd w:id="735"/>
      <w:r w:rsidRPr="008858B4">
        <w:t>Government Right to Reject or Negotiate</w:t>
      </w:r>
      <w:bookmarkEnd w:id="736"/>
      <w:bookmarkEnd w:id="737"/>
      <w:bookmarkEnd w:id="738"/>
      <w:bookmarkEnd w:id="739"/>
    </w:p>
    <w:p w14:paraId="60504FB4" w14:textId="77777777" w:rsidR="00B07932" w:rsidRPr="008858B4" w:rsidRDefault="004E672B" w:rsidP="005D7086">
      <w:pPr>
        <w:ind w:left="1080"/>
      </w:pPr>
      <w:r w:rsidRPr="008858B4">
        <w:t>EERE reserves the right, without qualification, to reject any or all applications received in response to this FOA and to select any application, in whole or in part, as a basis for negotiation and/or award.</w:t>
      </w:r>
    </w:p>
    <w:p w14:paraId="040E9538" w14:textId="77777777" w:rsidR="00B07932" w:rsidRDefault="00B07932" w:rsidP="00E42B15">
      <w:pPr>
        <w:ind w:left="1440"/>
      </w:pPr>
    </w:p>
    <w:p w14:paraId="3E7F3D3E" w14:textId="2A44ED45" w:rsidR="00B07932" w:rsidRPr="008858B4" w:rsidRDefault="004E672B" w:rsidP="001612A1">
      <w:pPr>
        <w:pStyle w:val="FOAHeading2"/>
      </w:pPr>
      <w:bookmarkStart w:id="740" w:name="_Toc517191944"/>
      <w:bookmarkStart w:id="741" w:name="_Toc517350993"/>
      <w:bookmarkStart w:id="742" w:name="_Toc517771589"/>
      <w:bookmarkStart w:id="743" w:name="_Toc517797806"/>
      <w:bookmarkStart w:id="744" w:name="_Toc517797886"/>
      <w:bookmarkStart w:id="745" w:name="_Toc517797964"/>
      <w:bookmarkStart w:id="746" w:name="_Toc517798079"/>
      <w:bookmarkStart w:id="747" w:name="_Toc517798304"/>
      <w:bookmarkStart w:id="748" w:name="_Toc517798385"/>
      <w:bookmarkStart w:id="749" w:name="_Toc517798945"/>
      <w:bookmarkStart w:id="750" w:name="_Toc517799279"/>
      <w:bookmarkStart w:id="751" w:name="_Toc519602201"/>
      <w:bookmarkStart w:id="752" w:name="_Toc519602273"/>
      <w:bookmarkStart w:id="753" w:name="_Toc519602445"/>
      <w:bookmarkStart w:id="754" w:name="_Toc519602611"/>
      <w:bookmarkStart w:id="755" w:name="_Toc520382719"/>
      <w:bookmarkStart w:id="756" w:name="_Toc520455722"/>
      <w:bookmarkStart w:id="757" w:name="_Toc520455892"/>
      <w:bookmarkStart w:id="758" w:name="_Toc517798946"/>
      <w:bookmarkStart w:id="759" w:name="_Toc519602274"/>
      <w:bookmarkStart w:id="760" w:name="_Toc519602446"/>
      <w:bookmarkStart w:id="761" w:name="_Toc176864537"/>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Pr="008858B4">
        <w:t>Commitment of Public Funds</w:t>
      </w:r>
      <w:bookmarkEnd w:id="758"/>
      <w:bookmarkEnd w:id="759"/>
      <w:bookmarkEnd w:id="760"/>
      <w:bookmarkEnd w:id="761"/>
    </w:p>
    <w:p w14:paraId="4DE2838F" w14:textId="336A1327" w:rsidR="00E7530F" w:rsidRPr="00E7530F" w:rsidRDefault="004E672B" w:rsidP="005903AF">
      <w:pPr>
        <w:ind w:left="1080"/>
      </w:pPr>
      <w:r w:rsidRPr="008858B4">
        <w:t xml:space="preserve">The Contracting Officer is the only individual who can make awards or commit the </w:t>
      </w:r>
      <w:r w:rsidR="00D441AD">
        <w:t>g</w:t>
      </w:r>
      <w:r w:rsidRPr="008858B4">
        <w:t>overnment to the expenditure of public funds. A commitment by anyone other than the Contracting Officer, either express or implied, is invalid.</w:t>
      </w:r>
    </w:p>
    <w:p w14:paraId="29B35456" w14:textId="77777777" w:rsidR="00E7530F" w:rsidRPr="00E7530F" w:rsidRDefault="00E7530F" w:rsidP="008B0D95">
      <w:pPr>
        <w:jc w:val="center"/>
      </w:pPr>
    </w:p>
    <w:p w14:paraId="62B9E3AA" w14:textId="53C38E97" w:rsidR="00B07932" w:rsidRPr="00C442F9" w:rsidRDefault="004E672B" w:rsidP="001612A1">
      <w:pPr>
        <w:pStyle w:val="FOAHeading2"/>
      </w:pPr>
      <w:bookmarkStart w:id="762" w:name="_Toc517798947"/>
      <w:bookmarkStart w:id="763" w:name="_Toc519602275"/>
      <w:bookmarkStart w:id="764" w:name="_Toc519602447"/>
      <w:bookmarkStart w:id="765" w:name="_Toc176864538"/>
      <w:r w:rsidRPr="00C442F9">
        <w:t>Treatment of Application Information</w:t>
      </w:r>
      <w:bookmarkEnd w:id="762"/>
      <w:bookmarkEnd w:id="763"/>
      <w:bookmarkEnd w:id="764"/>
      <w:bookmarkEnd w:id="765"/>
    </w:p>
    <w:p w14:paraId="72626E82" w14:textId="77777777" w:rsidR="009A0523" w:rsidRPr="00C442F9" w:rsidRDefault="009A0523" w:rsidP="009A0523">
      <w:pPr>
        <w:ind w:left="1080"/>
      </w:pPr>
      <w:bookmarkStart w:id="766" w:name="_Hlk145067774"/>
      <w:r w:rsidRPr="00AD40F2">
        <w:rPr>
          <w:u w:val="single"/>
        </w:rPr>
        <w:t>Applicants should not include trade secrets or business-sensitive, proprietary, or otherwise confidential information in their application</w:t>
      </w:r>
      <w:r w:rsidRPr="00C442F9">
        <w:t xml:space="preserve"> </w:t>
      </w:r>
      <w:bookmarkEnd w:id="766"/>
      <w:r w:rsidRPr="00C442F9">
        <w:t>unless such information is necessary to convey an understanding of the proposed project or to comply with a requirement in the FOA. Applicants are advised to not include any critically sensitive proprietary detail.</w:t>
      </w:r>
    </w:p>
    <w:p w14:paraId="45365927" w14:textId="77777777" w:rsidR="009A0523" w:rsidRPr="00C442F9" w:rsidRDefault="009A0523" w:rsidP="009A0523">
      <w:pPr>
        <w:ind w:left="1080"/>
      </w:pPr>
    </w:p>
    <w:p w14:paraId="5107049C" w14:textId="77777777" w:rsidR="009A0523" w:rsidRPr="00C442F9" w:rsidRDefault="009A0523" w:rsidP="009A0523">
      <w:pPr>
        <w:ind w:left="1080"/>
      </w:pPr>
      <w:r w:rsidRPr="00C442F9">
        <w:t xml:space="preserve">If an application includes trade secrets or business-sensitive, proprietary, or otherwise confidential information, it is furnished to the federal government in confidence with the understanding that the information shall be used or disclosed only for evaluation of the application. Such information will be withheld from public disclosure to the extent permitted by law, including the Freedom of Information Act. Without assuming any liability for inadvertent disclosure, EERE will seek to limit disclosure of such information to its employees and to outside reviewers when necessary for merit review of the application or as otherwise authorized by law. This restriction does not limit the federal government’s right to use the information if it is obtained from another source. </w:t>
      </w:r>
    </w:p>
    <w:p w14:paraId="1548AD8A" w14:textId="77777777" w:rsidR="009A0523" w:rsidRPr="00C442F9" w:rsidRDefault="009A0523" w:rsidP="009A0523">
      <w:pPr>
        <w:ind w:left="1080"/>
      </w:pPr>
    </w:p>
    <w:p w14:paraId="20364AF2" w14:textId="77777777" w:rsidR="009A0523" w:rsidRPr="00C442F9" w:rsidRDefault="009A0523" w:rsidP="009A0523">
      <w:pPr>
        <w:ind w:left="1080"/>
      </w:pPr>
      <w:r w:rsidRPr="00C442F9">
        <w:t xml:space="preserve">If an applicant chooses to submit trade secrets or business-sensitive, proprietary, or otherwise confidential information, the applicant must provide </w:t>
      </w:r>
      <w:r w:rsidRPr="00C442F9">
        <w:rPr>
          <w:b/>
          <w:bCs/>
        </w:rPr>
        <w:t>two copies</w:t>
      </w:r>
      <w:r w:rsidRPr="00C442F9">
        <w:t xml:space="preserve"> of the submission (e.g., Concept Paper, Full Application). The first copy should be marked “non-confidential,” with the information believed to be confidential deleted. The second copy should be marked “confidential” and must clearly and conspicuously identify the trade secrets or business-sensitive, proprietary, or otherwise confidential information and must be marked as described below. Failure to comply with these marking requirements may result in the disclosure of the unmarked information under the Freedom of Information Act or otherwise. The federal government is not liable for the disclosure or use of unmarked information and may use or disclose such information for any purpose </w:t>
      </w:r>
      <w:r w:rsidRPr="00C442F9">
        <w:rPr>
          <w:rFonts w:ascii="Calibri" w:eastAsia="Calibri" w:hAnsi="Calibri" w:cs="Calibri"/>
        </w:rPr>
        <w:t>as authorized by law</w:t>
      </w:r>
      <w:r w:rsidRPr="00C442F9">
        <w:t>.</w:t>
      </w:r>
    </w:p>
    <w:p w14:paraId="5DE5E826" w14:textId="77777777" w:rsidR="009A0523" w:rsidRPr="00C442F9" w:rsidRDefault="009A0523" w:rsidP="009A0523">
      <w:pPr>
        <w:ind w:left="1080"/>
      </w:pPr>
    </w:p>
    <w:p w14:paraId="5807E986" w14:textId="77777777" w:rsidR="009A0523" w:rsidRPr="00C442F9" w:rsidRDefault="009A0523" w:rsidP="009A0523">
      <w:pPr>
        <w:ind w:left="1080"/>
      </w:pPr>
      <w:r w:rsidRPr="00C442F9">
        <w:t>The cover sheet of the Full Application, and other applicant submission must be marked as follows and identify the specific pages containing trade secrets or business-sensitive, proprietary, or otherwise confidential information:</w:t>
      </w:r>
    </w:p>
    <w:p w14:paraId="42968CDA" w14:textId="77777777" w:rsidR="009A0523" w:rsidRPr="00C442F9" w:rsidRDefault="009A0523" w:rsidP="009A0523">
      <w:pPr>
        <w:ind w:left="1080"/>
      </w:pPr>
    </w:p>
    <w:p w14:paraId="24A65280" w14:textId="77777777" w:rsidR="009A0523" w:rsidRPr="00C442F9" w:rsidRDefault="009A0523" w:rsidP="009A0523">
      <w:pPr>
        <w:ind w:left="1440" w:right="720"/>
        <w:rPr>
          <w:b/>
          <w:bCs/>
        </w:rPr>
      </w:pPr>
      <w:r w:rsidRPr="00C442F9">
        <w:rPr>
          <w:b/>
          <w:bCs/>
        </w:rPr>
        <w:t>Notice of Restriction on Disclosure and Use of Data:</w:t>
      </w:r>
    </w:p>
    <w:p w14:paraId="1BB7C108" w14:textId="7CF9301A" w:rsidR="009A0523" w:rsidRPr="00C442F9" w:rsidRDefault="009A0523" w:rsidP="009A0523">
      <w:pPr>
        <w:ind w:left="1440" w:right="720"/>
      </w:pPr>
      <w:r w:rsidRPr="00C442F9">
        <w:lastRenderedPageBreak/>
        <w:t xml:space="preserve">Pages [list applicable pages] of this document may contain trade </w:t>
      </w:r>
      <w:r w:rsidR="00BD11F8" w:rsidRPr="00C442F9">
        <w:t>secrets or</w:t>
      </w:r>
      <w:r w:rsidRPr="00C442F9">
        <w:t xml:space="preserve"> business-sensitive, proprietary, or otherwise confidential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[End of Notice]</w:t>
      </w:r>
      <w:r w:rsidRPr="00C442F9">
        <w:cr/>
      </w:r>
    </w:p>
    <w:p w14:paraId="7B63F909" w14:textId="4CE8B701" w:rsidR="00B07932" w:rsidRDefault="009A0523" w:rsidP="009A0523">
      <w:pPr>
        <w:ind w:left="1080"/>
      </w:pPr>
      <w:r w:rsidRPr="00C442F9">
        <w:t>In addition, (1) the header and footer of every page that contains trade secrets or business-sensitive, proprietary, or otherwise confidential information must be marked as follows: “Contains Trade Secrets or Business-Sensitive, Proprietary, or Otherwise Confidential Information Exempt from Public Disclosure,” and (2) every line or paragraph containing such information must be clearly marked with double brackets or highlighting. DOE will make its own determination about the confidential status of the information and treat it according to its determination.</w:t>
      </w:r>
    </w:p>
    <w:p w14:paraId="72CA72C0" w14:textId="77777777" w:rsidR="009A0523" w:rsidRPr="008858B4" w:rsidRDefault="009A0523" w:rsidP="009A0523">
      <w:pPr>
        <w:ind w:left="1080"/>
      </w:pPr>
    </w:p>
    <w:p w14:paraId="4555C99A" w14:textId="76A4761A" w:rsidR="00B07932" w:rsidRPr="008858B4" w:rsidRDefault="004E672B" w:rsidP="001612A1">
      <w:pPr>
        <w:pStyle w:val="FOAHeading2"/>
      </w:pPr>
      <w:bookmarkStart w:id="767" w:name="_Toc517798948"/>
      <w:bookmarkStart w:id="768" w:name="_Toc519602276"/>
      <w:bookmarkStart w:id="769" w:name="_Toc519602448"/>
      <w:bookmarkStart w:id="770" w:name="_Toc176864539"/>
      <w:r w:rsidRPr="008858B4">
        <w:t>Evaluation and Administration by Non-Federal Personnel</w:t>
      </w:r>
      <w:bookmarkEnd w:id="767"/>
      <w:bookmarkEnd w:id="768"/>
      <w:bookmarkEnd w:id="769"/>
      <w:bookmarkEnd w:id="770"/>
    </w:p>
    <w:p w14:paraId="0723F230" w14:textId="11B05F37" w:rsidR="00B07932" w:rsidRPr="008858B4" w:rsidRDefault="004E672B" w:rsidP="00890CD2">
      <w:pPr>
        <w:ind w:left="1080"/>
      </w:pPr>
      <w:r w:rsidRPr="008858B4">
        <w:t>In conducting the merit review evaluation, the Go/No-Go Review</w:t>
      </w:r>
      <w:r w:rsidR="00776FC7">
        <w:t>s</w:t>
      </w:r>
      <w:r w:rsidR="00F15B63">
        <w:t>,</w:t>
      </w:r>
      <w:r w:rsidRPr="008858B4">
        <w:t xml:space="preserve"> and Peer Review</w:t>
      </w:r>
      <w:r w:rsidR="00776FC7">
        <w:t>s</w:t>
      </w:r>
      <w:r w:rsidRPr="008858B4">
        <w:t xml:space="preserve">, the </w:t>
      </w:r>
      <w:r w:rsidR="00081799">
        <w:t>g</w:t>
      </w:r>
      <w:r w:rsidRPr="008858B4">
        <w:t xml:space="preserve">overnment may seek the advice of qualified </w:t>
      </w:r>
      <w:r w:rsidR="001F169D" w:rsidRPr="008858B4">
        <w:t>non</w:t>
      </w:r>
      <w:r w:rsidR="001F169D">
        <w:t>-f</w:t>
      </w:r>
      <w:r w:rsidR="001F169D" w:rsidRPr="008858B4">
        <w:t xml:space="preserve">ederal </w:t>
      </w:r>
      <w:r w:rsidRPr="008858B4">
        <w:t>personnel as reviewers.</w:t>
      </w:r>
      <w:r w:rsidR="001A3502">
        <w:t xml:space="preserve"> </w:t>
      </w:r>
      <w:r w:rsidRPr="008858B4">
        <w:t xml:space="preserve">The </w:t>
      </w:r>
      <w:r w:rsidR="00081799">
        <w:t>g</w:t>
      </w:r>
      <w:r w:rsidRPr="008858B4">
        <w:t>overnment may also use non-</w:t>
      </w:r>
      <w:r w:rsidR="001F169D">
        <w:t>f</w:t>
      </w:r>
      <w:r w:rsidR="001F169D" w:rsidRPr="008858B4">
        <w:t xml:space="preserve">ederal </w:t>
      </w:r>
      <w:r w:rsidRPr="008858B4">
        <w:t>personnel to conduct routine, nondiscretionary administrative activities</w:t>
      </w:r>
      <w:r w:rsidR="00E82294">
        <w:t>, including EERE contractors</w:t>
      </w:r>
      <w:r w:rsidRPr="008858B4">
        <w:t>.</w:t>
      </w:r>
      <w:r w:rsidR="001A3502">
        <w:t xml:space="preserve"> </w:t>
      </w:r>
      <w:r w:rsidRPr="008858B4">
        <w:t>The applicant, by submitting its application, consents to the use of non-</w:t>
      </w:r>
      <w:r w:rsidR="001F169D">
        <w:t>f</w:t>
      </w:r>
      <w:r w:rsidR="001F169D" w:rsidRPr="008858B4">
        <w:t xml:space="preserve">ederal </w:t>
      </w:r>
      <w:r w:rsidRPr="008858B4">
        <w:t>reviewers/administrators.</w:t>
      </w:r>
      <w:r w:rsidR="001A3502">
        <w:t xml:space="preserve"> </w:t>
      </w:r>
      <w:r w:rsidRPr="008858B4">
        <w:t>Non-</w:t>
      </w:r>
      <w:r w:rsidR="001F169D">
        <w:t>f</w:t>
      </w:r>
      <w:r w:rsidR="001F169D" w:rsidRPr="008858B4">
        <w:t xml:space="preserve">ederal </w:t>
      </w:r>
      <w:r w:rsidRPr="008858B4">
        <w:t xml:space="preserve">reviewers must sign conflict of interest </w:t>
      </w:r>
      <w:r w:rsidR="00930E41">
        <w:t xml:space="preserve">(COI) </w:t>
      </w:r>
      <w:r w:rsidRPr="008858B4">
        <w:t xml:space="preserve">and non-disclosure </w:t>
      </w:r>
      <w:r w:rsidR="00930E41">
        <w:t>acknowledgements (NDA)</w:t>
      </w:r>
      <w:r w:rsidR="00930E41" w:rsidRPr="008858B4">
        <w:t xml:space="preserve"> </w:t>
      </w:r>
      <w:r w:rsidRPr="008858B4">
        <w:t>prior to reviewing an application.</w:t>
      </w:r>
      <w:r w:rsidR="001A3502">
        <w:t xml:space="preserve"> </w:t>
      </w:r>
      <w:r w:rsidRPr="008858B4">
        <w:t>Non-</w:t>
      </w:r>
      <w:r w:rsidR="001F169D">
        <w:t>f</w:t>
      </w:r>
      <w:r w:rsidR="001F169D" w:rsidRPr="008858B4">
        <w:t xml:space="preserve">ederal </w:t>
      </w:r>
      <w:r w:rsidRPr="008858B4">
        <w:t>personnel conducting administrative activities must sign a</w:t>
      </w:r>
      <w:r w:rsidR="001B4465">
        <w:t>n NDA</w:t>
      </w:r>
      <w:r w:rsidRPr="008858B4">
        <w:t>.</w:t>
      </w:r>
    </w:p>
    <w:p w14:paraId="090EDBBB" w14:textId="77777777" w:rsidR="00B07932" w:rsidRPr="008858B4" w:rsidRDefault="00B07932" w:rsidP="00E42B15">
      <w:pPr>
        <w:ind w:left="1440"/>
      </w:pPr>
    </w:p>
    <w:p w14:paraId="1A104291" w14:textId="0F43E8EF" w:rsidR="00B07932" w:rsidRPr="008858B4" w:rsidRDefault="004E672B" w:rsidP="001612A1">
      <w:pPr>
        <w:pStyle w:val="FOAHeading2"/>
      </w:pPr>
      <w:bookmarkStart w:id="771" w:name="_Toc517798949"/>
      <w:bookmarkStart w:id="772" w:name="_Toc519602277"/>
      <w:bookmarkStart w:id="773" w:name="_Toc519602449"/>
      <w:bookmarkStart w:id="774" w:name="_Toc176864540"/>
      <w:r w:rsidRPr="008858B4">
        <w:t>Notice Regarding Eligible/Ineligible Activities</w:t>
      </w:r>
      <w:bookmarkEnd w:id="771"/>
      <w:bookmarkEnd w:id="772"/>
      <w:bookmarkEnd w:id="773"/>
      <w:bookmarkEnd w:id="774"/>
    </w:p>
    <w:p w14:paraId="7CD67FE7" w14:textId="3348EDB3" w:rsidR="00B07932" w:rsidRPr="008858B4" w:rsidRDefault="004E672B" w:rsidP="00890CD2">
      <w:pPr>
        <w:ind w:left="1080"/>
      </w:pPr>
      <w:r w:rsidRPr="008858B4">
        <w:t xml:space="preserve">Eligible activities under this FOA include those which describe and promote the understanding of scientific and technical aspects of specific energy technologies, but not those which encourage or support political activities such as the collection and dissemination of information related to potential, </w:t>
      </w:r>
      <w:r w:rsidR="00CE2D23" w:rsidRPr="008858B4">
        <w:t>planned,</w:t>
      </w:r>
      <w:r w:rsidRPr="008858B4">
        <w:t xml:space="preserve"> or pending legislation.</w:t>
      </w:r>
    </w:p>
    <w:p w14:paraId="4BF5A8D8" w14:textId="77777777" w:rsidR="007721C3" w:rsidRPr="008858B4" w:rsidRDefault="007721C3" w:rsidP="008858B4"/>
    <w:p w14:paraId="2A5B3DE9" w14:textId="412B26E5" w:rsidR="00B07932" w:rsidRPr="008858B4" w:rsidRDefault="004E672B" w:rsidP="001612A1">
      <w:pPr>
        <w:pStyle w:val="FOAHeading2"/>
      </w:pPr>
      <w:bookmarkStart w:id="775" w:name="_Toc517798950"/>
      <w:bookmarkStart w:id="776" w:name="_Toc519602278"/>
      <w:bookmarkStart w:id="777" w:name="_Toc519602450"/>
      <w:bookmarkStart w:id="778" w:name="_Toc176864541"/>
      <w:r w:rsidRPr="008858B4">
        <w:t>Notice of Right to Conduct a Review of Financial Capability</w:t>
      </w:r>
      <w:bookmarkEnd w:id="775"/>
      <w:bookmarkEnd w:id="776"/>
      <w:bookmarkEnd w:id="777"/>
      <w:bookmarkEnd w:id="778"/>
    </w:p>
    <w:p w14:paraId="0962EC83" w14:textId="4804F918" w:rsidR="00B07932" w:rsidRPr="008858B4" w:rsidRDefault="004E672B" w:rsidP="00890CD2">
      <w:pPr>
        <w:ind w:left="1080"/>
      </w:pPr>
      <w:r w:rsidRPr="008858B4">
        <w:t xml:space="preserve">EERE reserves the right to conduct an independent </w:t>
      </w:r>
      <w:r w:rsidR="00BD11F8" w:rsidRPr="008858B4">
        <w:t>third-party</w:t>
      </w:r>
      <w:r w:rsidRPr="008858B4">
        <w:t xml:space="preserve"> review of financial capability for applicants that are selected for negotiation of award (including personal credit information of principal(s) of a small business if there is insufficient information to determine financial capability of the organization).</w:t>
      </w:r>
    </w:p>
    <w:p w14:paraId="33182167" w14:textId="77777777" w:rsidR="00B07932" w:rsidRPr="008858B4" w:rsidRDefault="00B07932" w:rsidP="00E42B15">
      <w:pPr>
        <w:ind w:left="1440"/>
      </w:pPr>
    </w:p>
    <w:p w14:paraId="6D6F7B04" w14:textId="0E67DDE8" w:rsidR="00B07932" w:rsidRPr="008858B4" w:rsidRDefault="004E672B" w:rsidP="001612A1">
      <w:pPr>
        <w:pStyle w:val="FOAHeading2"/>
      </w:pPr>
      <w:bookmarkStart w:id="779" w:name="_Toc517798952"/>
      <w:bookmarkStart w:id="780" w:name="_Toc519602280"/>
      <w:bookmarkStart w:id="781" w:name="_Toc519602452"/>
      <w:bookmarkStart w:id="782" w:name="_Toc176864542"/>
      <w:r w:rsidRPr="008858B4">
        <w:t>Requirement for Full and Complete Disclosure</w:t>
      </w:r>
      <w:bookmarkEnd w:id="779"/>
      <w:bookmarkEnd w:id="780"/>
      <w:bookmarkEnd w:id="781"/>
      <w:bookmarkEnd w:id="782"/>
    </w:p>
    <w:p w14:paraId="68CF3758" w14:textId="77777777" w:rsidR="00B07932" w:rsidRPr="008858B4" w:rsidRDefault="004E672B" w:rsidP="00890CD2">
      <w:pPr>
        <w:ind w:left="1080"/>
      </w:pPr>
      <w:r w:rsidRPr="008858B4">
        <w:t>Applicants are required to make a full and complete disclosure of all information requested.</w:t>
      </w:r>
      <w:r w:rsidR="001A3502">
        <w:t xml:space="preserve"> </w:t>
      </w:r>
      <w:r w:rsidRPr="008858B4">
        <w:t>Any failure to make a full and complete disclosure of the requested information may result in:</w:t>
      </w:r>
    </w:p>
    <w:p w14:paraId="708B2493" w14:textId="77777777" w:rsidR="00B07932" w:rsidRPr="008858B4" w:rsidRDefault="00B07932" w:rsidP="008858B4">
      <w:pPr>
        <w:pStyle w:val="ListParagraph"/>
      </w:pPr>
    </w:p>
    <w:p w14:paraId="2507140A" w14:textId="77777777" w:rsidR="00B07932" w:rsidRPr="008858B4" w:rsidRDefault="004E672B" w:rsidP="00890CD2">
      <w:pPr>
        <w:pStyle w:val="ListParagraph"/>
        <w:numPr>
          <w:ilvl w:val="0"/>
          <w:numId w:val="22"/>
        </w:numPr>
        <w:ind w:left="1440"/>
      </w:pPr>
      <w:r w:rsidRPr="008858B4">
        <w:t xml:space="preserve">The termination of award negotiations; </w:t>
      </w:r>
    </w:p>
    <w:p w14:paraId="1B988832" w14:textId="77777777" w:rsidR="00B07932" w:rsidRPr="008858B4" w:rsidRDefault="004E672B" w:rsidP="00890CD2">
      <w:pPr>
        <w:pStyle w:val="ListParagraph"/>
        <w:numPr>
          <w:ilvl w:val="0"/>
          <w:numId w:val="22"/>
        </w:numPr>
        <w:ind w:left="1440"/>
      </w:pPr>
      <w:r w:rsidRPr="008858B4">
        <w:t xml:space="preserve">The modification, suspension, and/or termination of a funding agreement; </w:t>
      </w:r>
    </w:p>
    <w:p w14:paraId="45ADA15B" w14:textId="77777777" w:rsidR="00B07932" w:rsidRPr="008858B4" w:rsidRDefault="004E672B" w:rsidP="00890CD2">
      <w:pPr>
        <w:pStyle w:val="ListParagraph"/>
        <w:numPr>
          <w:ilvl w:val="0"/>
          <w:numId w:val="22"/>
        </w:numPr>
        <w:ind w:left="1440"/>
      </w:pPr>
      <w:r w:rsidRPr="008858B4">
        <w:t xml:space="preserve">The initiation of debarment proceedings, debarment, and/or a declaration of ineligibility for receipt of </w:t>
      </w:r>
      <w:r w:rsidR="001F169D">
        <w:t>f</w:t>
      </w:r>
      <w:r w:rsidR="001F169D" w:rsidRPr="008858B4">
        <w:t xml:space="preserve">ederal </w:t>
      </w:r>
      <w:r w:rsidRPr="008858B4">
        <w:t>contracts, subcontracts, and financial assistance and benefits; and</w:t>
      </w:r>
    </w:p>
    <w:p w14:paraId="31140CEE" w14:textId="77777777" w:rsidR="00B07932" w:rsidRPr="008858B4" w:rsidRDefault="004E672B" w:rsidP="00890CD2">
      <w:pPr>
        <w:pStyle w:val="ListParagraph"/>
        <w:numPr>
          <w:ilvl w:val="0"/>
          <w:numId w:val="22"/>
        </w:numPr>
        <w:ind w:left="1440"/>
      </w:pPr>
      <w:r w:rsidRPr="008858B4">
        <w:t>Civil and/or criminal penalties.</w:t>
      </w:r>
    </w:p>
    <w:p w14:paraId="6940DD60" w14:textId="77777777" w:rsidR="00B07932" w:rsidRPr="008858B4" w:rsidRDefault="00B07932" w:rsidP="008858B4"/>
    <w:p w14:paraId="7879A0AF" w14:textId="77777777" w:rsidR="00B07932" w:rsidRPr="008858B4" w:rsidRDefault="004E672B" w:rsidP="001612A1">
      <w:pPr>
        <w:pStyle w:val="FOAHeading2"/>
      </w:pPr>
      <w:bookmarkStart w:id="783" w:name="_Toc517798953"/>
      <w:bookmarkStart w:id="784" w:name="_Toc519602281"/>
      <w:bookmarkStart w:id="785" w:name="_Toc519602453"/>
      <w:bookmarkStart w:id="786" w:name="_Toc176864543"/>
      <w:r w:rsidRPr="008858B4">
        <w:t>Retention of Submissions</w:t>
      </w:r>
      <w:bookmarkEnd w:id="783"/>
      <w:bookmarkEnd w:id="784"/>
      <w:bookmarkEnd w:id="785"/>
      <w:bookmarkEnd w:id="786"/>
      <w:r w:rsidRPr="008858B4">
        <w:t xml:space="preserve"> </w:t>
      </w:r>
    </w:p>
    <w:p w14:paraId="6D166098" w14:textId="5B01ED7F" w:rsidR="003C7601" w:rsidRPr="008858B4" w:rsidRDefault="004E672B" w:rsidP="00890CD2">
      <w:pPr>
        <w:pStyle w:val="ListParagraph"/>
        <w:ind w:left="1080"/>
      </w:pPr>
      <w:r w:rsidRPr="003C7601">
        <w:t xml:space="preserve">EERE expects to retain copies of all </w:t>
      </w:r>
      <w:r w:rsidR="00FE7293" w:rsidRPr="008858B4">
        <w:t>Full Appli</w:t>
      </w:r>
      <w:r w:rsidR="00465D11">
        <w:t>cations</w:t>
      </w:r>
      <w:r w:rsidR="00E80D13">
        <w:t xml:space="preserve"> </w:t>
      </w:r>
      <w:r w:rsidR="00C6349A" w:rsidRPr="008858B4">
        <w:t xml:space="preserve">and </w:t>
      </w:r>
      <w:r w:rsidRPr="008858B4">
        <w:t>other submissions.</w:t>
      </w:r>
      <w:r w:rsidR="001A3502">
        <w:t xml:space="preserve"> </w:t>
      </w:r>
      <w:r w:rsidRPr="008858B4">
        <w:t>No submissions will be returned.</w:t>
      </w:r>
      <w:r w:rsidR="001A3502">
        <w:t xml:space="preserve"> </w:t>
      </w:r>
      <w:r w:rsidRPr="008858B4">
        <w:t>By applying to EERE for funding, applicants consent to EERE’s retention of their submissions.</w:t>
      </w:r>
      <w:r w:rsidR="00604DB0">
        <w:rPr>
          <w:color w:val="0000FF"/>
        </w:rPr>
        <w:t xml:space="preserve">  </w:t>
      </w:r>
    </w:p>
    <w:p w14:paraId="0E2F58FD" w14:textId="3C32F402" w:rsidR="007721C3" w:rsidRPr="008858B4" w:rsidRDefault="007721C3" w:rsidP="008858B4"/>
    <w:p w14:paraId="4975AA97" w14:textId="3BB4ADDB" w:rsidR="00B07932" w:rsidRPr="008858B4" w:rsidRDefault="004E672B" w:rsidP="001612A1">
      <w:pPr>
        <w:pStyle w:val="FOAHeading2"/>
      </w:pPr>
      <w:bookmarkStart w:id="787" w:name="_Toc517798954"/>
      <w:bookmarkStart w:id="788" w:name="_Toc519602282"/>
      <w:bookmarkStart w:id="789" w:name="_Toc519602454"/>
      <w:bookmarkStart w:id="790" w:name="_Toc176864544"/>
      <w:r w:rsidRPr="008858B4">
        <w:t>Title to Subject Inventions</w:t>
      </w:r>
      <w:bookmarkEnd w:id="787"/>
      <w:bookmarkEnd w:id="788"/>
      <w:bookmarkEnd w:id="789"/>
      <w:bookmarkEnd w:id="790"/>
    </w:p>
    <w:p w14:paraId="421E440A" w14:textId="77777777" w:rsidR="00B07932" w:rsidRPr="008858B4" w:rsidRDefault="004E672B" w:rsidP="00890CD2">
      <w:pPr>
        <w:ind w:left="1080"/>
      </w:pPr>
      <w:r w:rsidRPr="008858B4">
        <w:t>Ownership of subject inventions is governed pursuant to the authorities listed below</w:t>
      </w:r>
      <w:r w:rsidR="001B4465">
        <w:t>:</w:t>
      </w:r>
      <w:r w:rsidR="001A3502">
        <w:t xml:space="preserve"> </w:t>
      </w:r>
    </w:p>
    <w:p w14:paraId="1E24FDAA" w14:textId="77777777" w:rsidR="00B07932" w:rsidRPr="008858B4" w:rsidRDefault="00B07932" w:rsidP="008858B4"/>
    <w:p w14:paraId="0C2427EC" w14:textId="59EF6AF1" w:rsidR="00B07932" w:rsidRPr="008858B4" w:rsidRDefault="004E672B" w:rsidP="00890CD2">
      <w:pPr>
        <w:pStyle w:val="ListParagraph"/>
        <w:numPr>
          <w:ilvl w:val="0"/>
          <w:numId w:val="23"/>
        </w:numPr>
        <w:ind w:left="1440"/>
      </w:pPr>
      <w:r w:rsidRPr="008858B4">
        <w:t>Domestic Small Businesses, Educational Institutions, and Nonprofits:</w:t>
      </w:r>
      <w:r w:rsidR="001A3502">
        <w:t xml:space="preserve"> </w:t>
      </w:r>
      <w:r w:rsidRPr="008858B4">
        <w:t>Under the Bayh-Dole Act (35 U.S.C. §</w:t>
      </w:r>
      <w:r w:rsidR="009047A2">
        <w:t xml:space="preserve"> </w:t>
      </w:r>
      <w:r w:rsidRPr="008858B4">
        <w:t>200 et seq.), domestic small businesses, educational institutions, and nonprofits may elect to retain title to their subject inventions</w:t>
      </w:r>
      <w:r w:rsidR="001B4465">
        <w:t>;</w:t>
      </w:r>
    </w:p>
    <w:p w14:paraId="1C69D264" w14:textId="4C7B3B1E" w:rsidR="00F3056F" w:rsidRPr="008858B4" w:rsidRDefault="004E672B" w:rsidP="00890CD2">
      <w:pPr>
        <w:pStyle w:val="ListParagraph"/>
        <w:numPr>
          <w:ilvl w:val="0"/>
          <w:numId w:val="23"/>
        </w:numPr>
        <w:ind w:left="1440"/>
      </w:pPr>
      <w:r w:rsidRPr="008858B4">
        <w:t xml:space="preserve">All other parties: The </w:t>
      </w:r>
      <w:r w:rsidR="001F169D">
        <w:t>f</w:t>
      </w:r>
      <w:r w:rsidR="001F169D" w:rsidRPr="008858B4">
        <w:t xml:space="preserve">ederal </w:t>
      </w:r>
      <w:r w:rsidRPr="008858B4">
        <w:t xml:space="preserve">Non-Nuclear Energy Act of 1974, 42. </w:t>
      </w:r>
      <w:r w:rsidR="00081799">
        <w:t xml:space="preserve">U.S.C. </w:t>
      </w:r>
      <w:r w:rsidR="00F15B63" w:rsidRPr="008858B4">
        <w:t>§</w:t>
      </w:r>
      <w:r w:rsidR="00F15B63">
        <w:t xml:space="preserve"> </w:t>
      </w:r>
      <w:r w:rsidR="00081799">
        <w:t>5908, provides that the g</w:t>
      </w:r>
      <w:r w:rsidRPr="008858B4">
        <w:t>overnment obtains title to new inventions unless a waiver is granted (see below)</w:t>
      </w:r>
      <w:r w:rsidR="001B4465">
        <w:t>;</w:t>
      </w:r>
    </w:p>
    <w:p w14:paraId="3226488C" w14:textId="0EE64B78" w:rsidR="00B07932" w:rsidRPr="00A41353" w:rsidRDefault="004E672B" w:rsidP="00B9468D">
      <w:pPr>
        <w:pStyle w:val="ListParagraph"/>
        <w:numPr>
          <w:ilvl w:val="0"/>
          <w:numId w:val="23"/>
        </w:numPr>
        <w:ind w:left="1440"/>
      </w:pPr>
      <w:r w:rsidRPr="008858B4">
        <w:t>Class Patent Waiver:</w:t>
      </w:r>
      <w:r w:rsidR="00F3056F">
        <w:t xml:space="preserve"> </w:t>
      </w:r>
      <w:r w:rsidRPr="00A41353">
        <w:t xml:space="preserve">DOE has issued a class waiver that applies to this FOA. Under this class waiver, domestic large businesses may elect title to their subject inventions similar to the right provided to the domestic small businesses, educational institutions, and nonprofits by law. </w:t>
      </w:r>
      <w:r w:rsidR="00F15B63">
        <w:t>T</w:t>
      </w:r>
      <w:r w:rsidRPr="00A41353">
        <w:t>o avail itself of the class waiver, a domestic large business must agree that any products embodying or produced through the use of a subject invention first created or reduced to practice under this program will be substantially manufactured in the United States.</w:t>
      </w:r>
    </w:p>
    <w:p w14:paraId="1F5A2640" w14:textId="2948F187" w:rsidR="00B07932" w:rsidRDefault="004E672B" w:rsidP="00890CD2">
      <w:pPr>
        <w:pStyle w:val="ListParagraph"/>
        <w:numPr>
          <w:ilvl w:val="0"/>
          <w:numId w:val="23"/>
        </w:numPr>
        <w:ind w:left="1440"/>
      </w:pPr>
      <w:r w:rsidRPr="008858B4">
        <w:t>Advance and Identified Waivers:</w:t>
      </w:r>
      <w:r w:rsidR="001A3502">
        <w:t xml:space="preserve"> </w:t>
      </w:r>
      <w:r w:rsidR="00F15B63">
        <w:t>A</w:t>
      </w:r>
      <w:r w:rsidR="00C5148C" w:rsidRPr="008858B4">
        <w:t>pplicant</w:t>
      </w:r>
      <w:r w:rsidR="00F15B63">
        <w:t>s</w:t>
      </w:r>
      <w:r w:rsidR="00C5148C">
        <w:t xml:space="preserve"> not covered by a Class Patent Waiver or the Bayh-Dole Act</w:t>
      </w:r>
      <w:r w:rsidRPr="008858B4">
        <w:t xml:space="preserve"> may request a patent waiver that will cover subject inventions that may be invented under the award, in advance of or within 30 days after the effective date of the award.</w:t>
      </w:r>
      <w:r w:rsidR="001A3502">
        <w:t xml:space="preserve"> </w:t>
      </w:r>
      <w:r w:rsidRPr="008858B4">
        <w:t>Even if an advance waiver is not requested or the request is denied, the recipient will have a continuing right under the award to request a waiver for identified inventions, i.e., individual subject inventions that are disclosed to EERE within the timeframes set forth in the award’s intellectual property terms and conditions.</w:t>
      </w:r>
      <w:r w:rsidR="001A3502">
        <w:t xml:space="preserve"> </w:t>
      </w:r>
      <w:r w:rsidRPr="008858B4">
        <w:t>Any patent waiver that may be granted is subject to certain terms and conditions in 10 CFR 784</w:t>
      </w:r>
      <w:r w:rsidR="00B716D5">
        <w:t>.</w:t>
      </w:r>
    </w:p>
    <w:p w14:paraId="606EE4FB" w14:textId="131CCF3D" w:rsidR="009A0523" w:rsidRDefault="00C5148C" w:rsidP="009A0523">
      <w:pPr>
        <w:pStyle w:val="ListParagraph"/>
        <w:numPr>
          <w:ilvl w:val="0"/>
          <w:numId w:val="24"/>
        </w:numPr>
        <w:ind w:left="1440"/>
        <w:rPr>
          <w:szCs w:val="24"/>
        </w:rPr>
      </w:pPr>
      <w:r w:rsidRPr="004A013F">
        <w:rPr>
          <w:szCs w:val="24"/>
        </w:rPr>
        <w:t xml:space="preserve">DEC: On June 07, 2021, DOE approved a </w:t>
      </w:r>
      <w:r w:rsidR="009A0523" w:rsidRPr="00F51A4A">
        <w:t>Determination of Exceptional Circumstances (DEC) under the Bayh-Dole Act to further promote domestic manufacture of DOE science and energy technologies</w:t>
      </w:r>
      <w:r w:rsidRPr="004A013F">
        <w:rPr>
          <w:szCs w:val="24"/>
        </w:rPr>
        <w:t>.</w:t>
      </w:r>
      <w:r w:rsidR="00604DB0">
        <w:rPr>
          <w:szCs w:val="24"/>
        </w:rPr>
        <w:t xml:space="preserve"> </w:t>
      </w:r>
      <w:r w:rsidRPr="004A013F">
        <w:rPr>
          <w:szCs w:val="24"/>
        </w:rPr>
        <w:t xml:space="preserve">In accordance with this </w:t>
      </w:r>
      <w:r w:rsidRPr="004A013F">
        <w:rPr>
          <w:szCs w:val="24"/>
        </w:rPr>
        <w:lastRenderedPageBreak/>
        <w:t xml:space="preserve">DEC, all awards, including sub-awards, under this FOA shall include the U.S. Competitiveness Provision in accordance with </w:t>
      </w:r>
      <w:r w:rsidRPr="008B0D95">
        <w:rPr>
          <w:szCs w:val="24"/>
        </w:rPr>
        <w:t xml:space="preserve">Section </w:t>
      </w:r>
      <w:r w:rsidR="00993E6E" w:rsidRPr="008B0D95">
        <w:rPr>
          <w:szCs w:val="24"/>
        </w:rPr>
        <w:t>VI.B.xx</w:t>
      </w:r>
      <w:r w:rsidR="00C42B15" w:rsidRPr="008B0D95">
        <w:rPr>
          <w:szCs w:val="24"/>
        </w:rPr>
        <w:t>ii</w:t>
      </w:r>
      <w:r w:rsidR="003C0459" w:rsidRPr="008B0D95">
        <w:rPr>
          <w:szCs w:val="24"/>
        </w:rPr>
        <w:t>.</w:t>
      </w:r>
      <w:r w:rsidRPr="004A013F">
        <w:rPr>
          <w:szCs w:val="24"/>
        </w:rPr>
        <w:t xml:space="preserve"> U.S. Manufacturing Commitments of this FOA.</w:t>
      </w:r>
      <w:r w:rsidR="00604DB0">
        <w:rPr>
          <w:szCs w:val="24"/>
        </w:rPr>
        <w:t xml:space="preserve"> </w:t>
      </w:r>
      <w:r w:rsidRPr="004A013F">
        <w:rPr>
          <w:szCs w:val="24"/>
        </w:rPr>
        <w:t xml:space="preserve">A copy of the DEC can be found at </w:t>
      </w:r>
      <w:hyperlink r:id="rId75" w:history="1">
        <w:r w:rsidRPr="004A013F">
          <w:rPr>
            <w:rStyle w:val="Hyperlink"/>
            <w:szCs w:val="24"/>
          </w:rPr>
          <w:t>https://www.energy.gov/gc/determination-exceptional-circumstances-decs</w:t>
        </w:r>
      </w:hyperlink>
      <w:r w:rsidRPr="004A013F">
        <w:rPr>
          <w:szCs w:val="24"/>
        </w:rPr>
        <w:t>.</w:t>
      </w:r>
      <w:r w:rsidR="00604DB0">
        <w:rPr>
          <w:szCs w:val="24"/>
        </w:rPr>
        <w:t xml:space="preserve"> </w:t>
      </w:r>
      <w:r w:rsidRPr="004A013F">
        <w:rPr>
          <w:szCs w:val="24"/>
        </w:rPr>
        <w:t xml:space="preserve">Pursuant to 37 CFR § 401.4, any nonprofit organization or small business firm as defined by 35 U.S.C. 201 affected by any DEC has the right to appeal it </w:t>
      </w:r>
      <w:r w:rsidRPr="004A013F">
        <w:rPr>
          <w:rFonts w:cstheme="minorHAnsi"/>
          <w:color w:val="000000"/>
          <w:szCs w:val="24"/>
          <w:shd w:val="clear" w:color="auto" w:fill="FFFFFF"/>
        </w:rPr>
        <w:t>by providing written notice to DOE</w:t>
      </w:r>
      <w:r w:rsidRPr="004A013F">
        <w:rPr>
          <w:rFonts w:ascii="Arial" w:hAnsi="Arial" w:cs="Arial"/>
          <w:color w:val="000000"/>
          <w:sz w:val="21"/>
          <w:szCs w:val="21"/>
          <w:shd w:val="clear" w:color="auto" w:fill="FFFFFF"/>
        </w:rPr>
        <w:t xml:space="preserve"> </w:t>
      </w:r>
      <w:r w:rsidRPr="004A013F">
        <w:rPr>
          <w:szCs w:val="24"/>
        </w:rPr>
        <w:t>within 30 working days from the time it receives a copy of the determination.</w:t>
      </w:r>
    </w:p>
    <w:p w14:paraId="6B86911E" w14:textId="7D462B65" w:rsidR="00C5148C" w:rsidRPr="009A0523" w:rsidRDefault="009A0523" w:rsidP="009A0523">
      <w:pPr>
        <w:pStyle w:val="ListParagraph"/>
        <w:numPr>
          <w:ilvl w:val="0"/>
          <w:numId w:val="24"/>
        </w:numPr>
        <w:ind w:left="1440"/>
      </w:pPr>
      <w:r w:rsidRPr="009A0523">
        <w:t>DOE may issue and publish further DECs on the website above prior to the issuance of awards under this FOA. DOE may require additional submissions or requirements</w:t>
      </w:r>
      <w:r w:rsidRPr="009A0523">
        <w:rPr>
          <w:spacing w:val="-14"/>
        </w:rPr>
        <w:t xml:space="preserve"> </w:t>
      </w:r>
      <w:r w:rsidRPr="009A0523">
        <w:t>as authorized by any applicable DEC.</w:t>
      </w:r>
    </w:p>
    <w:p w14:paraId="6CA6D924" w14:textId="750ECE2F" w:rsidR="00A40705" w:rsidRPr="005A16ED" w:rsidRDefault="00A40705" w:rsidP="005A16ED">
      <w:pPr>
        <w:rPr>
          <w:color w:val="0000FF"/>
        </w:rPr>
      </w:pPr>
    </w:p>
    <w:p w14:paraId="6BA97989" w14:textId="5BC561DF" w:rsidR="00B07932" w:rsidRPr="008858B4" w:rsidRDefault="004E672B" w:rsidP="001612A1">
      <w:pPr>
        <w:pStyle w:val="FOAHeading2"/>
      </w:pPr>
      <w:bookmarkStart w:id="791" w:name="_Toc176864545"/>
      <w:r w:rsidRPr="008858B4">
        <w:t>Government Rights in Subject Inventions</w:t>
      </w:r>
      <w:bookmarkEnd w:id="791"/>
    </w:p>
    <w:p w14:paraId="5FA86E36" w14:textId="0D6147D6" w:rsidR="00B07932" w:rsidRPr="008858B4" w:rsidRDefault="004E672B" w:rsidP="00890CD2">
      <w:pPr>
        <w:ind w:left="1080"/>
      </w:pPr>
      <w:r w:rsidRPr="008858B4">
        <w:t xml:space="preserve">Where </w:t>
      </w:r>
      <w:r w:rsidR="00647D5B">
        <w:t>p</w:t>
      </w:r>
      <w:r w:rsidR="00647D5B" w:rsidRPr="008858B4">
        <w:t xml:space="preserve">rime </w:t>
      </w:r>
      <w:r w:rsidR="00647D5B">
        <w:t>r</w:t>
      </w:r>
      <w:r w:rsidR="00647D5B" w:rsidRPr="008858B4">
        <w:t>ecipients</w:t>
      </w:r>
      <w:r w:rsidR="0045564C">
        <w:t>,</w:t>
      </w:r>
      <w:r w:rsidRPr="008858B4">
        <w:t xml:space="preserve"> </w:t>
      </w:r>
      <w:r w:rsidR="00496B2A">
        <w:t>s</w:t>
      </w:r>
      <w:r w:rsidR="00496B2A" w:rsidRPr="008858B4">
        <w:t>ubrecipients</w:t>
      </w:r>
      <w:r w:rsidR="0045564C">
        <w:t>, and contractors</w:t>
      </w:r>
      <w:r w:rsidR="00496B2A" w:rsidRPr="008858B4">
        <w:t xml:space="preserve"> </w:t>
      </w:r>
      <w:r w:rsidRPr="008858B4">
        <w:t>retain title to subject invent</w:t>
      </w:r>
      <w:r w:rsidR="00385771">
        <w:t>ions, the U.S. g</w:t>
      </w:r>
      <w:r w:rsidRPr="008858B4">
        <w:t>overnment retains certain rights.</w:t>
      </w:r>
    </w:p>
    <w:p w14:paraId="5B98E7C1" w14:textId="77777777" w:rsidR="00B07932" w:rsidRDefault="00B07932" w:rsidP="008858B4"/>
    <w:p w14:paraId="13FFC4A9" w14:textId="77777777" w:rsidR="00B07932" w:rsidRPr="00872882" w:rsidRDefault="004E672B" w:rsidP="00A53BBC">
      <w:pPr>
        <w:pStyle w:val="FOAHeading4"/>
        <w:ind w:left="1440"/>
      </w:pPr>
      <w:r w:rsidRPr="00A53BBC">
        <w:rPr>
          <w:sz w:val="28"/>
          <w:szCs w:val="28"/>
        </w:rPr>
        <w:t>Government Use License</w:t>
      </w:r>
    </w:p>
    <w:p w14:paraId="5628504C" w14:textId="0031D00A" w:rsidR="00B07932" w:rsidRPr="008858B4" w:rsidRDefault="004E672B" w:rsidP="00A53BBC">
      <w:pPr>
        <w:ind w:left="1440"/>
      </w:pPr>
      <w:r>
        <w:t>The U.S. g</w:t>
      </w:r>
      <w:r w:rsidRPr="008858B4">
        <w:t>overnment retains a nonexclusive, nontransferable, irrevocable, paid-up license to practice or have practiced for or on behalf of the United States any subject invention throughout the world.</w:t>
      </w:r>
      <w:r w:rsidR="001A3502">
        <w:t xml:space="preserve"> </w:t>
      </w:r>
      <w:r w:rsidRPr="008858B4">
        <w:t xml:space="preserve">This license extends to </w:t>
      </w:r>
      <w:r w:rsidR="005C0C83">
        <w:t xml:space="preserve">government </w:t>
      </w:r>
      <w:r w:rsidRPr="008858B4">
        <w:t>contracto</w:t>
      </w:r>
      <w:r>
        <w:t>rs</w:t>
      </w:r>
      <w:r w:rsidRPr="008858B4">
        <w:t xml:space="preserve">. </w:t>
      </w:r>
    </w:p>
    <w:p w14:paraId="639D69B2" w14:textId="77777777" w:rsidR="00B07932" w:rsidRPr="008858B4" w:rsidRDefault="00B07932" w:rsidP="00E9631F">
      <w:pPr>
        <w:ind w:left="1620" w:hanging="180"/>
      </w:pPr>
    </w:p>
    <w:p w14:paraId="28ECB5B2" w14:textId="77777777" w:rsidR="00B07932" w:rsidRPr="00872882" w:rsidRDefault="004E672B" w:rsidP="00A53BBC">
      <w:pPr>
        <w:pStyle w:val="FOAHeading4"/>
        <w:ind w:left="1440"/>
      </w:pPr>
      <w:r w:rsidRPr="00C72CE2">
        <w:t>March-In Rights</w:t>
      </w:r>
    </w:p>
    <w:p w14:paraId="1C0333F3" w14:textId="09AC7062" w:rsidR="00B07932" w:rsidRPr="008858B4" w:rsidRDefault="004E672B" w:rsidP="00A53BBC">
      <w:pPr>
        <w:ind w:left="1440"/>
      </w:pPr>
      <w:r>
        <w:t>The U.S. g</w:t>
      </w:r>
      <w:r w:rsidRPr="008858B4">
        <w:t>overnment retains march-in rights with respect to all subject inventions.</w:t>
      </w:r>
      <w:r w:rsidR="001A3502">
        <w:t xml:space="preserve"> </w:t>
      </w:r>
      <w:r>
        <w:t>Through “march-in rights,” the g</w:t>
      </w:r>
      <w:r w:rsidRPr="008858B4">
        <w:t xml:space="preserve">overnment may require a </w:t>
      </w:r>
      <w:r w:rsidR="00647D5B">
        <w:t>p</w:t>
      </w:r>
      <w:r w:rsidR="00647D5B" w:rsidRPr="008858B4">
        <w:t xml:space="preserve">rime </w:t>
      </w:r>
      <w:r w:rsidR="00647D5B">
        <w:t>r</w:t>
      </w:r>
      <w:r w:rsidR="00647D5B" w:rsidRPr="008858B4">
        <w:t xml:space="preserve">ecipient </w:t>
      </w:r>
      <w:r w:rsidRPr="008858B4">
        <w:t xml:space="preserve">or </w:t>
      </w:r>
      <w:r w:rsidR="00496B2A">
        <w:t>s</w:t>
      </w:r>
      <w:r w:rsidR="00496B2A" w:rsidRPr="008858B4">
        <w:t xml:space="preserve">ubrecipient </w:t>
      </w:r>
      <w:r w:rsidRPr="008858B4">
        <w:t>who has elected to retain title to a subject invention (or their assignees or exclusive licensees), to grant a license for use of the invention to a third party.</w:t>
      </w:r>
      <w:r w:rsidR="001A3502">
        <w:t xml:space="preserve"> </w:t>
      </w:r>
      <w:r>
        <w:t>In addition, the g</w:t>
      </w:r>
      <w:r w:rsidRPr="008858B4">
        <w:t xml:space="preserve">overnment may grant licenses for use of the subject invention when a </w:t>
      </w:r>
      <w:r w:rsidR="00647D5B">
        <w:t>p</w:t>
      </w:r>
      <w:r w:rsidR="00647D5B" w:rsidRPr="008858B4">
        <w:t xml:space="preserve">rime </w:t>
      </w:r>
      <w:r w:rsidR="00647D5B">
        <w:t>r</w:t>
      </w:r>
      <w:r w:rsidR="00647D5B" w:rsidRPr="008858B4">
        <w:t>ecipient</w:t>
      </w:r>
      <w:r w:rsidRPr="008858B4">
        <w:t xml:space="preserve">, </w:t>
      </w:r>
      <w:r w:rsidR="00496B2A">
        <w:t>s</w:t>
      </w:r>
      <w:r w:rsidR="00496B2A" w:rsidRPr="008858B4">
        <w:t>ubrecipient</w:t>
      </w:r>
      <w:r w:rsidRPr="008858B4">
        <w:t>, or their assignees and exclusive licensees refuse to do so.</w:t>
      </w:r>
      <w:r w:rsidR="001A3502">
        <w:t xml:space="preserve"> </w:t>
      </w:r>
    </w:p>
    <w:p w14:paraId="41ECB34A" w14:textId="77777777" w:rsidR="00B07932" w:rsidRPr="008858B4" w:rsidRDefault="00B07932" w:rsidP="00621CBA">
      <w:pPr>
        <w:ind w:left="1440"/>
      </w:pPr>
    </w:p>
    <w:p w14:paraId="30A6F8B2" w14:textId="77777777" w:rsidR="00B07932" w:rsidRPr="008858B4" w:rsidRDefault="004E672B" w:rsidP="00A53BBC">
      <w:pPr>
        <w:ind w:left="1440"/>
      </w:pPr>
      <w:r w:rsidRPr="008858B4">
        <w:t>DOE may exercise its march-in rights only if it determines that such action is necessary under any of the four following conditions:</w:t>
      </w:r>
    </w:p>
    <w:p w14:paraId="109FA433" w14:textId="77777777" w:rsidR="00B07932" w:rsidRDefault="004E672B" w:rsidP="004E672B">
      <w:pPr>
        <w:pStyle w:val="ListParagraph"/>
        <w:numPr>
          <w:ilvl w:val="0"/>
          <w:numId w:val="25"/>
        </w:numPr>
        <w:snapToGrid w:val="0"/>
        <w:ind w:left="1800"/>
      </w:pPr>
      <w:r w:rsidRPr="008858B4">
        <w:t>The owner or licensee has not taken or is not expected to take effective steps to achieve practical application of the invention within a reasonable time;</w:t>
      </w:r>
    </w:p>
    <w:p w14:paraId="576B02B5" w14:textId="77777777" w:rsidR="00B07932" w:rsidRDefault="004E672B" w:rsidP="004E672B">
      <w:pPr>
        <w:pStyle w:val="ListParagraph"/>
        <w:numPr>
          <w:ilvl w:val="0"/>
          <w:numId w:val="25"/>
        </w:numPr>
        <w:snapToGrid w:val="0"/>
        <w:ind w:left="1800"/>
      </w:pPr>
      <w:r w:rsidRPr="008858B4">
        <w:t>The owner or licensee has not taken action to alleviate health or safety needs in a reasonably satisfied manner;</w:t>
      </w:r>
    </w:p>
    <w:p w14:paraId="3F53ACDA" w14:textId="77777777" w:rsidR="00B07932" w:rsidRDefault="004E672B" w:rsidP="004E672B">
      <w:pPr>
        <w:pStyle w:val="ListParagraph"/>
        <w:numPr>
          <w:ilvl w:val="0"/>
          <w:numId w:val="25"/>
        </w:numPr>
        <w:snapToGrid w:val="0"/>
        <w:ind w:left="1800"/>
      </w:pPr>
      <w:r w:rsidRPr="008858B4">
        <w:t xml:space="preserve">The owner has not met public use requirements specified by </w:t>
      </w:r>
      <w:r w:rsidR="001F169D">
        <w:t>f</w:t>
      </w:r>
      <w:r w:rsidR="001F169D" w:rsidRPr="008858B4">
        <w:t xml:space="preserve">ederal </w:t>
      </w:r>
      <w:r w:rsidRPr="008858B4">
        <w:t>statutes in a reasonably satisfied manner; or</w:t>
      </w:r>
    </w:p>
    <w:p w14:paraId="081AEB89" w14:textId="5E3FCFC7" w:rsidR="00B07932" w:rsidRPr="008858B4" w:rsidRDefault="004E672B" w:rsidP="004E672B">
      <w:pPr>
        <w:pStyle w:val="ListParagraph"/>
        <w:numPr>
          <w:ilvl w:val="0"/>
          <w:numId w:val="25"/>
        </w:numPr>
        <w:snapToGrid w:val="0"/>
        <w:ind w:left="1800"/>
      </w:pPr>
      <w:r w:rsidRPr="008858B4">
        <w:t xml:space="preserve">The </w:t>
      </w:r>
      <w:r w:rsidR="009A0523" w:rsidRPr="008858B4">
        <w:t>U</w:t>
      </w:r>
      <w:r w:rsidR="009A0523">
        <w:t>nited States</w:t>
      </w:r>
      <w:r w:rsidR="009A0523" w:rsidRPr="008858B4">
        <w:t xml:space="preserve"> </w:t>
      </w:r>
      <w:r w:rsidR="00385771">
        <w:t>m</w:t>
      </w:r>
      <w:r w:rsidRPr="008858B4">
        <w:t xml:space="preserve">anufacturing requirement has not been met. </w:t>
      </w:r>
    </w:p>
    <w:p w14:paraId="0BCA8D10" w14:textId="77777777" w:rsidR="00B07932" w:rsidRPr="008858B4" w:rsidRDefault="00B07932" w:rsidP="00E9631F">
      <w:pPr>
        <w:ind w:left="1980"/>
      </w:pPr>
    </w:p>
    <w:p w14:paraId="74924B51" w14:textId="77777777" w:rsidR="00B07932" w:rsidRPr="008858B4" w:rsidRDefault="004E672B" w:rsidP="00A53BBC">
      <w:pPr>
        <w:ind w:left="1440"/>
      </w:pPr>
      <w:r w:rsidRPr="008858B4">
        <w:lastRenderedPageBreak/>
        <w:t>Any determination that march-in rights are warranted must follow a fact-finding process in which the recipient has certain rights to present evidence and witnesses, confront witnesses and appear with counsel and appeal any adverse decision.</w:t>
      </w:r>
      <w:r w:rsidR="001A3502">
        <w:t xml:space="preserve"> </w:t>
      </w:r>
      <w:r w:rsidRPr="008858B4">
        <w:t xml:space="preserve">To date, DOE has never exercised its march-in rights to any subject inventions. </w:t>
      </w:r>
    </w:p>
    <w:p w14:paraId="2B605E95" w14:textId="77777777" w:rsidR="00B07932" w:rsidRPr="008858B4" w:rsidRDefault="00B07932" w:rsidP="008858B4"/>
    <w:p w14:paraId="2B195338" w14:textId="7B7D991E" w:rsidR="00B07932" w:rsidRPr="008858B4" w:rsidRDefault="004E672B" w:rsidP="001612A1">
      <w:pPr>
        <w:pStyle w:val="FOAHeading2"/>
      </w:pPr>
      <w:bookmarkStart w:id="792" w:name="_Toc517798956"/>
      <w:bookmarkStart w:id="793" w:name="_Toc519602284"/>
      <w:bookmarkStart w:id="794" w:name="_Toc519602456"/>
      <w:bookmarkStart w:id="795" w:name="_Toc176864546"/>
      <w:r w:rsidRPr="008858B4">
        <w:t>Rights in Technical Data</w:t>
      </w:r>
      <w:bookmarkEnd w:id="792"/>
      <w:bookmarkEnd w:id="793"/>
      <w:bookmarkEnd w:id="794"/>
      <w:bookmarkEnd w:id="795"/>
    </w:p>
    <w:p w14:paraId="059A6410" w14:textId="77777777" w:rsidR="00B07932" w:rsidRPr="008858B4" w:rsidRDefault="004E672B" w:rsidP="00890CD2">
      <w:pPr>
        <w:ind w:left="1080"/>
      </w:pPr>
      <w:r w:rsidRPr="008858B4">
        <w:t>Data rights differ based on whether data is first produced under an award or instead was developed at private expense outside the award.</w:t>
      </w:r>
      <w:r w:rsidR="001A3502">
        <w:t xml:space="preserve"> </w:t>
      </w:r>
    </w:p>
    <w:p w14:paraId="0EFD6FB0" w14:textId="77777777" w:rsidR="00B07932" w:rsidRPr="008858B4" w:rsidRDefault="00B07932" w:rsidP="00890CD2">
      <w:pPr>
        <w:ind w:left="1080"/>
      </w:pPr>
    </w:p>
    <w:p w14:paraId="2BB27D6B" w14:textId="46B86C46" w:rsidR="00B07932" w:rsidRPr="008858B4" w:rsidRDefault="004E672B" w:rsidP="00890CD2">
      <w:pPr>
        <w:ind w:left="1080"/>
      </w:pPr>
      <w:r w:rsidRPr="008858B4">
        <w:t>“</w:t>
      </w:r>
      <w:r w:rsidR="00385771">
        <w:t>Limited Rights Data”: The U.S. g</w:t>
      </w:r>
      <w:r w:rsidRPr="008858B4">
        <w:t>overnment will not normally require delivery of confidential or trade secret-type technical data developed solely at private expense prior to issuance of an award, except as necessary to monitor technical progress and evaluate the potential of proposed technologies to reach specific technical and cost metrics.</w:t>
      </w:r>
    </w:p>
    <w:p w14:paraId="79823A79" w14:textId="65B42BE6" w:rsidR="00B07932" w:rsidRDefault="00B07932" w:rsidP="00890CD2">
      <w:pPr>
        <w:ind w:left="936"/>
      </w:pPr>
    </w:p>
    <w:p w14:paraId="3A7B02BF" w14:textId="3F43E466" w:rsidR="009A0523" w:rsidRPr="00443627" w:rsidRDefault="004E672B" w:rsidP="005903AF">
      <w:pPr>
        <w:ind w:left="1080"/>
      </w:pPr>
      <w:r w:rsidRPr="00443627">
        <w:t xml:space="preserve">Government </w:t>
      </w:r>
      <w:r w:rsidR="00654206" w:rsidRPr="00443627">
        <w:t xml:space="preserve">Rights </w:t>
      </w:r>
      <w:r w:rsidRPr="00443627">
        <w:t>in Technical Data P</w:t>
      </w:r>
      <w:r w:rsidR="00385771">
        <w:t>roduced Under Awards: The U.S. g</w:t>
      </w:r>
      <w:r w:rsidRPr="00443627">
        <w:t>overnment normally retains unlimited rights in</w:t>
      </w:r>
      <w:r w:rsidR="00385771">
        <w:t xml:space="preserve"> technical data produced under g</w:t>
      </w:r>
      <w:r w:rsidRPr="00443627">
        <w:t>overnment financial assistance awards, including the right to distribute to the public.</w:t>
      </w:r>
      <w:r w:rsidR="001A3502" w:rsidRPr="00443627">
        <w:t xml:space="preserve"> </w:t>
      </w:r>
      <w:r w:rsidRPr="00443627">
        <w:t xml:space="preserve">However, pursuant to special statutory authority, certain categories of data generated under EERE awards </w:t>
      </w:r>
      <w:r w:rsidR="00565896">
        <w:t xml:space="preserve">under this FOA </w:t>
      </w:r>
      <w:r w:rsidRPr="00443627">
        <w:t>may be protected from public disclosure for up to five years after the data is generated (“Protected Data”). For awards permitting Protected Data, the protected data must be marked as set forth in the award</w:t>
      </w:r>
      <w:r w:rsidR="009A0523">
        <w:t>’</w:t>
      </w:r>
      <w:r w:rsidRPr="00443627">
        <w:t>s intellectual property terms and conditions and a listing of unlimited rights data (i.e., non-protected data) must be inserted into the data clause in the award.</w:t>
      </w:r>
      <w:r w:rsidR="001A3502" w:rsidRPr="00443627">
        <w:t xml:space="preserve"> </w:t>
      </w:r>
      <w:r w:rsidRPr="00443627">
        <w:t>In addition, invention disclosures may be protected from public disclosure for a reasonable time in order to allow for filing a patent application.</w:t>
      </w:r>
    </w:p>
    <w:p w14:paraId="44F9CC96" w14:textId="77777777" w:rsidR="00B07932" w:rsidRPr="008858B4" w:rsidRDefault="00B07932" w:rsidP="008858B4"/>
    <w:p w14:paraId="3E2A7E91" w14:textId="7382CF40" w:rsidR="00B07932" w:rsidRPr="008858B4" w:rsidRDefault="004E672B" w:rsidP="001612A1">
      <w:pPr>
        <w:pStyle w:val="FOAHeading2"/>
      </w:pPr>
      <w:bookmarkStart w:id="796" w:name="_Toc517798957"/>
      <w:bookmarkStart w:id="797" w:name="_Toc519602285"/>
      <w:bookmarkStart w:id="798" w:name="_Toc519602457"/>
      <w:bookmarkStart w:id="799" w:name="_Toc176864547"/>
      <w:r w:rsidRPr="008858B4">
        <w:t>Copyright</w:t>
      </w:r>
      <w:bookmarkEnd w:id="796"/>
      <w:bookmarkEnd w:id="797"/>
      <w:bookmarkEnd w:id="798"/>
      <w:bookmarkEnd w:id="799"/>
    </w:p>
    <w:p w14:paraId="7F4665FA" w14:textId="22CB1D62" w:rsidR="00BC66E6" w:rsidRDefault="004E672B" w:rsidP="00890CD2">
      <w:pPr>
        <w:ind w:left="1080"/>
      </w:pPr>
      <w:r w:rsidRPr="008858B4">
        <w:t xml:space="preserve">The </w:t>
      </w:r>
      <w:r w:rsidR="00647D5B">
        <w:t>p</w:t>
      </w:r>
      <w:r w:rsidR="00647D5B" w:rsidRPr="008858B4">
        <w:t xml:space="preserve">rime </w:t>
      </w:r>
      <w:r w:rsidR="00647D5B">
        <w:t>r</w:t>
      </w:r>
      <w:r w:rsidR="00647D5B" w:rsidRPr="008858B4">
        <w:t xml:space="preserve">ecipient </w:t>
      </w:r>
      <w:r w:rsidRPr="008858B4">
        <w:t xml:space="preserve">and </w:t>
      </w:r>
      <w:r w:rsidR="00496B2A">
        <w:t>s</w:t>
      </w:r>
      <w:r w:rsidR="00496B2A" w:rsidRPr="008858B4">
        <w:t xml:space="preserve">ubrecipients </w:t>
      </w:r>
      <w:r w:rsidRPr="008858B4">
        <w:t>may assert copyright in copyrightable works, such as software, first produced under the award without EERE approval.</w:t>
      </w:r>
      <w:r w:rsidR="001A3502">
        <w:t xml:space="preserve"> </w:t>
      </w:r>
      <w:r w:rsidRPr="008858B4">
        <w:t>W</w:t>
      </w:r>
      <w:r w:rsidR="00385771">
        <w:t>hen copyright is asserted, the g</w:t>
      </w:r>
      <w:r w:rsidRPr="008858B4">
        <w:t>overnment retains a paid-up nonexclusive, irrevocable worldwide license to reproduce, prepare derivative works, distribute copies to the public, and to perform publicly and display publicly the copyrighted work.</w:t>
      </w:r>
      <w:r w:rsidR="001A3502">
        <w:t xml:space="preserve"> </w:t>
      </w:r>
      <w:r w:rsidRPr="008858B4">
        <w:t>This license extends to contractors and others doing work on behal</w:t>
      </w:r>
      <w:r w:rsidR="00385771">
        <w:t>f of the g</w:t>
      </w:r>
      <w:r w:rsidRPr="008858B4">
        <w:t xml:space="preserve">overnment. </w:t>
      </w:r>
    </w:p>
    <w:p w14:paraId="4AC317D6" w14:textId="77777777" w:rsidR="00BC66E6" w:rsidRDefault="00BC66E6" w:rsidP="00A53BBC">
      <w:pPr>
        <w:ind w:left="1080"/>
      </w:pPr>
    </w:p>
    <w:p w14:paraId="6AAA5BB3" w14:textId="77777777" w:rsidR="00520A11" w:rsidRPr="00520A11" w:rsidRDefault="00520A11" w:rsidP="001612A1">
      <w:pPr>
        <w:pStyle w:val="FOAHeading2"/>
      </w:pPr>
      <w:bookmarkStart w:id="800" w:name="_Toc140061047"/>
      <w:bookmarkStart w:id="801" w:name="_Toc176864548"/>
      <w:r w:rsidRPr="00520A11">
        <w:t>Export Control</w:t>
      </w:r>
      <w:bookmarkEnd w:id="800"/>
      <w:bookmarkEnd w:id="801"/>
    </w:p>
    <w:p w14:paraId="248CC2B0" w14:textId="77777777" w:rsidR="00520A11" w:rsidRPr="00520A11" w:rsidRDefault="00520A11" w:rsidP="00520A11">
      <w:pPr>
        <w:ind w:left="1080"/>
      </w:pPr>
      <w:r w:rsidRPr="00520A11">
        <w:t xml:space="preserve">The United States government regulates the transfer of information, commodities, technology, and software considered to be strategically important to the United States to protect national security, foreign policy, and economic interests without imposing undue regulatory burdens on legitimate international trade. There is a network of federal agencies and regulations that govern exports that are collectively </w:t>
      </w:r>
      <w:r w:rsidRPr="00520A11">
        <w:lastRenderedPageBreak/>
        <w:t>referred to as “Export Controls.” All recipients and subrecipients are responsible for ensuring compliance with all applicable United States Export Control laws and regulations relating to any work performed under a resulting award.</w:t>
      </w:r>
    </w:p>
    <w:p w14:paraId="4715998D" w14:textId="77777777" w:rsidR="00520A11" w:rsidRPr="00520A11" w:rsidRDefault="00520A11" w:rsidP="00520A11">
      <w:pPr>
        <w:ind w:left="1080"/>
      </w:pPr>
    </w:p>
    <w:p w14:paraId="22B0983B" w14:textId="77777777" w:rsidR="00520A11" w:rsidRDefault="00520A11" w:rsidP="00520A11">
      <w:pPr>
        <w:ind w:left="1080"/>
      </w:pPr>
      <w:r w:rsidRPr="00520A11">
        <w:t>The recipient must immediately report to DOE any export control violations related to the project funded under the DOE award, at the recipient or subrecipient level, and provide the corrective action(s) to prevent future violations.</w:t>
      </w:r>
      <w:bookmarkStart w:id="802" w:name="_Hlk145068263"/>
      <w:r w:rsidRPr="00080AF8">
        <w:t xml:space="preserve"> </w:t>
      </w:r>
      <w:bookmarkEnd w:id="802"/>
    </w:p>
    <w:p w14:paraId="6BCCD963" w14:textId="77777777" w:rsidR="00520A11" w:rsidRDefault="00520A11" w:rsidP="00520A11">
      <w:pPr>
        <w:ind w:left="1080"/>
      </w:pPr>
    </w:p>
    <w:p w14:paraId="7BE714A7" w14:textId="77777777" w:rsidR="00520A11" w:rsidRPr="00520A11" w:rsidRDefault="00520A11" w:rsidP="001612A1">
      <w:pPr>
        <w:pStyle w:val="FOAHeading2"/>
      </w:pPr>
      <w:bookmarkStart w:id="803" w:name="_Toc146793354"/>
      <w:bookmarkStart w:id="804" w:name="_Toc146868791"/>
      <w:bookmarkStart w:id="805" w:name="_Toc146871414"/>
      <w:bookmarkStart w:id="806" w:name="_Toc146921912"/>
      <w:bookmarkStart w:id="807" w:name="_Toc146922773"/>
      <w:bookmarkStart w:id="808" w:name="_Toc146923125"/>
      <w:bookmarkStart w:id="809" w:name="_Toc146793356"/>
      <w:bookmarkStart w:id="810" w:name="_Toc146868793"/>
      <w:bookmarkStart w:id="811" w:name="_Toc146871416"/>
      <w:bookmarkStart w:id="812" w:name="_Toc146921914"/>
      <w:bookmarkStart w:id="813" w:name="_Toc146922775"/>
      <w:bookmarkStart w:id="814" w:name="_Toc146923127"/>
      <w:bookmarkStart w:id="815" w:name="_Toc101243838"/>
      <w:bookmarkStart w:id="816" w:name="_Toc110346651"/>
      <w:bookmarkStart w:id="817" w:name="_Toc140061048"/>
      <w:bookmarkStart w:id="818" w:name="_Toc176864549"/>
      <w:bookmarkEnd w:id="803"/>
      <w:bookmarkEnd w:id="804"/>
      <w:bookmarkEnd w:id="805"/>
      <w:bookmarkEnd w:id="806"/>
      <w:bookmarkEnd w:id="807"/>
      <w:bookmarkEnd w:id="808"/>
      <w:bookmarkEnd w:id="809"/>
      <w:bookmarkEnd w:id="810"/>
      <w:bookmarkEnd w:id="811"/>
      <w:bookmarkEnd w:id="812"/>
      <w:bookmarkEnd w:id="813"/>
      <w:bookmarkEnd w:id="814"/>
      <w:r w:rsidRPr="00520A11">
        <w:t>Prohibition on Certain Telecommunications and Video Surveillance Services or Equipment</w:t>
      </w:r>
      <w:bookmarkEnd w:id="815"/>
      <w:bookmarkEnd w:id="816"/>
      <w:bookmarkEnd w:id="817"/>
      <w:bookmarkEnd w:id="818"/>
    </w:p>
    <w:p w14:paraId="6B1036DD" w14:textId="77777777" w:rsidR="00520A11" w:rsidRPr="00520A11" w:rsidRDefault="00520A11" w:rsidP="00520A11">
      <w:pPr>
        <w:ind w:left="1080"/>
        <w:rPr>
          <w:rFonts w:cstheme="minorHAnsi"/>
          <w:color w:val="000000" w:themeColor="text1"/>
          <w:szCs w:val="24"/>
        </w:rPr>
      </w:pPr>
      <w:bookmarkStart w:id="819" w:name="_Hlk101181403"/>
      <w:r w:rsidRPr="00520A11">
        <w:rPr>
          <w:rFonts w:cstheme="minorHAnsi"/>
          <w:color w:val="000000" w:themeColor="text1"/>
          <w:szCs w:val="24"/>
        </w:rPr>
        <w:t xml:space="preserve">As set forth in 2 CFR 200.216, recipients and subrecipients are prohibited from obligating or expending project funds (federal funds and recipient cost share) to procure or obtain; extend or renew a contract to procure or obtain; or enter into a contract (or extend or renew a contract) to procure or obtain equipment, services, or systems that use </w:t>
      </w:r>
      <w:r w:rsidRPr="00520A11">
        <w:rPr>
          <w:rFonts w:cstheme="minorHAnsi"/>
          <w:i/>
          <w:iCs/>
          <w:color w:val="000000" w:themeColor="text1"/>
          <w:szCs w:val="24"/>
        </w:rPr>
        <w:t>covered telecommunications equipment or services</w:t>
      </w:r>
      <w:r w:rsidRPr="00520A11">
        <w:rPr>
          <w:rFonts w:cstheme="minorHAnsi"/>
          <w:color w:val="000000" w:themeColor="text1"/>
          <w:szCs w:val="24"/>
        </w:rPr>
        <w:t xml:space="preserve"> as a substantial or essential component of any system, or as critical technology as part of any system. As described in Section 889 of Public Law 115-232, </w:t>
      </w:r>
      <w:r w:rsidRPr="00520A11">
        <w:rPr>
          <w:rFonts w:cstheme="minorHAnsi"/>
          <w:i/>
          <w:iCs/>
          <w:color w:val="000000" w:themeColor="text1"/>
          <w:szCs w:val="24"/>
        </w:rPr>
        <w:t>covered telecommunications equipment</w:t>
      </w:r>
      <w:r w:rsidRPr="00520A11">
        <w:rPr>
          <w:rFonts w:cstheme="minorHAnsi"/>
          <w:color w:val="000000" w:themeColor="text1"/>
          <w:szCs w:val="24"/>
        </w:rPr>
        <w:t xml:space="preserve"> is telecommunications equipment produced by Huawei Technologies Company or ZTE Corporation (or any subsidiary or affiliate of such entities).</w:t>
      </w:r>
    </w:p>
    <w:p w14:paraId="6815A136" w14:textId="77777777" w:rsidR="00520A11" w:rsidRPr="00520A11" w:rsidRDefault="00520A11" w:rsidP="00520A11">
      <w:pPr>
        <w:ind w:left="1080"/>
        <w:rPr>
          <w:rFonts w:cstheme="minorHAnsi"/>
          <w:color w:val="000000" w:themeColor="text1"/>
          <w:szCs w:val="24"/>
        </w:rPr>
      </w:pPr>
    </w:p>
    <w:p w14:paraId="613523B0" w14:textId="604FFEE0" w:rsidR="00520A11" w:rsidRPr="00E770DA" w:rsidRDefault="00520A11" w:rsidP="00520A11">
      <w:pPr>
        <w:ind w:left="1080"/>
      </w:pPr>
      <w:r w:rsidRPr="00520A11">
        <w:rPr>
          <w:rFonts w:cstheme="minorHAnsi"/>
          <w:color w:val="000000" w:themeColor="text1"/>
          <w:szCs w:val="24"/>
        </w:rPr>
        <w:t>See Public Law 115-232, Section 889, 2 CFR 200.216, and 2 CFR 200.471 for additional information.</w:t>
      </w:r>
      <w:bookmarkEnd w:id="819"/>
    </w:p>
    <w:p w14:paraId="566F0386" w14:textId="77777777" w:rsidR="00520A11" w:rsidRPr="007E2BCF" w:rsidRDefault="00520A11" w:rsidP="00014404">
      <w:pPr>
        <w:ind w:left="1080"/>
      </w:pPr>
    </w:p>
    <w:p w14:paraId="542728A9" w14:textId="56661667" w:rsidR="00B07932" w:rsidRPr="008858B4" w:rsidRDefault="004E672B" w:rsidP="001612A1">
      <w:pPr>
        <w:pStyle w:val="FOAHeading2"/>
      </w:pPr>
      <w:bookmarkStart w:id="820" w:name="_Toc517798958"/>
      <w:bookmarkStart w:id="821" w:name="_Toc519602286"/>
      <w:bookmarkStart w:id="822" w:name="_Toc519602458"/>
      <w:bookmarkStart w:id="823" w:name="_Toc176864550"/>
      <w:r w:rsidRPr="008858B4">
        <w:t>Personally Identifiable Information</w:t>
      </w:r>
      <w:r w:rsidR="0064547C">
        <w:t xml:space="preserve"> (PII)</w:t>
      </w:r>
      <w:bookmarkEnd w:id="820"/>
      <w:bookmarkEnd w:id="821"/>
      <w:bookmarkEnd w:id="822"/>
      <w:bookmarkEnd w:id="823"/>
    </w:p>
    <w:p w14:paraId="7D4FC8C9" w14:textId="614ABBC7" w:rsidR="0064547C" w:rsidRDefault="004E672B" w:rsidP="00890CD2">
      <w:pPr>
        <w:pStyle w:val="CommentText"/>
        <w:ind w:left="1080"/>
      </w:pPr>
      <w:r>
        <w:t xml:space="preserve">All information provided by the </w:t>
      </w:r>
      <w:r w:rsidR="000F0009">
        <w:t xml:space="preserve">applicant </w:t>
      </w:r>
      <w:r>
        <w:t>must to the greatest extent possible exclude PII.</w:t>
      </w:r>
      <w:r w:rsidR="00604DB0">
        <w:t xml:space="preserve"> </w:t>
      </w:r>
      <w:r w:rsidRPr="008F7C59">
        <w:t>The term “</w:t>
      </w:r>
      <w:r w:rsidR="009F1B00">
        <w:t>PII</w:t>
      </w:r>
      <w:r w:rsidRPr="008F7C59">
        <w:t>” refers to information which can be used to distinguish or trace an individual's identity, such as their name, social security number, biometric records, alone, or when combined with other personal or identifying information which is linked or linkable to a specific individual, such as date and place of birth, mother’s maiden name.</w:t>
      </w:r>
      <w:r w:rsidR="001A3502">
        <w:t xml:space="preserve"> </w:t>
      </w:r>
      <w:r>
        <w:t>(See OMB Memor</w:t>
      </w:r>
      <w:r w:rsidR="001C1BE4">
        <w:t>an</w:t>
      </w:r>
      <w:r>
        <w:t>dum M-</w:t>
      </w:r>
      <w:r w:rsidR="00406D4D">
        <w:t>17</w:t>
      </w:r>
      <w:r>
        <w:t>-</w:t>
      </w:r>
      <w:r w:rsidR="00406D4D">
        <w:t xml:space="preserve">12 </w:t>
      </w:r>
      <w:r>
        <w:t xml:space="preserve">dated </w:t>
      </w:r>
      <w:r w:rsidR="00406D4D">
        <w:t>January 3,</w:t>
      </w:r>
      <w:r>
        <w:t xml:space="preserve"> </w:t>
      </w:r>
      <w:r w:rsidR="00406D4D">
        <w:t>2017</w:t>
      </w:r>
      <w:r w:rsidR="0067381E">
        <w:t>)</w:t>
      </w:r>
      <w:r>
        <w:t xml:space="preserve"> </w:t>
      </w:r>
    </w:p>
    <w:p w14:paraId="78D6CEB6" w14:textId="77777777" w:rsidR="00BE1DA2" w:rsidRDefault="00BE1DA2" w:rsidP="00890CD2">
      <w:pPr>
        <w:ind w:left="1080"/>
      </w:pPr>
    </w:p>
    <w:p w14:paraId="63C51A85" w14:textId="6A510855" w:rsidR="00B07932" w:rsidRDefault="004E672B" w:rsidP="00890CD2">
      <w:pPr>
        <w:ind w:left="1080"/>
      </w:pPr>
      <w:r>
        <w:t xml:space="preserve">By way of example, </w:t>
      </w:r>
      <w:r w:rsidR="000F0009">
        <w:t xml:space="preserve">applicants </w:t>
      </w:r>
      <w:r>
        <w:t xml:space="preserve">must screen resumes to ensure that they do not contain PII such as personal addresses, </w:t>
      </w:r>
      <w:r w:rsidR="00321CED">
        <w:t>personal landline</w:t>
      </w:r>
      <w:r>
        <w:t xml:space="preserve">/cell </w:t>
      </w:r>
      <w:r w:rsidR="00321CED">
        <w:t xml:space="preserve">phone </w:t>
      </w:r>
      <w:r>
        <w:t xml:space="preserve">numbers, </w:t>
      </w:r>
      <w:r w:rsidR="00321CED">
        <w:t xml:space="preserve">and </w:t>
      </w:r>
      <w:r>
        <w:t>personal emails.</w:t>
      </w:r>
      <w:r w:rsidR="001A3502">
        <w:t xml:space="preserve"> </w:t>
      </w:r>
      <w:r w:rsidR="00321CED" w:rsidRPr="00120F39">
        <w:rPr>
          <w:b/>
        </w:rPr>
        <w:t>Under no circumstances should Social Security Numbers (SSNs) be included in the application</w:t>
      </w:r>
      <w:r w:rsidR="00321CED">
        <w:t>.</w:t>
      </w:r>
      <w:r w:rsidR="001A3502">
        <w:t xml:space="preserve"> </w:t>
      </w:r>
      <w:r w:rsidR="00321CED">
        <w:t xml:space="preserve">Federal </w:t>
      </w:r>
      <w:r w:rsidR="004C7B21">
        <w:t>a</w:t>
      </w:r>
      <w:r w:rsidR="00321CED">
        <w:t>gencies are prohibited from the collecting, using, and displaying unnecessary SSNs. (See, the Federal Information Security Modernization Act of 2014 (Pub. L. No. 113-283, Dec 18, 2014; 44 U.S.C. §</w:t>
      </w:r>
      <w:r w:rsidR="009047A2">
        <w:t xml:space="preserve"> </w:t>
      </w:r>
      <w:r w:rsidR="00321CED">
        <w:t xml:space="preserve">3551). </w:t>
      </w:r>
    </w:p>
    <w:p w14:paraId="1B974AA4" w14:textId="77777777" w:rsidR="00CB44AC" w:rsidRPr="007A29A5" w:rsidRDefault="00CB44AC" w:rsidP="00072505">
      <w:pPr>
        <w:ind w:left="1440"/>
      </w:pPr>
    </w:p>
    <w:p w14:paraId="161745C1" w14:textId="4919E44D" w:rsidR="00B07932" w:rsidRPr="008858B4" w:rsidRDefault="004E672B" w:rsidP="001612A1">
      <w:pPr>
        <w:pStyle w:val="FOAHeading2"/>
      </w:pPr>
      <w:bookmarkStart w:id="824" w:name="_Toc410397277"/>
      <w:bookmarkStart w:id="825" w:name="_Toc517798959"/>
      <w:bookmarkStart w:id="826" w:name="_Toc519602287"/>
      <w:bookmarkStart w:id="827" w:name="_Toc519602459"/>
      <w:bookmarkStart w:id="828" w:name="_Toc176864551"/>
      <w:r w:rsidRPr="008858B4">
        <w:t xml:space="preserve">Annual </w:t>
      </w:r>
      <w:r w:rsidR="00186784">
        <w:t>Independent</w:t>
      </w:r>
      <w:r w:rsidRPr="008858B4">
        <w:t xml:space="preserve"> Audits</w:t>
      </w:r>
      <w:bookmarkEnd w:id="824"/>
      <w:bookmarkEnd w:id="825"/>
      <w:bookmarkEnd w:id="826"/>
      <w:bookmarkEnd w:id="827"/>
      <w:bookmarkEnd w:id="828"/>
    </w:p>
    <w:p w14:paraId="15DBBE3B" w14:textId="38AB7734" w:rsidR="00B07932" w:rsidRPr="008858B4" w:rsidRDefault="004E672B" w:rsidP="00890CD2">
      <w:pPr>
        <w:ind w:left="1080"/>
      </w:pPr>
      <w:r w:rsidRPr="008858B4">
        <w:t xml:space="preserve">If a for-profit entity is a </w:t>
      </w:r>
      <w:r w:rsidR="00647D5B">
        <w:t>p</w:t>
      </w:r>
      <w:r w:rsidR="00647D5B" w:rsidRPr="008858B4">
        <w:t xml:space="preserve">rime </w:t>
      </w:r>
      <w:r w:rsidR="00647D5B">
        <w:t>r</w:t>
      </w:r>
      <w:r w:rsidR="00647D5B" w:rsidRPr="008858B4">
        <w:t xml:space="preserve">ecipient </w:t>
      </w:r>
      <w:r w:rsidRPr="008858B4">
        <w:t xml:space="preserve">and has expended $750,000 or more of DOE </w:t>
      </w:r>
      <w:r w:rsidR="009C5E2F">
        <w:t>awards</w:t>
      </w:r>
      <w:r w:rsidRPr="008858B4">
        <w:t xml:space="preserve"> during the entity's fiscal year, an annual </w:t>
      </w:r>
      <w:r w:rsidR="00A01AB2">
        <w:t>c</w:t>
      </w:r>
      <w:r w:rsidR="00A01AB2" w:rsidRPr="008858B4">
        <w:t xml:space="preserve">ompliance </w:t>
      </w:r>
      <w:r w:rsidR="00A01AB2">
        <w:t>a</w:t>
      </w:r>
      <w:r w:rsidR="00A01AB2" w:rsidRPr="008858B4">
        <w:t xml:space="preserve">udit </w:t>
      </w:r>
      <w:r w:rsidRPr="008858B4">
        <w:t xml:space="preserve">performed by an </w:t>
      </w:r>
      <w:r w:rsidRPr="008858B4">
        <w:lastRenderedPageBreak/>
        <w:t>independent auditor is required.</w:t>
      </w:r>
      <w:r w:rsidR="001A3502">
        <w:t xml:space="preserve"> </w:t>
      </w:r>
      <w:r w:rsidRPr="008858B4">
        <w:t>For additional information, please refer to 2 CFR 910.501 and Subpart F.</w:t>
      </w:r>
    </w:p>
    <w:p w14:paraId="2A1D8AFE" w14:textId="77777777" w:rsidR="00B07932" w:rsidRPr="008858B4" w:rsidRDefault="00B07932" w:rsidP="00890CD2">
      <w:pPr>
        <w:ind w:left="1080"/>
      </w:pPr>
    </w:p>
    <w:p w14:paraId="4A69F688" w14:textId="70220FD3" w:rsidR="00B07932" w:rsidRPr="008858B4" w:rsidRDefault="004E672B" w:rsidP="00890CD2">
      <w:pPr>
        <w:ind w:left="1080"/>
      </w:pPr>
      <w:r w:rsidRPr="008858B4">
        <w:t xml:space="preserve">If an educational institution, non-profit organization, or state/local government is a </w:t>
      </w:r>
      <w:r w:rsidR="00647D5B">
        <w:t>p</w:t>
      </w:r>
      <w:r w:rsidR="00647D5B" w:rsidRPr="008858B4">
        <w:t xml:space="preserve">rime </w:t>
      </w:r>
      <w:r w:rsidR="00647D5B">
        <w:t>r</w:t>
      </w:r>
      <w:r w:rsidR="00647D5B" w:rsidRPr="008858B4">
        <w:t xml:space="preserve">ecipient </w:t>
      </w:r>
      <w:r w:rsidRPr="008858B4">
        <w:t xml:space="preserve">or </w:t>
      </w:r>
      <w:r w:rsidR="00496B2A">
        <w:t>s</w:t>
      </w:r>
      <w:r w:rsidR="00496B2A" w:rsidRPr="008858B4">
        <w:t xml:space="preserve">ubrecipient </w:t>
      </w:r>
      <w:r w:rsidRPr="008858B4">
        <w:t xml:space="preserve">and has expended $750,000 or more of </w:t>
      </w:r>
      <w:r w:rsidR="001F169D">
        <w:t>f</w:t>
      </w:r>
      <w:r w:rsidR="001F169D" w:rsidRPr="009C5E2F">
        <w:t xml:space="preserve">ederal </w:t>
      </w:r>
      <w:r w:rsidR="009C5E2F" w:rsidRPr="009C5E2F">
        <w:t>awards</w:t>
      </w:r>
      <w:r w:rsidRPr="008858B4">
        <w:t xml:space="preserve"> during the non-</w:t>
      </w:r>
      <w:r w:rsidR="001F169D">
        <w:t>f</w:t>
      </w:r>
      <w:r w:rsidR="001F169D" w:rsidRPr="008858B4">
        <w:t xml:space="preserve">ederal </w:t>
      </w:r>
      <w:r w:rsidRPr="008858B4">
        <w:t xml:space="preserve">entity's fiscal year, a </w:t>
      </w:r>
      <w:r w:rsidR="00186784">
        <w:t>S</w:t>
      </w:r>
      <w:r w:rsidRPr="008858B4">
        <w:t xml:space="preserve">ingle or </w:t>
      </w:r>
      <w:r w:rsidR="00186784">
        <w:t>P</w:t>
      </w:r>
      <w:r w:rsidRPr="008858B4">
        <w:t>rogram-</w:t>
      </w:r>
      <w:r w:rsidR="00186784">
        <w:t>S</w:t>
      </w:r>
      <w:r w:rsidRPr="008858B4">
        <w:t xml:space="preserve">pecific </w:t>
      </w:r>
      <w:r w:rsidR="00186784">
        <w:t>A</w:t>
      </w:r>
      <w:r w:rsidRPr="008858B4">
        <w:t>udit is required.</w:t>
      </w:r>
      <w:r w:rsidR="001A3502">
        <w:t xml:space="preserve"> </w:t>
      </w:r>
      <w:r w:rsidRPr="008858B4">
        <w:t>For additional information, please refer to 2 CFR 200.501 and Subpart F.</w:t>
      </w:r>
    </w:p>
    <w:p w14:paraId="5E23AB74" w14:textId="77777777" w:rsidR="00B07932" w:rsidRPr="008858B4" w:rsidRDefault="00B07932" w:rsidP="00890CD2">
      <w:pPr>
        <w:ind w:left="1080"/>
      </w:pPr>
    </w:p>
    <w:p w14:paraId="19755823" w14:textId="77777777" w:rsidR="00B07932" w:rsidRPr="008858B4" w:rsidRDefault="004E672B" w:rsidP="00890CD2">
      <w:pPr>
        <w:ind w:left="1080"/>
      </w:pPr>
      <w:r w:rsidRPr="008858B4">
        <w:t>Applicants and subrecipients (if applicable) should propose sufficient costs in the project budget to cover the costs associated with the audit.</w:t>
      </w:r>
      <w:r w:rsidR="001A3502">
        <w:t xml:space="preserve"> </w:t>
      </w:r>
      <w:r w:rsidRPr="008858B4">
        <w:t>EERE will share in the cost of the audit at its applicable cost share ratio.</w:t>
      </w:r>
    </w:p>
    <w:p w14:paraId="56F2B68D" w14:textId="77777777" w:rsidR="002114F3" w:rsidRDefault="002114F3" w:rsidP="002114F3">
      <w:pPr>
        <w:ind w:left="1080"/>
      </w:pPr>
    </w:p>
    <w:p w14:paraId="1481E9A3" w14:textId="25323980" w:rsidR="006F7749" w:rsidRPr="007249EE" w:rsidRDefault="006F7749" w:rsidP="001612A1">
      <w:pPr>
        <w:pStyle w:val="FOAHeading2"/>
      </w:pPr>
      <w:bookmarkStart w:id="829" w:name="_Toc140061051"/>
      <w:bookmarkStart w:id="830" w:name="_Toc176864552"/>
      <w:r w:rsidRPr="007249EE">
        <w:t>Informational Webinar</w:t>
      </w:r>
      <w:bookmarkEnd w:id="829"/>
      <w:bookmarkEnd w:id="830"/>
    </w:p>
    <w:p w14:paraId="70D952D7" w14:textId="15F027B5" w:rsidR="00112226" w:rsidRDefault="002114F3" w:rsidP="00890CD2">
      <w:pPr>
        <w:ind w:left="1080"/>
      </w:pPr>
      <w:r>
        <w:t>EERE will conduct one informational webinar during the FOA process. It will be held after the initial FOA release but before t</w:t>
      </w:r>
      <w:r w:rsidR="004E672B">
        <w:t>he due date for Concept Papers.</w:t>
      </w:r>
    </w:p>
    <w:p w14:paraId="4C17FE97" w14:textId="77777777" w:rsidR="00112226" w:rsidRDefault="00112226" w:rsidP="00890CD2">
      <w:pPr>
        <w:ind w:left="1080"/>
      </w:pPr>
    </w:p>
    <w:p w14:paraId="6B505EB3" w14:textId="3893B0FC" w:rsidR="001431C0" w:rsidRPr="006F7749" w:rsidRDefault="004E672B" w:rsidP="006F7749">
      <w:pPr>
        <w:ind w:left="1080"/>
      </w:pPr>
      <w:r>
        <w:t xml:space="preserve">Attendance is not mandatory and will not positively or negatively impact the overall review of any applicant submissions. </w:t>
      </w:r>
      <w:r w:rsidR="006F7749">
        <w:t>T</w:t>
      </w:r>
      <w:r>
        <w:t>he webinar will be open to all applicants who wish to participate</w:t>
      </w:r>
      <w:r w:rsidR="006F7749">
        <w:t>. A</w:t>
      </w:r>
      <w:r>
        <w:t xml:space="preserve">pplicants should refrain from asking questions or communicating information that would reveal confidential and/or proprietary information specific to their project. </w:t>
      </w:r>
      <w:r w:rsidR="006F7749">
        <w:t>The webinar date is listed on the cover page of the FOA.</w:t>
      </w:r>
    </w:p>
    <w:p w14:paraId="7F5E5659" w14:textId="77777777" w:rsidR="001431C0" w:rsidRDefault="004E672B">
      <w:pPr>
        <w:rPr>
          <w:color w:val="0000FF"/>
        </w:rPr>
      </w:pPr>
      <w:r>
        <w:rPr>
          <w:color w:val="0000FF"/>
        </w:rPr>
        <w:br w:type="page"/>
      </w:r>
    </w:p>
    <w:p w14:paraId="0AA1A92A" w14:textId="5DB91BC5" w:rsidR="004D610D" w:rsidRPr="00FA6BB7" w:rsidRDefault="006F7749" w:rsidP="004D610D">
      <w:pPr>
        <w:pStyle w:val="AppendixHeading"/>
        <w:outlineLvl w:val="0"/>
      </w:pPr>
      <w:bookmarkStart w:id="831" w:name="_Toc140061052"/>
      <w:bookmarkStart w:id="832" w:name="_Toc176864553"/>
      <w:r w:rsidRPr="008B0D95">
        <w:lastRenderedPageBreak/>
        <w:t>Appendix A – Cost Share Information</w:t>
      </w:r>
      <w:bookmarkEnd w:id="831"/>
      <w:bookmarkEnd w:id="832"/>
    </w:p>
    <w:p w14:paraId="76E35D36" w14:textId="77777777" w:rsidR="004D610D" w:rsidRDefault="004D610D" w:rsidP="004D610D"/>
    <w:p w14:paraId="0B7BE039" w14:textId="77777777" w:rsidR="004D610D" w:rsidRPr="009B6894" w:rsidRDefault="004E672B" w:rsidP="004D610D">
      <w:pPr>
        <w:rPr>
          <w:b/>
        </w:rPr>
      </w:pPr>
      <w:r w:rsidRPr="00120F39">
        <w:rPr>
          <w:b/>
        </w:rPr>
        <w:t xml:space="preserve">Cost Sharing or Cost Matching </w:t>
      </w:r>
    </w:p>
    <w:p w14:paraId="2A55AB12" w14:textId="77777777" w:rsidR="004D610D" w:rsidRDefault="004D610D" w:rsidP="004D610D"/>
    <w:p w14:paraId="3390AC81" w14:textId="0CBCCE15" w:rsidR="004D610D" w:rsidRDefault="004E672B" w:rsidP="004D610D">
      <w:r>
        <w:t xml:space="preserve">The terms “cost sharing” and “cost matching” are often used synonymously. Even the DOE Financial Assistance Regulations, 2 CFR 200.306, use both terms in the titles specific to regulations applicable to cost sharing. EERE almost always uses “cost sharing,” as it conveys the concept that non-federal share is calculated as a percentage of the Total Project Cost. An exception is the State Energy Program Regulation, 10 CFR 420.12, State Matching Contribution. Here “cost matching” for the non-federal share is calculated as a percentage of the federal funds only, rather than the Total Project Cost. </w:t>
      </w:r>
    </w:p>
    <w:p w14:paraId="503697F8" w14:textId="77777777" w:rsidR="004D610D" w:rsidRDefault="004D610D" w:rsidP="004D610D"/>
    <w:p w14:paraId="5970ED65" w14:textId="77777777" w:rsidR="004D610D" w:rsidRPr="009B6894" w:rsidRDefault="004E672B" w:rsidP="004D610D">
      <w:pPr>
        <w:rPr>
          <w:b/>
        </w:rPr>
      </w:pPr>
      <w:r w:rsidRPr="00120F39">
        <w:rPr>
          <w:b/>
        </w:rPr>
        <w:t>How Cost Sharing I</w:t>
      </w:r>
      <w:r w:rsidRPr="6BB432CC">
        <w:rPr>
          <w:b/>
        </w:rPr>
        <w:t xml:space="preserve">s Calculated </w:t>
      </w:r>
    </w:p>
    <w:p w14:paraId="5C500F89" w14:textId="77777777" w:rsidR="004D610D" w:rsidRDefault="004D610D" w:rsidP="004D610D"/>
    <w:p w14:paraId="0670DE6E" w14:textId="77777777" w:rsidR="004D610D" w:rsidRDefault="004E672B" w:rsidP="004D610D">
      <w:r>
        <w:t xml:space="preserve">As stated above, cost sharing is calculated as a percentage of the Total Project Cost. FFRDC costs must be included in Total Project Costs. The following is an example of how to calculate cost sharing amounts for a project with $1,000,000 in federal funds with a minimum 20% non-federal cost sharing requirement: </w:t>
      </w:r>
    </w:p>
    <w:p w14:paraId="3311C567" w14:textId="77777777" w:rsidR="004D610D" w:rsidRDefault="004D610D" w:rsidP="004D610D"/>
    <w:p w14:paraId="4BCED709" w14:textId="77777777" w:rsidR="004D610D" w:rsidRDefault="004E672B" w:rsidP="00AC77FA">
      <w:pPr>
        <w:pStyle w:val="ListParagraph"/>
        <w:numPr>
          <w:ilvl w:val="0"/>
          <w:numId w:val="58"/>
        </w:numPr>
      </w:pPr>
      <w:r>
        <w:t xml:space="preserve">Formula: Federal share ($) divided by federal share (%) = Total Project Cost </w:t>
      </w:r>
    </w:p>
    <w:p w14:paraId="591C4D35" w14:textId="77777777" w:rsidR="004D610D" w:rsidRDefault="004E672B" w:rsidP="004D610D">
      <w:pPr>
        <w:pStyle w:val="ListParagraph"/>
      </w:pPr>
      <w:r>
        <w:t xml:space="preserve">Example: $1,000,000 divided by 80% = $1,250,000 </w:t>
      </w:r>
    </w:p>
    <w:p w14:paraId="2DCADB66" w14:textId="77777777" w:rsidR="004D610D" w:rsidRDefault="004D610D" w:rsidP="004D610D"/>
    <w:p w14:paraId="5A4F962B" w14:textId="77777777" w:rsidR="004D610D" w:rsidRDefault="004E672B" w:rsidP="00AC77FA">
      <w:pPr>
        <w:pStyle w:val="ListParagraph"/>
        <w:numPr>
          <w:ilvl w:val="0"/>
          <w:numId w:val="58"/>
        </w:numPr>
      </w:pPr>
      <w:r>
        <w:t xml:space="preserve">Formula: Total Project Cost ($) minus federal share ($) = Non-federal share ($) </w:t>
      </w:r>
    </w:p>
    <w:p w14:paraId="3A40DFB7" w14:textId="77777777" w:rsidR="004D610D" w:rsidRDefault="004E672B" w:rsidP="004D610D">
      <w:pPr>
        <w:pStyle w:val="ListParagraph"/>
      </w:pPr>
      <w:r>
        <w:t xml:space="preserve">Example: $1,250,000 minus $1,000,000 = $250,000 </w:t>
      </w:r>
    </w:p>
    <w:p w14:paraId="65D33F21" w14:textId="77777777" w:rsidR="004D610D" w:rsidRDefault="004D610D" w:rsidP="004D610D"/>
    <w:p w14:paraId="7429B20C" w14:textId="77777777" w:rsidR="004D610D" w:rsidRDefault="004E672B" w:rsidP="00AC77FA">
      <w:pPr>
        <w:pStyle w:val="ListParagraph"/>
        <w:numPr>
          <w:ilvl w:val="0"/>
          <w:numId w:val="58"/>
        </w:numPr>
      </w:pPr>
      <w:r>
        <w:t xml:space="preserve">Formula: Non-federal share ($) divided by Total Project Cost ($) = Non-federal share (%) </w:t>
      </w:r>
    </w:p>
    <w:p w14:paraId="7EA0671F" w14:textId="77777777" w:rsidR="004D610D" w:rsidRDefault="004E672B" w:rsidP="004D610D">
      <w:pPr>
        <w:pStyle w:val="ListParagraph"/>
      </w:pPr>
      <w:r>
        <w:t xml:space="preserve">Example: $250,000 divided by $1,250,000 = 20% </w:t>
      </w:r>
    </w:p>
    <w:p w14:paraId="6AA11EB3" w14:textId="77777777" w:rsidR="004D610D" w:rsidRDefault="004D610D" w:rsidP="004D610D"/>
    <w:p w14:paraId="42239E68" w14:textId="5FE34723" w:rsidR="004D610D" w:rsidRPr="009B6894" w:rsidRDefault="004E672B" w:rsidP="004D610D">
      <w:pPr>
        <w:rPr>
          <w:b/>
        </w:rPr>
      </w:pPr>
      <w:r w:rsidRPr="00120F39">
        <w:rPr>
          <w:b/>
        </w:rPr>
        <w:t xml:space="preserve">What Qualifies </w:t>
      </w:r>
      <w:r w:rsidR="006F7749" w:rsidRPr="00120F39">
        <w:rPr>
          <w:b/>
        </w:rPr>
        <w:t>for</w:t>
      </w:r>
      <w:r w:rsidRPr="00120F39">
        <w:rPr>
          <w:b/>
        </w:rPr>
        <w:t xml:space="preserve"> Cost Sharing </w:t>
      </w:r>
    </w:p>
    <w:p w14:paraId="6B80CC67" w14:textId="77777777" w:rsidR="004D610D" w:rsidRDefault="004D610D" w:rsidP="004D610D"/>
    <w:p w14:paraId="472E7657" w14:textId="5276DFD0" w:rsidR="004D610D" w:rsidRDefault="004E672B" w:rsidP="004D610D">
      <w:r>
        <w:t xml:space="preserve">While it is not possible to explain what specifically qualifies for cost sharing in one or </w:t>
      </w:r>
      <w:r w:rsidR="006F7749">
        <w:t xml:space="preserve">two </w:t>
      </w:r>
      <w:r>
        <w:t xml:space="preserve">sentences, in general, if a cost is allowable under the cost principles applicable to the organization incurring the cost and is eligible for reimbursement under an EERE grant or cooperative agreement, it is allowable as cost share. Conversely, if the cost is not allowable under the cost principles and not eligible for reimbursement, it is not allowable as cost share. In addition, costs may not be counted as cost share if they are paid by the federal </w:t>
      </w:r>
      <w:r w:rsidR="004C7B21">
        <w:t>g</w:t>
      </w:r>
      <w:r>
        <w:t xml:space="preserve">overnment under another award unless authorized by federal statute to be used for cost sharing. </w:t>
      </w:r>
    </w:p>
    <w:p w14:paraId="5C7EC93C" w14:textId="77777777" w:rsidR="004D610D" w:rsidRDefault="004D610D" w:rsidP="004D610D"/>
    <w:p w14:paraId="06FAF6A4" w14:textId="77777777" w:rsidR="004D610D" w:rsidRDefault="004E672B" w:rsidP="004D610D">
      <w:r>
        <w:t xml:space="preserve">The rules associated with what is allowable as cost share are specific to the type of organization that is receiving funds under the grant or cooperative agreement, though are generally the same for all types of entities. The specific rules applicable to: </w:t>
      </w:r>
    </w:p>
    <w:p w14:paraId="64D49E02" w14:textId="77777777" w:rsidR="004D610D" w:rsidRDefault="004D610D" w:rsidP="004D610D"/>
    <w:p w14:paraId="4BBEA7EA" w14:textId="77777777" w:rsidR="004D610D" w:rsidRDefault="004E672B" w:rsidP="00AC77FA">
      <w:pPr>
        <w:pStyle w:val="ListParagraph"/>
        <w:numPr>
          <w:ilvl w:val="0"/>
          <w:numId w:val="58"/>
        </w:numPr>
      </w:pPr>
      <w:r>
        <w:lastRenderedPageBreak/>
        <w:t>FAR Part 31 for For-Profit entities,</w:t>
      </w:r>
      <w:r w:rsidRPr="00EF6DC5">
        <w:t xml:space="preserve"> </w:t>
      </w:r>
      <w:r>
        <w:t>(</w:t>
      </w:r>
      <w:r w:rsidRPr="00EF6DC5">
        <w:t>48 CFR Part 31</w:t>
      </w:r>
      <w:r>
        <w:t>); and</w:t>
      </w:r>
    </w:p>
    <w:p w14:paraId="6C3C9924" w14:textId="77777777" w:rsidR="004D610D" w:rsidRDefault="004E672B" w:rsidP="00AC77FA">
      <w:pPr>
        <w:pStyle w:val="ListParagraph"/>
        <w:numPr>
          <w:ilvl w:val="0"/>
          <w:numId w:val="58"/>
        </w:numPr>
      </w:pPr>
      <w:r w:rsidRPr="00EF6DC5">
        <w:t>2 CFR Part 200 Subpart E - Cost Principles for all other non-federal entities.</w:t>
      </w:r>
    </w:p>
    <w:p w14:paraId="6BCBF1D0" w14:textId="77777777" w:rsidR="004D610D" w:rsidRDefault="004D610D" w:rsidP="004D610D"/>
    <w:p w14:paraId="0A089C98" w14:textId="72019CF7" w:rsidR="004D610D" w:rsidRDefault="004E672B" w:rsidP="004D610D">
      <w:r>
        <w:t xml:space="preserve">In addition to the </w:t>
      </w:r>
      <w:r w:rsidR="006F7749">
        <w:t xml:space="preserve">above </w:t>
      </w:r>
      <w:r>
        <w:t xml:space="preserve">regulations, other factors may also come into play such as timing of donations and length of the project period. For example, the value of </w:t>
      </w:r>
      <w:r w:rsidR="006F7749">
        <w:t>10</w:t>
      </w:r>
      <w:r>
        <w:t xml:space="preserve"> years of donated maintenance on a project that has a project period of five years would not be fully allowable as cost share. Only the value for the five years of donated maintenance that corresponds to the project period is allowable and may be counted as cost share. </w:t>
      </w:r>
    </w:p>
    <w:p w14:paraId="076C3995" w14:textId="77777777" w:rsidR="004D610D" w:rsidRDefault="004D610D" w:rsidP="004D610D"/>
    <w:p w14:paraId="5DE9ABBF" w14:textId="77777777" w:rsidR="004D610D" w:rsidRDefault="004E672B" w:rsidP="004D610D">
      <w:r>
        <w:t xml:space="preserve">Additionally, EERE generally does not allow pre-award costs for either cost share or reimbursement when these costs precede the signing of the appropriation bill that funds the award. In the case of a competitive award, EERE generally does not allow pre-award costs prior to the signing of the Selection Statement by the EERE Selection Official. </w:t>
      </w:r>
    </w:p>
    <w:p w14:paraId="686E9514" w14:textId="77777777" w:rsidR="004D610D" w:rsidRDefault="004D610D" w:rsidP="004D610D"/>
    <w:p w14:paraId="755A002C" w14:textId="77777777" w:rsidR="004D610D" w:rsidRDefault="004E672B" w:rsidP="004D610D">
      <w:pPr>
        <w:rPr>
          <w:b/>
        </w:rPr>
      </w:pPr>
      <w:r w:rsidRPr="00120F39">
        <w:rPr>
          <w:b/>
        </w:rPr>
        <w:t xml:space="preserve">General Cost Sharing Rules on a DOE </w:t>
      </w:r>
      <w:r>
        <w:rPr>
          <w:b/>
        </w:rPr>
        <w:t>A</w:t>
      </w:r>
      <w:r w:rsidRPr="00120F39">
        <w:rPr>
          <w:b/>
        </w:rPr>
        <w:t>ward</w:t>
      </w:r>
    </w:p>
    <w:p w14:paraId="18C58502" w14:textId="77777777" w:rsidR="004D610D" w:rsidRDefault="004D610D" w:rsidP="004D610D">
      <w:pPr>
        <w:rPr>
          <w:b/>
        </w:rPr>
      </w:pPr>
    </w:p>
    <w:p w14:paraId="6C8C5C4A" w14:textId="17578F3C" w:rsidR="004D610D" w:rsidRDefault="004E672B" w:rsidP="00AC77FA">
      <w:pPr>
        <w:pStyle w:val="ListParagraph"/>
        <w:numPr>
          <w:ilvl w:val="0"/>
          <w:numId w:val="67"/>
        </w:numPr>
      </w:pPr>
      <w:r w:rsidRPr="006F7749">
        <w:rPr>
          <w:b/>
          <w:bCs/>
        </w:rPr>
        <w:t>Cash Cost Share</w:t>
      </w:r>
      <w:r>
        <w:t xml:space="preserve"> encompasses all contributions to the project made by the recipient or subrecipient(s), for costs incurred and paid for during the project. This includes when an organization pays for personnel, supplies, equipment for their own company with organizational resources. If the </w:t>
      </w:r>
      <w:r w:rsidR="006F7749">
        <w:t xml:space="preserve">cost of the </w:t>
      </w:r>
      <w:r>
        <w:t xml:space="preserve">item or service is reimbursed, it is cash cost share. All cost share items must be necessary to the performance of the project. </w:t>
      </w:r>
    </w:p>
    <w:p w14:paraId="5FBD766C" w14:textId="77777777" w:rsidR="004D610D" w:rsidRDefault="004D610D" w:rsidP="004D610D"/>
    <w:p w14:paraId="0274EAAD" w14:textId="55937110" w:rsidR="004D610D" w:rsidRDefault="004E672B" w:rsidP="00AC77FA">
      <w:pPr>
        <w:pStyle w:val="ListParagraph"/>
        <w:numPr>
          <w:ilvl w:val="0"/>
          <w:numId w:val="67"/>
        </w:numPr>
      </w:pPr>
      <w:r w:rsidRPr="006F7749">
        <w:rPr>
          <w:b/>
          <w:bCs/>
        </w:rPr>
        <w:t>In-Kind Cost Share</w:t>
      </w:r>
      <w:r>
        <w:t xml:space="preserve"> encompasses all contributions to the project made by the recipient or subrecipient(s) that do not involve a payment or reimbursement and represent donated items or services. In-Kind cost share items include volunteer personnel hours, donated existing equipment, </w:t>
      </w:r>
      <w:r w:rsidR="006F7749">
        <w:t xml:space="preserve">and </w:t>
      </w:r>
      <w:r>
        <w:t xml:space="preserve">donated existing supplies. The cash value and calculations thereof for all In-Kind cost share items must be justified and explained in the Cost Share section of the project Budget Justification. All cost share items must be necessary to the performance of the project. </w:t>
      </w:r>
      <w:r w:rsidR="00770892">
        <w:t>C</w:t>
      </w:r>
      <w:r>
        <w:t xml:space="preserve">onsult your DOE contact </w:t>
      </w:r>
      <w:r w:rsidR="00770892">
        <w:t xml:space="preserve">if you have questions </w:t>
      </w:r>
      <w:r>
        <w:t>before filling out the In-Kind cost share section of the Budget Justification.</w:t>
      </w:r>
    </w:p>
    <w:p w14:paraId="5A5B8F5E" w14:textId="77777777" w:rsidR="004D610D" w:rsidRDefault="004D610D" w:rsidP="004D610D"/>
    <w:p w14:paraId="0597DC8D" w14:textId="0471BD13" w:rsidR="004D610D" w:rsidRDefault="004E672B" w:rsidP="00AC77FA">
      <w:pPr>
        <w:pStyle w:val="ListParagraph"/>
        <w:numPr>
          <w:ilvl w:val="0"/>
          <w:numId w:val="67"/>
        </w:numPr>
      </w:pPr>
      <w:r w:rsidRPr="00770892">
        <w:rPr>
          <w:b/>
          <w:bCs/>
        </w:rPr>
        <w:t>Funds from other federal sources</w:t>
      </w:r>
      <w:r>
        <w:t xml:space="preserve"> </w:t>
      </w:r>
      <w:r w:rsidR="00770892">
        <w:t xml:space="preserve">may </w:t>
      </w:r>
      <w:r w:rsidR="00770892" w:rsidRPr="00770892">
        <w:rPr>
          <w:b/>
          <w:bCs/>
        </w:rPr>
        <w:t>not</w:t>
      </w:r>
      <w:r w:rsidR="00770892">
        <w:t xml:space="preserve"> </w:t>
      </w:r>
      <w:r>
        <w:t>be counted as cost share. This prohibition includes FFRDC subrecipients. Non-federal sources include any source not originally derived from federal funds. Cost sharing commitment letters from subrecipients must be provided with the original application.</w:t>
      </w:r>
    </w:p>
    <w:p w14:paraId="2DF4B7B5" w14:textId="77777777" w:rsidR="004D610D" w:rsidRDefault="004D610D" w:rsidP="004D610D"/>
    <w:p w14:paraId="20387438" w14:textId="77777777" w:rsidR="004D610D" w:rsidRPr="003A06FA" w:rsidRDefault="004E672B" w:rsidP="00AC77FA">
      <w:pPr>
        <w:pStyle w:val="ListParagraph"/>
        <w:numPr>
          <w:ilvl w:val="0"/>
          <w:numId w:val="67"/>
        </w:numPr>
        <w:rPr>
          <w:b/>
        </w:rPr>
      </w:pPr>
      <w:r w:rsidRPr="00770892">
        <w:rPr>
          <w:b/>
          <w:bCs/>
        </w:rPr>
        <w:t>Fee or profit</w:t>
      </w:r>
      <w:r>
        <w:t>, including foregone fee or profit, are not allowable as project costs (including cost share) under any resulting award. The project may only incur those costs that are allowable and allocable to the project (including cost share) as determined in accordance with the applicable cost principles prescribed in FAR Part 31 for For-Profit entities and 2 CFR Part 200 Subpart E - Cost Principles for all other non-federal entities.</w:t>
      </w:r>
      <w:r w:rsidRPr="00120F39">
        <w:rPr>
          <w:b/>
        </w:rPr>
        <w:t xml:space="preserve"> </w:t>
      </w:r>
    </w:p>
    <w:p w14:paraId="1E443EC4" w14:textId="4D74D5A7" w:rsidR="004D610D" w:rsidRDefault="004D610D" w:rsidP="004D610D">
      <w:pPr>
        <w:rPr>
          <w:b/>
        </w:rPr>
      </w:pPr>
    </w:p>
    <w:p w14:paraId="3B28B18E" w14:textId="77777777" w:rsidR="004D610D" w:rsidRPr="00C97BC7" w:rsidRDefault="004E672B" w:rsidP="004D610D">
      <w:pPr>
        <w:rPr>
          <w:b/>
        </w:rPr>
      </w:pPr>
      <w:r w:rsidRPr="00120F39">
        <w:rPr>
          <w:b/>
        </w:rPr>
        <w:t xml:space="preserve">DOE Financial Assistance Rules 2 CFR Part 200 as amended by 2 CFR Part 910 </w:t>
      </w:r>
    </w:p>
    <w:p w14:paraId="233071F3" w14:textId="77777777" w:rsidR="004D610D" w:rsidRDefault="004D610D" w:rsidP="004D610D"/>
    <w:p w14:paraId="14903732" w14:textId="77777777" w:rsidR="004D610D" w:rsidRDefault="004E672B" w:rsidP="004D610D">
      <w:r>
        <w:t xml:space="preserve">As stated above, the rules associated with what is allowable cost share are generally the same for all types of organizations. Following are the rules found to be common, but again, the specifics are contained in the regulations and cost principles specific to the type of entity: </w:t>
      </w:r>
    </w:p>
    <w:p w14:paraId="7BA22A50" w14:textId="77777777" w:rsidR="004D610D" w:rsidRDefault="004D610D" w:rsidP="004D610D"/>
    <w:p w14:paraId="173E4543" w14:textId="4D2C8DA6" w:rsidR="004D610D" w:rsidRDefault="004E672B" w:rsidP="00AC77FA">
      <w:pPr>
        <w:pStyle w:val="ListParagraph"/>
        <w:numPr>
          <w:ilvl w:val="0"/>
          <w:numId w:val="59"/>
        </w:numPr>
      </w:pPr>
      <w:r>
        <w:t>Acceptable contributions. All contributions, including cash contributions and third</w:t>
      </w:r>
      <w:r w:rsidR="00770892">
        <w:t>-</w:t>
      </w:r>
      <w:r>
        <w:t xml:space="preserve">party in-kind contributions, must be accepted as part of the prime recipient's cost sharing if such contributions meet all of the following criteria: </w:t>
      </w:r>
    </w:p>
    <w:p w14:paraId="4AF3DB1A" w14:textId="77777777" w:rsidR="004D610D" w:rsidRDefault="004D610D" w:rsidP="004D610D"/>
    <w:p w14:paraId="08296464" w14:textId="77777777" w:rsidR="004D610D" w:rsidRDefault="004E672B" w:rsidP="00AC77FA">
      <w:pPr>
        <w:pStyle w:val="ListParagraph"/>
        <w:numPr>
          <w:ilvl w:val="0"/>
          <w:numId w:val="60"/>
        </w:numPr>
        <w:ind w:left="1080"/>
      </w:pPr>
      <w:r>
        <w:t xml:space="preserve">They are verifiable from the recipient's records. </w:t>
      </w:r>
    </w:p>
    <w:p w14:paraId="36FD120B" w14:textId="77777777" w:rsidR="004D610D" w:rsidRDefault="004D610D" w:rsidP="004D610D">
      <w:pPr>
        <w:ind w:left="720"/>
      </w:pPr>
    </w:p>
    <w:p w14:paraId="25A9EEF0" w14:textId="54597740" w:rsidR="004D610D" w:rsidRDefault="004E672B" w:rsidP="00AC77FA">
      <w:pPr>
        <w:pStyle w:val="ListParagraph"/>
        <w:numPr>
          <w:ilvl w:val="0"/>
          <w:numId w:val="60"/>
        </w:numPr>
        <w:ind w:left="1080"/>
      </w:pPr>
      <w:r>
        <w:t>They are not included as contributions for any other federally</w:t>
      </w:r>
      <w:r w:rsidR="008451DF">
        <w:t xml:space="preserve"> </w:t>
      </w:r>
      <w:r>
        <w:t xml:space="preserve">assisted project or program. </w:t>
      </w:r>
    </w:p>
    <w:p w14:paraId="034036D9" w14:textId="77777777" w:rsidR="004D610D" w:rsidRDefault="004D610D" w:rsidP="004D610D">
      <w:pPr>
        <w:ind w:left="720"/>
      </w:pPr>
    </w:p>
    <w:p w14:paraId="5184C526" w14:textId="77777777" w:rsidR="004D610D" w:rsidRDefault="004E672B" w:rsidP="00AC77FA">
      <w:pPr>
        <w:pStyle w:val="ListParagraph"/>
        <w:numPr>
          <w:ilvl w:val="0"/>
          <w:numId w:val="60"/>
        </w:numPr>
        <w:ind w:left="1080"/>
      </w:pPr>
      <w:r>
        <w:t xml:space="preserve">They are necessary and reasonable for the proper and efficient accomplishment of project or program objectives. </w:t>
      </w:r>
    </w:p>
    <w:p w14:paraId="6D8C23FD" w14:textId="77777777" w:rsidR="004D610D" w:rsidRDefault="004D610D" w:rsidP="004D610D">
      <w:pPr>
        <w:ind w:left="720" w:firstLine="1440"/>
      </w:pPr>
    </w:p>
    <w:p w14:paraId="344D81F1" w14:textId="77777777" w:rsidR="004D610D" w:rsidRDefault="004E672B" w:rsidP="00AC77FA">
      <w:pPr>
        <w:pStyle w:val="ListParagraph"/>
        <w:numPr>
          <w:ilvl w:val="0"/>
          <w:numId w:val="60"/>
        </w:numPr>
        <w:ind w:left="1080"/>
      </w:pPr>
      <w:r>
        <w:t xml:space="preserve">They are allowable under the cost principles applicable to the type of entity incurring the cost as follows: </w:t>
      </w:r>
    </w:p>
    <w:p w14:paraId="1C7EDD15" w14:textId="77777777" w:rsidR="004D610D" w:rsidRDefault="004D610D" w:rsidP="004D610D"/>
    <w:p w14:paraId="49F442FF" w14:textId="77777777" w:rsidR="004D610D" w:rsidRDefault="004E672B" w:rsidP="00AC77FA">
      <w:pPr>
        <w:pStyle w:val="ListParagraph"/>
        <w:numPr>
          <w:ilvl w:val="0"/>
          <w:numId w:val="61"/>
        </w:numPr>
        <w:ind w:left="1440"/>
      </w:pPr>
      <w:r>
        <w:t xml:space="preserve">For-profit organizations. Allowability of costs incurred by for-profit organizations and those nonprofit organizations listed in Attachment C to OMB Circular A–122 is determined in accordance with the for-profit cost principles in 48 CFR Part 31 in the FAR, except that patent prosecution costs are not allowable unless specifically authorized in the award document. (v) Commercial Organizations. FAR Subpart 31.2—Contracts with Commercial Organizations; and </w:t>
      </w:r>
    </w:p>
    <w:p w14:paraId="3ABB1EB5" w14:textId="77777777" w:rsidR="004D610D" w:rsidRDefault="004D610D" w:rsidP="004D610D"/>
    <w:p w14:paraId="3795D913" w14:textId="77777777" w:rsidR="004D610D" w:rsidRPr="00EF6DC5" w:rsidRDefault="004E672B" w:rsidP="00AC77FA">
      <w:pPr>
        <w:pStyle w:val="ListParagraph"/>
        <w:numPr>
          <w:ilvl w:val="0"/>
          <w:numId w:val="61"/>
        </w:numPr>
        <w:ind w:left="1440"/>
      </w:pPr>
      <w:r w:rsidRPr="00EF6DC5">
        <w:t xml:space="preserve">Other types of organizations. </w:t>
      </w:r>
      <w:r>
        <w:t>For all other non-federal entities, a</w:t>
      </w:r>
      <w:r w:rsidRPr="00EF6DC5">
        <w:t>llowability of costs i</w:t>
      </w:r>
      <w:r>
        <w:t>s determined in accordance with</w:t>
      </w:r>
      <w:r w:rsidRPr="00EF6DC5">
        <w:t xml:space="preserve"> 2 CFR Part 200 Subpart E</w:t>
      </w:r>
      <w:r>
        <w:t>.</w:t>
      </w:r>
    </w:p>
    <w:p w14:paraId="0AB58725" w14:textId="77777777" w:rsidR="004D610D" w:rsidRDefault="004D610D" w:rsidP="004D610D"/>
    <w:p w14:paraId="710E56BA" w14:textId="77777777" w:rsidR="004D610D" w:rsidRDefault="004E672B" w:rsidP="00AC77FA">
      <w:pPr>
        <w:pStyle w:val="ListParagraph"/>
        <w:numPr>
          <w:ilvl w:val="0"/>
          <w:numId w:val="60"/>
        </w:numPr>
        <w:ind w:left="1080"/>
      </w:pPr>
      <w:r>
        <w:t xml:space="preserve">They are not paid by the federal government under another award unless authorized by federal statute to be used for cost sharing or matching. </w:t>
      </w:r>
    </w:p>
    <w:p w14:paraId="4E2217ED" w14:textId="77777777" w:rsidR="004D610D" w:rsidRDefault="004D610D" w:rsidP="004D610D">
      <w:pPr>
        <w:ind w:left="1080"/>
      </w:pPr>
    </w:p>
    <w:p w14:paraId="0CFCD0C4" w14:textId="77777777" w:rsidR="004D610D" w:rsidRDefault="004E672B" w:rsidP="00AC77FA">
      <w:pPr>
        <w:pStyle w:val="ListParagraph"/>
        <w:numPr>
          <w:ilvl w:val="0"/>
          <w:numId w:val="60"/>
        </w:numPr>
        <w:ind w:left="1080"/>
      </w:pPr>
      <w:r>
        <w:t xml:space="preserve">They are provided for in the approved budget. </w:t>
      </w:r>
    </w:p>
    <w:p w14:paraId="59E1B7BC" w14:textId="77777777" w:rsidR="004D610D" w:rsidRDefault="004D610D" w:rsidP="004D610D"/>
    <w:p w14:paraId="43527A8B" w14:textId="77777777" w:rsidR="004D610D" w:rsidRDefault="004E672B" w:rsidP="00AC77FA">
      <w:pPr>
        <w:pStyle w:val="ListParagraph"/>
        <w:numPr>
          <w:ilvl w:val="0"/>
          <w:numId w:val="59"/>
        </w:numPr>
      </w:pPr>
      <w:r>
        <w:t xml:space="preserve">Valuing and documenting contributions </w:t>
      </w:r>
    </w:p>
    <w:p w14:paraId="4E33F8C4" w14:textId="77777777" w:rsidR="004D610D" w:rsidRDefault="004D610D" w:rsidP="004D610D"/>
    <w:p w14:paraId="3ADB61FA" w14:textId="77777777" w:rsidR="004D610D" w:rsidRDefault="004E672B" w:rsidP="00AC77FA">
      <w:pPr>
        <w:pStyle w:val="ListParagraph"/>
        <w:numPr>
          <w:ilvl w:val="0"/>
          <w:numId w:val="62"/>
        </w:numPr>
        <w:ind w:left="1080"/>
      </w:pPr>
      <w:r>
        <w:t xml:space="preserve">Valuing recipient's property or services of recipient's employees. Values are established in accordance with the applicable cost principles, which mean that amounts chargeable to the project are determined on the basis of costs incurred. For real property or equipment used on the project, the cost principles authorize depreciation or use charges. The full value of the item may be applied when the item will be consumed in the performance of the award or fully depreciated by the end of </w:t>
      </w:r>
      <w:r>
        <w:lastRenderedPageBreak/>
        <w:t xml:space="preserve">the award. In cases where the full value of a donated capital asset is to be applied as cost sharing or matching, that full value must be the lesser or the following: </w:t>
      </w:r>
    </w:p>
    <w:p w14:paraId="0D4A8772" w14:textId="77777777" w:rsidR="004D610D" w:rsidRDefault="004D610D" w:rsidP="004D610D">
      <w:pPr>
        <w:ind w:left="360"/>
      </w:pPr>
    </w:p>
    <w:p w14:paraId="7F3AC8CC" w14:textId="77777777" w:rsidR="004D610D" w:rsidRDefault="004E672B" w:rsidP="00AC77FA">
      <w:pPr>
        <w:pStyle w:val="ListParagraph"/>
        <w:numPr>
          <w:ilvl w:val="0"/>
          <w:numId w:val="63"/>
        </w:numPr>
      </w:pPr>
      <w:r>
        <w:t xml:space="preserve">The certified value of the remaining life of the property recorded in the recipient's accounting records at the time of donation; or </w:t>
      </w:r>
    </w:p>
    <w:p w14:paraId="0D3636A5" w14:textId="77777777" w:rsidR="004D610D" w:rsidRDefault="004E672B" w:rsidP="00AC77FA">
      <w:pPr>
        <w:pStyle w:val="ListParagraph"/>
        <w:numPr>
          <w:ilvl w:val="0"/>
          <w:numId w:val="63"/>
        </w:numPr>
      </w:pPr>
      <w:r>
        <w:t xml:space="preserve">The current fair market value. If there is sufficient justification, the Contracting Officer may approve the use of the current fair market value of the donated property, even if it exceeds the certified value at the time of donation to the project. The Contracting Officer may accept the use of any reasonable basis for determining the fair market value of the property. </w:t>
      </w:r>
    </w:p>
    <w:p w14:paraId="73DB0738" w14:textId="77777777" w:rsidR="004D610D" w:rsidRDefault="004D610D" w:rsidP="004D610D">
      <w:pPr>
        <w:ind w:left="360" w:firstLine="60"/>
      </w:pPr>
    </w:p>
    <w:p w14:paraId="34B0E0C9" w14:textId="77777777" w:rsidR="004D610D" w:rsidRDefault="004E672B" w:rsidP="00AC77FA">
      <w:pPr>
        <w:pStyle w:val="ListParagraph"/>
        <w:numPr>
          <w:ilvl w:val="0"/>
          <w:numId w:val="62"/>
        </w:numPr>
        <w:ind w:left="1080"/>
      </w:pPr>
      <w:r>
        <w:t xml:space="preserve">Valuing services of others' employees. If an employer other than the recipient furnishes the services of an employee, those services are valued at the employee's regular rate of pay, provided these services are for the same skill level for which the employee is normally paid. </w:t>
      </w:r>
    </w:p>
    <w:p w14:paraId="00AC592A" w14:textId="77777777" w:rsidR="004D610D" w:rsidRDefault="004D610D" w:rsidP="004D610D">
      <w:pPr>
        <w:ind w:left="360"/>
      </w:pPr>
    </w:p>
    <w:p w14:paraId="6EE54113" w14:textId="77777777" w:rsidR="004D610D" w:rsidRDefault="004E672B" w:rsidP="00AC77FA">
      <w:pPr>
        <w:pStyle w:val="ListParagraph"/>
        <w:numPr>
          <w:ilvl w:val="0"/>
          <w:numId w:val="62"/>
        </w:numPr>
        <w:ind w:left="1080"/>
      </w:pPr>
      <w:r>
        <w:t xml:space="preserve">Valuing volunteer services. Volunteer services furnished by professional and technical personnel, consultants, and other skilled and unskilled labor may be counted as cost sharing or matching if the service is an integral and necessary part of an approved project or program. Rates for volunteer services must be consistent with those paid for similar work in the recipient's organization. In those markets in which the required skills are not found in the recipient organization, rates must be consistent with those paid for similar work in the labor market in which the recipient competes for the kind of services involved. In either case, paid fringe benefits that are reasonable, allowable, and allocable may be included in the valuation. </w:t>
      </w:r>
    </w:p>
    <w:p w14:paraId="6BFE652B" w14:textId="77777777" w:rsidR="004D610D" w:rsidRDefault="004D610D" w:rsidP="004D610D">
      <w:pPr>
        <w:ind w:left="360"/>
      </w:pPr>
    </w:p>
    <w:p w14:paraId="197C2453" w14:textId="77777777" w:rsidR="004D610D" w:rsidRDefault="004E672B" w:rsidP="00AC77FA">
      <w:pPr>
        <w:pStyle w:val="ListParagraph"/>
        <w:numPr>
          <w:ilvl w:val="0"/>
          <w:numId w:val="62"/>
        </w:numPr>
        <w:ind w:left="1080"/>
      </w:pPr>
      <w:r>
        <w:t xml:space="preserve">Valuing property donated by third parties. </w:t>
      </w:r>
    </w:p>
    <w:p w14:paraId="4A8A47D0" w14:textId="77777777" w:rsidR="004D610D" w:rsidRDefault="004D610D" w:rsidP="004D610D">
      <w:pPr>
        <w:ind w:left="360"/>
      </w:pPr>
    </w:p>
    <w:p w14:paraId="35F1D13A" w14:textId="77777777" w:rsidR="004D610D" w:rsidRDefault="004E672B" w:rsidP="00AC77FA">
      <w:pPr>
        <w:pStyle w:val="ListParagraph"/>
        <w:numPr>
          <w:ilvl w:val="0"/>
          <w:numId w:val="64"/>
        </w:numPr>
        <w:ind w:left="1440"/>
      </w:pPr>
      <w:r>
        <w:t xml:space="preserve">Donated supplies may include such items as office supplies or laboratory supplies. Value assessed to donated supplies included in the cost sharing or matching share must be reasonable and must not exceed the fair market value of the property at the time of the donation. </w:t>
      </w:r>
    </w:p>
    <w:p w14:paraId="18F46FAC" w14:textId="77777777" w:rsidR="004D610D" w:rsidRDefault="004D610D" w:rsidP="004D610D">
      <w:pPr>
        <w:ind w:left="1080"/>
      </w:pPr>
    </w:p>
    <w:p w14:paraId="746CC58A" w14:textId="77777777" w:rsidR="004D610D" w:rsidRDefault="004E672B" w:rsidP="00AC77FA">
      <w:pPr>
        <w:pStyle w:val="ListParagraph"/>
        <w:numPr>
          <w:ilvl w:val="0"/>
          <w:numId w:val="64"/>
        </w:numPr>
        <w:ind w:left="1440"/>
      </w:pPr>
      <w:r>
        <w:t xml:space="preserve">Normally only depreciation or use charges for equipment and buildings may be applied. However, the fair rental charges for land and the full value of equipment or other capital assets may be allowed, when they will be consumed in the performance of the award or fully depreciated by the end of the award, provided that the Contracting Officer has approved the charges. When use charges are applied, values must be determined in accordance with the usual accounting policies of the recipient, with the following qualifications: </w:t>
      </w:r>
    </w:p>
    <w:p w14:paraId="0BE337D9" w14:textId="77777777" w:rsidR="004D610D" w:rsidRDefault="004D610D" w:rsidP="004D610D">
      <w:pPr>
        <w:ind w:left="1080"/>
      </w:pPr>
    </w:p>
    <w:p w14:paraId="26E224EC" w14:textId="77777777" w:rsidR="004D610D" w:rsidRDefault="004E672B" w:rsidP="00AC77FA">
      <w:pPr>
        <w:pStyle w:val="ListParagraph"/>
        <w:numPr>
          <w:ilvl w:val="0"/>
          <w:numId w:val="65"/>
        </w:numPr>
        <w:ind w:left="2160"/>
      </w:pPr>
      <w:r>
        <w:t xml:space="preserve">The value of donated space must not exceed the fair rental value of comparable space as established by an independent appraisal of </w:t>
      </w:r>
      <w:r>
        <w:lastRenderedPageBreak/>
        <w:t xml:space="preserve">comparable space and facilities in a privately-owned building in the same locality. </w:t>
      </w:r>
    </w:p>
    <w:p w14:paraId="4CAF4834" w14:textId="77777777" w:rsidR="004D610D" w:rsidRDefault="004E672B" w:rsidP="00AC77FA">
      <w:pPr>
        <w:pStyle w:val="ListParagraph"/>
        <w:numPr>
          <w:ilvl w:val="0"/>
          <w:numId w:val="65"/>
        </w:numPr>
        <w:ind w:left="2160"/>
      </w:pPr>
      <w:r>
        <w:t xml:space="preserve">The value of loaned equipment must not exceed its fair rental value. </w:t>
      </w:r>
    </w:p>
    <w:p w14:paraId="7B71BDE4" w14:textId="77777777" w:rsidR="004D610D" w:rsidRDefault="004D610D" w:rsidP="004D610D">
      <w:pPr>
        <w:ind w:left="360"/>
      </w:pPr>
    </w:p>
    <w:p w14:paraId="558ECD36" w14:textId="77777777" w:rsidR="004D610D" w:rsidRDefault="004E672B" w:rsidP="00AC77FA">
      <w:pPr>
        <w:pStyle w:val="ListParagraph"/>
        <w:numPr>
          <w:ilvl w:val="0"/>
          <w:numId w:val="62"/>
        </w:numPr>
        <w:ind w:left="1080"/>
      </w:pPr>
      <w:r>
        <w:t xml:space="preserve">Documentation. The following requirements pertain to the recipient's supporting records for in-kind contributions from third parties: </w:t>
      </w:r>
    </w:p>
    <w:p w14:paraId="62637458" w14:textId="77777777" w:rsidR="004D610D" w:rsidRDefault="004D610D" w:rsidP="004D610D">
      <w:pPr>
        <w:ind w:left="360"/>
      </w:pPr>
    </w:p>
    <w:p w14:paraId="1C734B1B" w14:textId="77777777" w:rsidR="004D610D" w:rsidRDefault="004E672B" w:rsidP="00AC77FA">
      <w:pPr>
        <w:pStyle w:val="ListParagraph"/>
        <w:numPr>
          <w:ilvl w:val="0"/>
          <w:numId w:val="66"/>
        </w:numPr>
        <w:ind w:left="1440"/>
      </w:pPr>
      <w:r>
        <w:t xml:space="preserve">Volunteer services must be documented and, to the extent feasible, supported by the same methods used by the recipient for its own employees. </w:t>
      </w:r>
    </w:p>
    <w:p w14:paraId="0E151D4F" w14:textId="77777777" w:rsidR="004D610D" w:rsidRDefault="004D610D" w:rsidP="004D610D">
      <w:pPr>
        <w:ind w:left="1080"/>
      </w:pPr>
    </w:p>
    <w:p w14:paraId="1BBD8D96" w14:textId="667FA22A" w:rsidR="004D610D" w:rsidRDefault="004E672B" w:rsidP="00AC77FA">
      <w:pPr>
        <w:pStyle w:val="ListParagraph"/>
        <w:numPr>
          <w:ilvl w:val="0"/>
          <w:numId w:val="66"/>
        </w:numPr>
        <w:ind w:left="1440"/>
        <w:sectPr w:rsidR="004D610D" w:rsidSect="002B6C14">
          <w:headerReference w:type="default" r:id="rId76"/>
          <w:footerReference w:type="default" r:id="rId77"/>
          <w:pgSz w:w="12240" w:h="15840" w:code="1"/>
          <w:pgMar w:top="1440" w:right="1440" w:bottom="1440" w:left="1440" w:header="720" w:footer="432" w:gutter="0"/>
          <w:cols w:space="720"/>
          <w:docGrid w:linePitch="360"/>
        </w:sectPr>
      </w:pPr>
      <w:r>
        <w:t xml:space="preserve">The basis for determining the valuation for personal services </w:t>
      </w:r>
      <w:r w:rsidR="00692E84">
        <w:t>and property must be docume</w:t>
      </w:r>
      <w:r w:rsidR="00010F14">
        <w:t>nted.</w:t>
      </w:r>
    </w:p>
    <w:p w14:paraId="6C2508DA" w14:textId="637FA94F" w:rsidR="00AB7EC1" w:rsidRDefault="00AB7EC1" w:rsidP="007863EC">
      <w:pPr>
        <w:rPr>
          <w:szCs w:val="24"/>
        </w:rPr>
      </w:pPr>
    </w:p>
    <w:p w14:paraId="3151FEA4" w14:textId="77777777" w:rsidR="0094370A" w:rsidRPr="00FA6BB7" w:rsidRDefault="004E672B" w:rsidP="0094370A">
      <w:pPr>
        <w:pStyle w:val="AppendixHeading"/>
        <w:outlineLvl w:val="0"/>
      </w:pPr>
      <w:bookmarkStart w:id="833" w:name="_Toc427134258"/>
      <w:bookmarkStart w:id="834" w:name="_Toc517798961"/>
      <w:bookmarkStart w:id="835" w:name="_Toc519602289"/>
      <w:bookmarkStart w:id="836" w:name="_Toc519602461"/>
      <w:bookmarkStart w:id="837" w:name="_Toc176864554"/>
      <w:r w:rsidRPr="008B0D95">
        <w:t>Appendix B – Sample Cost Share Calculation for Blended Cost Share Percentage</w:t>
      </w:r>
      <w:bookmarkEnd w:id="833"/>
      <w:bookmarkEnd w:id="834"/>
      <w:bookmarkEnd w:id="835"/>
      <w:bookmarkEnd w:id="836"/>
      <w:bookmarkEnd w:id="837"/>
    </w:p>
    <w:p w14:paraId="31A2A542" w14:textId="77777777" w:rsidR="0094370A" w:rsidRDefault="0094370A" w:rsidP="0094370A"/>
    <w:p w14:paraId="47AA99FC" w14:textId="6C1F2AFC" w:rsidR="0094370A" w:rsidRPr="007D7654" w:rsidRDefault="004E672B" w:rsidP="0094370A">
      <w:pPr>
        <w:rPr>
          <w:szCs w:val="24"/>
        </w:rPr>
      </w:pPr>
      <w:r w:rsidRPr="00120F39">
        <w:t>The following example shows the math for calculating required cost share for a project with $2</w:t>
      </w:r>
      <w:r w:rsidR="008451DF">
        <w:t xml:space="preserve"> million</w:t>
      </w:r>
      <w:r w:rsidRPr="00120F39">
        <w:t xml:space="preserve"> </w:t>
      </w:r>
      <w:r w:rsidRPr="009061D6">
        <w:t xml:space="preserve">in </w:t>
      </w:r>
      <w:r>
        <w:t>f</w:t>
      </w:r>
      <w:r w:rsidRPr="009061D6">
        <w:t xml:space="preserve">ederal funds with four tasks requiring different </w:t>
      </w:r>
      <w:r>
        <w:t>n</w:t>
      </w:r>
      <w:r w:rsidRPr="009061D6">
        <w:t>on-federal cost share percentages:</w:t>
      </w:r>
    </w:p>
    <w:p w14:paraId="76E23D8C" w14:textId="77777777" w:rsidR="0094370A" w:rsidRPr="007D7654" w:rsidRDefault="0094370A" w:rsidP="0094370A">
      <w:pPr>
        <w:rPr>
          <w:szCs w:val="24"/>
        </w:rPr>
      </w:pPr>
    </w:p>
    <w:tbl>
      <w:tblPr>
        <w:tblStyle w:val="TableGrid"/>
        <w:tblW w:w="9360" w:type="dxa"/>
        <w:tblInd w:w="360" w:type="dxa"/>
        <w:tblLook w:val="04A0" w:firstRow="1" w:lastRow="0" w:firstColumn="1" w:lastColumn="0" w:noHBand="0" w:noVBand="1"/>
      </w:tblPr>
      <w:tblGrid>
        <w:gridCol w:w="2933"/>
        <w:gridCol w:w="2209"/>
        <w:gridCol w:w="2009"/>
        <w:gridCol w:w="2209"/>
      </w:tblGrid>
      <w:tr w:rsidR="00BF65D1" w14:paraId="12E08FFF" w14:textId="77777777" w:rsidTr="003D6558">
        <w:tc>
          <w:tcPr>
            <w:tcW w:w="2628" w:type="dxa"/>
            <w:tcBorders>
              <w:bottom w:val="single" w:sz="4" w:space="0" w:color="auto"/>
            </w:tcBorders>
            <w:shd w:val="clear" w:color="auto" w:fill="C6D9F1" w:themeFill="text2" w:themeFillTint="33"/>
          </w:tcPr>
          <w:p w14:paraId="60601E5E" w14:textId="77777777" w:rsidR="0094370A" w:rsidRPr="007D7654" w:rsidRDefault="004E672B" w:rsidP="003D6558">
            <w:pPr>
              <w:jc w:val="center"/>
              <w:rPr>
                <w:szCs w:val="24"/>
              </w:rPr>
            </w:pPr>
            <w:r w:rsidRPr="00120F39">
              <w:rPr>
                <w:szCs w:val="20"/>
              </w:rPr>
              <w:t>Task</w:t>
            </w:r>
          </w:p>
        </w:tc>
        <w:tc>
          <w:tcPr>
            <w:tcW w:w="1980" w:type="dxa"/>
            <w:shd w:val="clear" w:color="auto" w:fill="C6D9F1" w:themeFill="text2" w:themeFillTint="33"/>
          </w:tcPr>
          <w:p w14:paraId="6279D563" w14:textId="77777777" w:rsidR="0094370A" w:rsidRPr="007D7654" w:rsidRDefault="004E672B" w:rsidP="003D6558">
            <w:pPr>
              <w:jc w:val="center"/>
              <w:rPr>
                <w:szCs w:val="24"/>
              </w:rPr>
            </w:pPr>
            <w:r w:rsidRPr="00120F39">
              <w:rPr>
                <w:szCs w:val="20"/>
              </w:rPr>
              <w:t>Proposed Federal Share</w:t>
            </w:r>
          </w:p>
        </w:tc>
        <w:tc>
          <w:tcPr>
            <w:tcW w:w="1800" w:type="dxa"/>
            <w:shd w:val="clear" w:color="auto" w:fill="C6D9F1" w:themeFill="text2" w:themeFillTint="33"/>
          </w:tcPr>
          <w:p w14:paraId="76FC1D9D" w14:textId="77777777" w:rsidR="0094370A" w:rsidRPr="007D7654" w:rsidRDefault="004E672B" w:rsidP="003D6558">
            <w:pPr>
              <w:jc w:val="center"/>
              <w:rPr>
                <w:szCs w:val="24"/>
              </w:rPr>
            </w:pPr>
            <w:r w:rsidRPr="00120F39">
              <w:rPr>
                <w:szCs w:val="20"/>
              </w:rPr>
              <w:t>Federal Share %</w:t>
            </w:r>
          </w:p>
        </w:tc>
        <w:tc>
          <w:tcPr>
            <w:tcW w:w="1980" w:type="dxa"/>
            <w:shd w:val="clear" w:color="auto" w:fill="C6D9F1" w:themeFill="text2" w:themeFillTint="33"/>
          </w:tcPr>
          <w:p w14:paraId="41090A65" w14:textId="77777777" w:rsidR="0094370A" w:rsidRPr="007D7654" w:rsidRDefault="004E672B" w:rsidP="003D6558">
            <w:pPr>
              <w:jc w:val="center"/>
              <w:rPr>
                <w:szCs w:val="24"/>
              </w:rPr>
            </w:pPr>
            <w:r w:rsidRPr="00120F39">
              <w:rPr>
                <w:szCs w:val="20"/>
              </w:rPr>
              <w:t>Recipient Share %</w:t>
            </w:r>
          </w:p>
        </w:tc>
      </w:tr>
      <w:tr w:rsidR="00BF65D1" w14:paraId="36ABE510" w14:textId="77777777" w:rsidTr="003D6558">
        <w:tc>
          <w:tcPr>
            <w:tcW w:w="2628" w:type="dxa"/>
            <w:shd w:val="clear" w:color="auto" w:fill="EAF1DD" w:themeFill="accent3" w:themeFillTint="33"/>
          </w:tcPr>
          <w:p w14:paraId="4C00F22B" w14:textId="21E82F84" w:rsidR="0094370A" w:rsidRPr="007D7654" w:rsidRDefault="004E672B" w:rsidP="003D6558">
            <w:pPr>
              <w:rPr>
                <w:szCs w:val="24"/>
              </w:rPr>
            </w:pPr>
            <w:r w:rsidRPr="00120F39">
              <w:rPr>
                <w:szCs w:val="20"/>
              </w:rPr>
              <w:t>Task 1 (</w:t>
            </w:r>
            <w:r w:rsidR="00BA1BF6">
              <w:rPr>
                <w:szCs w:val="20"/>
              </w:rPr>
              <w:t>RD&amp;D</w:t>
            </w:r>
            <w:r w:rsidRPr="00120F39">
              <w:rPr>
                <w:szCs w:val="20"/>
              </w:rPr>
              <w:t>)</w:t>
            </w:r>
          </w:p>
        </w:tc>
        <w:tc>
          <w:tcPr>
            <w:tcW w:w="1980" w:type="dxa"/>
          </w:tcPr>
          <w:p w14:paraId="5B572EDD" w14:textId="77777777" w:rsidR="0094370A" w:rsidRPr="007D7654" w:rsidRDefault="004E672B" w:rsidP="003D6558">
            <w:pPr>
              <w:jc w:val="right"/>
              <w:rPr>
                <w:szCs w:val="24"/>
              </w:rPr>
            </w:pPr>
            <w:r w:rsidRPr="00120F39">
              <w:rPr>
                <w:szCs w:val="20"/>
              </w:rPr>
              <w:t>$1,000,000</w:t>
            </w:r>
          </w:p>
        </w:tc>
        <w:tc>
          <w:tcPr>
            <w:tcW w:w="1800" w:type="dxa"/>
          </w:tcPr>
          <w:p w14:paraId="3AADCCEC" w14:textId="77777777" w:rsidR="0094370A" w:rsidRPr="007D7654" w:rsidRDefault="004E672B" w:rsidP="003D6558">
            <w:pPr>
              <w:jc w:val="center"/>
              <w:rPr>
                <w:szCs w:val="24"/>
              </w:rPr>
            </w:pPr>
            <w:r w:rsidRPr="00120F39">
              <w:rPr>
                <w:szCs w:val="20"/>
              </w:rPr>
              <w:t>80%</w:t>
            </w:r>
          </w:p>
        </w:tc>
        <w:tc>
          <w:tcPr>
            <w:tcW w:w="1980" w:type="dxa"/>
          </w:tcPr>
          <w:p w14:paraId="389B3E25" w14:textId="77777777" w:rsidR="0094370A" w:rsidRPr="007D7654" w:rsidRDefault="004E672B" w:rsidP="003D6558">
            <w:pPr>
              <w:jc w:val="center"/>
              <w:rPr>
                <w:szCs w:val="24"/>
              </w:rPr>
            </w:pPr>
            <w:r w:rsidRPr="00120F39">
              <w:rPr>
                <w:szCs w:val="20"/>
              </w:rPr>
              <w:t>20%</w:t>
            </w:r>
          </w:p>
        </w:tc>
      </w:tr>
      <w:tr w:rsidR="00BF65D1" w14:paraId="51A2C95B" w14:textId="77777777" w:rsidTr="003D6558">
        <w:tc>
          <w:tcPr>
            <w:tcW w:w="2628" w:type="dxa"/>
            <w:shd w:val="clear" w:color="auto" w:fill="EAF1DD" w:themeFill="accent3" w:themeFillTint="33"/>
          </w:tcPr>
          <w:p w14:paraId="7B7F658F" w14:textId="6373959F" w:rsidR="0094370A" w:rsidRPr="007D7654" w:rsidRDefault="004E672B" w:rsidP="003D6558">
            <w:pPr>
              <w:rPr>
                <w:szCs w:val="24"/>
              </w:rPr>
            </w:pPr>
            <w:r w:rsidRPr="00120F39">
              <w:rPr>
                <w:szCs w:val="20"/>
              </w:rPr>
              <w:t>Task 2 (</w:t>
            </w:r>
            <w:r w:rsidR="00BA1BF6">
              <w:rPr>
                <w:szCs w:val="20"/>
              </w:rPr>
              <w:t>RD&amp;D</w:t>
            </w:r>
            <w:r w:rsidRPr="00120F39">
              <w:rPr>
                <w:szCs w:val="20"/>
              </w:rPr>
              <w:t>)</w:t>
            </w:r>
          </w:p>
        </w:tc>
        <w:tc>
          <w:tcPr>
            <w:tcW w:w="1980" w:type="dxa"/>
          </w:tcPr>
          <w:p w14:paraId="61681B7A" w14:textId="77777777" w:rsidR="0094370A" w:rsidRPr="007D7654" w:rsidRDefault="004E672B" w:rsidP="003D6558">
            <w:pPr>
              <w:jc w:val="right"/>
              <w:rPr>
                <w:szCs w:val="24"/>
              </w:rPr>
            </w:pPr>
            <w:r w:rsidRPr="00120F39">
              <w:rPr>
                <w:szCs w:val="20"/>
              </w:rPr>
              <w:t>$500,000</w:t>
            </w:r>
          </w:p>
        </w:tc>
        <w:tc>
          <w:tcPr>
            <w:tcW w:w="1800" w:type="dxa"/>
          </w:tcPr>
          <w:p w14:paraId="71F31353" w14:textId="77777777" w:rsidR="0094370A" w:rsidRPr="007D7654" w:rsidRDefault="004E672B" w:rsidP="003D6558">
            <w:pPr>
              <w:jc w:val="center"/>
              <w:rPr>
                <w:szCs w:val="24"/>
              </w:rPr>
            </w:pPr>
            <w:r w:rsidRPr="00120F39">
              <w:rPr>
                <w:szCs w:val="20"/>
              </w:rPr>
              <w:t>80%</w:t>
            </w:r>
          </w:p>
        </w:tc>
        <w:tc>
          <w:tcPr>
            <w:tcW w:w="1980" w:type="dxa"/>
          </w:tcPr>
          <w:p w14:paraId="15394899" w14:textId="77777777" w:rsidR="0094370A" w:rsidRPr="007D7654" w:rsidRDefault="004E672B" w:rsidP="003D6558">
            <w:pPr>
              <w:jc w:val="center"/>
              <w:rPr>
                <w:szCs w:val="24"/>
              </w:rPr>
            </w:pPr>
            <w:r w:rsidRPr="00120F39">
              <w:rPr>
                <w:szCs w:val="20"/>
              </w:rPr>
              <w:t>20%</w:t>
            </w:r>
          </w:p>
        </w:tc>
      </w:tr>
      <w:tr w:rsidR="00BF65D1" w14:paraId="03C89169" w14:textId="77777777" w:rsidTr="003D6558">
        <w:tc>
          <w:tcPr>
            <w:tcW w:w="2628" w:type="dxa"/>
            <w:shd w:val="clear" w:color="auto" w:fill="EAF1DD" w:themeFill="accent3" w:themeFillTint="33"/>
          </w:tcPr>
          <w:p w14:paraId="6D13959A" w14:textId="77777777" w:rsidR="0094370A" w:rsidRPr="007D7654" w:rsidRDefault="004E672B" w:rsidP="003D6558">
            <w:pPr>
              <w:rPr>
                <w:szCs w:val="24"/>
              </w:rPr>
            </w:pPr>
            <w:r w:rsidRPr="00120F39">
              <w:rPr>
                <w:szCs w:val="20"/>
              </w:rPr>
              <w:t>Task 3 (Demonstration)</w:t>
            </w:r>
          </w:p>
        </w:tc>
        <w:tc>
          <w:tcPr>
            <w:tcW w:w="1980" w:type="dxa"/>
          </w:tcPr>
          <w:p w14:paraId="235F2437" w14:textId="77777777" w:rsidR="0094370A" w:rsidRPr="007D7654" w:rsidRDefault="004E672B" w:rsidP="003D6558">
            <w:pPr>
              <w:jc w:val="right"/>
              <w:rPr>
                <w:szCs w:val="24"/>
              </w:rPr>
            </w:pPr>
            <w:r w:rsidRPr="00120F39">
              <w:rPr>
                <w:szCs w:val="20"/>
              </w:rPr>
              <w:t>$400,000</w:t>
            </w:r>
          </w:p>
        </w:tc>
        <w:tc>
          <w:tcPr>
            <w:tcW w:w="1800" w:type="dxa"/>
          </w:tcPr>
          <w:p w14:paraId="13FD21C8" w14:textId="77777777" w:rsidR="0094370A" w:rsidRPr="007D7654" w:rsidRDefault="004E672B" w:rsidP="003D6558">
            <w:pPr>
              <w:jc w:val="center"/>
              <w:rPr>
                <w:szCs w:val="24"/>
              </w:rPr>
            </w:pPr>
            <w:r w:rsidRPr="00120F39">
              <w:rPr>
                <w:szCs w:val="20"/>
              </w:rPr>
              <w:t>50%</w:t>
            </w:r>
          </w:p>
        </w:tc>
        <w:tc>
          <w:tcPr>
            <w:tcW w:w="1980" w:type="dxa"/>
          </w:tcPr>
          <w:p w14:paraId="7105BA4A" w14:textId="77777777" w:rsidR="0094370A" w:rsidRPr="007D7654" w:rsidRDefault="004E672B" w:rsidP="003D6558">
            <w:pPr>
              <w:jc w:val="center"/>
              <w:rPr>
                <w:szCs w:val="24"/>
              </w:rPr>
            </w:pPr>
            <w:r w:rsidRPr="00120F39">
              <w:rPr>
                <w:szCs w:val="20"/>
              </w:rPr>
              <w:t>50%</w:t>
            </w:r>
          </w:p>
        </w:tc>
      </w:tr>
      <w:tr w:rsidR="00BF65D1" w14:paraId="65A6E74E" w14:textId="77777777" w:rsidTr="003D6558">
        <w:tc>
          <w:tcPr>
            <w:tcW w:w="2628" w:type="dxa"/>
            <w:shd w:val="clear" w:color="auto" w:fill="EAF1DD" w:themeFill="accent3" w:themeFillTint="33"/>
          </w:tcPr>
          <w:p w14:paraId="407F2B9B" w14:textId="77777777" w:rsidR="0094370A" w:rsidRPr="007D7654" w:rsidRDefault="004E672B" w:rsidP="003D6558">
            <w:pPr>
              <w:rPr>
                <w:szCs w:val="24"/>
              </w:rPr>
            </w:pPr>
            <w:r w:rsidRPr="00120F39">
              <w:rPr>
                <w:szCs w:val="20"/>
              </w:rPr>
              <w:t>Task 4 (Outreach)</w:t>
            </w:r>
          </w:p>
        </w:tc>
        <w:tc>
          <w:tcPr>
            <w:tcW w:w="1980" w:type="dxa"/>
          </w:tcPr>
          <w:p w14:paraId="69B8B791" w14:textId="77777777" w:rsidR="0094370A" w:rsidRPr="007D7654" w:rsidRDefault="004E672B" w:rsidP="003D6558">
            <w:pPr>
              <w:jc w:val="right"/>
              <w:rPr>
                <w:szCs w:val="24"/>
              </w:rPr>
            </w:pPr>
            <w:r w:rsidRPr="00120F39">
              <w:rPr>
                <w:szCs w:val="20"/>
              </w:rPr>
              <w:t>$100,000</w:t>
            </w:r>
          </w:p>
        </w:tc>
        <w:tc>
          <w:tcPr>
            <w:tcW w:w="1800" w:type="dxa"/>
          </w:tcPr>
          <w:p w14:paraId="6E6722D8" w14:textId="77777777" w:rsidR="0094370A" w:rsidRPr="007D7654" w:rsidRDefault="004E672B" w:rsidP="003D6558">
            <w:pPr>
              <w:jc w:val="center"/>
              <w:rPr>
                <w:szCs w:val="24"/>
              </w:rPr>
            </w:pPr>
            <w:r w:rsidRPr="00120F39">
              <w:rPr>
                <w:szCs w:val="20"/>
              </w:rPr>
              <w:t>100%</w:t>
            </w:r>
          </w:p>
        </w:tc>
        <w:tc>
          <w:tcPr>
            <w:tcW w:w="1980" w:type="dxa"/>
          </w:tcPr>
          <w:p w14:paraId="05B0AB43" w14:textId="77777777" w:rsidR="0094370A" w:rsidRPr="007D7654" w:rsidRDefault="004E672B" w:rsidP="003D6558">
            <w:pPr>
              <w:jc w:val="center"/>
              <w:rPr>
                <w:szCs w:val="24"/>
              </w:rPr>
            </w:pPr>
            <w:r w:rsidRPr="00120F39">
              <w:rPr>
                <w:szCs w:val="20"/>
              </w:rPr>
              <w:t>0%</w:t>
            </w:r>
          </w:p>
        </w:tc>
      </w:tr>
    </w:tbl>
    <w:p w14:paraId="4F047D7E" w14:textId="77777777" w:rsidR="0094370A" w:rsidRPr="007D7654" w:rsidRDefault="0094370A" w:rsidP="0094370A">
      <w:pPr>
        <w:rPr>
          <w:szCs w:val="24"/>
        </w:rPr>
      </w:pPr>
    </w:p>
    <w:p w14:paraId="7A4F22A9" w14:textId="77777777" w:rsidR="0094370A" w:rsidRPr="007D7654" w:rsidRDefault="004E672B" w:rsidP="0094370A">
      <w:pPr>
        <w:rPr>
          <w:szCs w:val="24"/>
        </w:rPr>
      </w:pPr>
      <w:r w:rsidRPr="00120F39">
        <w:t xml:space="preserve">Federal share ($) divided by </w:t>
      </w:r>
      <w:r>
        <w:t>f</w:t>
      </w:r>
      <w:r w:rsidRPr="00120F39">
        <w:t>ederal share (%) = Task Cost</w:t>
      </w:r>
    </w:p>
    <w:p w14:paraId="48F1B012" w14:textId="77777777" w:rsidR="0094370A" w:rsidRPr="007D7654" w:rsidRDefault="0094370A" w:rsidP="0094370A">
      <w:pPr>
        <w:rPr>
          <w:szCs w:val="24"/>
        </w:rPr>
      </w:pPr>
    </w:p>
    <w:p w14:paraId="7AFC73FC" w14:textId="77777777" w:rsidR="0094370A" w:rsidRPr="007D7654" w:rsidRDefault="004E672B" w:rsidP="0094370A">
      <w:pPr>
        <w:rPr>
          <w:szCs w:val="24"/>
        </w:rPr>
      </w:pPr>
      <w:r w:rsidRPr="00120F39">
        <w:t>Each task must be calculated individually as follows:</w:t>
      </w:r>
    </w:p>
    <w:p w14:paraId="41FA7565" w14:textId="77777777" w:rsidR="0094370A" w:rsidRPr="007D7654" w:rsidRDefault="0094370A" w:rsidP="0094370A">
      <w:pPr>
        <w:rPr>
          <w:szCs w:val="24"/>
        </w:rPr>
      </w:pPr>
    </w:p>
    <w:p w14:paraId="40767E6E" w14:textId="77777777" w:rsidR="0094370A" w:rsidRPr="007D7654" w:rsidRDefault="004E672B" w:rsidP="0094370A">
      <w:pPr>
        <w:rPr>
          <w:szCs w:val="24"/>
        </w:rPr>
      </w:pPr>
      <w:r w:rsidRPr="00120F39">
        <w:t>Task 1</w:t>
      </w:r>
    </w:p>
    <w:p w14:paraId="1CDD1A87" w14:textId="77777777" w:rsidR="0094370A" w:rsidRPr="007D7654" w:rsidRDefault="004E672B" w:rsidP="0094370A">
      <w:pPr>
        <w:rPr>
          <w:szCs w:val="24"/>
        </w:rPr>
      </w:pPr>
      <w:r w:rsidRPr="00120F39">
        <w:t>$1,000,000 divided by 80% = $1,250,000 (Task 1 Cost)</w:t>
      </w:r>
    </w:p>
    <w:p w14:paraId="694F7B57" w14:textId="0A962080" w:rsidR="0094370A" w:rsidRPr="007D7654" w:rsidRDefault="004E672B" w:rsidP="0094370A">
      <w:pPr>
        <w:rPr>
          <w:szCs w:val="24"/>
        </w:rPr>
      </w:pPr>
      <w:r w:rsidRPr="00120F39">
        <w:t xml:space="preserve">Task 1 Cost minus federal share = </w:t>
      </w:r>
      <w:r w:rsidR="004C76A0">
        <w:t>n</w:t>
      </w:r>
      <w:r w:rsidRPr="00120F39">
        <w:t>on-fede</w:t>
      </w:r>
      <w:r w:rsidRPr="009061D6">
        <w:t>ral share</w:t>
      </w:r>
    </w:p>
    <w:p w14:paraId="293BB1B1" w14:textId="3A98E6C3" w:rsidR="0094370A" w:rsidRPr="007D7654" w:rsidRDefault="004E672B" w:rsidP="0094370A">
      <w:pPr>
        <w:rPr>
          <w:szCs w:val="24"/>
        </w:rPr>
      </w:pPr>
      <w:r w:rsidRPr="00120F39">
        <w:t>$1,25</w:t>
      </w:r>
      <w:r w:rsidR="004C76A0">
        <w:t>0,000 - $1,000,000 = $250,000 (n</w:t>
      </w:r>
      <w:r w:rsidRPr="00120F39">
        <w:t>on-federal share)</w:t>
      </w:r>
    </w:p>
    <w:p w14:paraId="721C9B27" w14:textId="77777777" w:rsidR="0094370A" w:rsidRPr="007D7654" w:rsidRDefault="0094370A" w:rsidP="0094370A">
      <w:pPr>
        <w:rPr>
          <w:szCs w:val="24"/>
        </w:rPr>
      </w:pPr>
    </w:p>
    <w:p w14:paraId="4E792ECA" w14:textId="77777777" w:rsidR="0094370A" w:rsidRPr="007D7654" w:rsidRDefault="004E672B" w:rsidP="0094370A">
      <w:pPr>
        <w:rPr>
          <w:szCs w:val="24"/>
        </w:rPr>
      </w:pPr>
      <w:r w:rsidRPr="00120F39">
        <w:t>Task 2</w:t>
      </w:r>
    </w:p>
    <w:p w14:paraId="1A04CC88" w14:textId="77777777" w:rsidR="0094370A" w:rsidRPr="007D7654" w:rsidRDefault="004E672B" w:rsidP="0094370A">
      <w:pPr>
        <w:rPr>
          <w:szCs w:val="24"/>
        </w:rPr>
      </w:pPr>
      <w:r w:rsidRPr="00120F39">
        <w:t>$500,000 divided 80% = $625,000 (Task 2 Cost)</w:t>
      </w:r>
    </w:p>
    <w:p w14:paraId="45274C61" w14:textId="010F0623" w:rsidR="0094370A" w:rsidRPr="007D7654" w:rsidRDefault="004E672B" w:rsidP="0094370A">
      <w:pPr>
        <w:rPr>
          <w:szCs w:val="24"/>
        </w:rPr>
      </w:pPr>
      <w:r w:rsidRPr="00120F39">
        <w:t>Tas</w:t>
      </w:r>
      <w:r w:rsidR="004C76A0">
        <w:t>k 2 Cost minus federal share = n</w:t>
      </w:r>
      <w:r w:rsidRPr="00120F39">
        <w:t>on-federal share</w:t>
      </w:r>
    </w:p>
    <w:p w14:paraId="0FAA1050" w14:textId="2C782C3D" w:rsidR="0094370A" w:rsidRPr="007D7654" w:rsidRDefault="004E672B" w:rsidP="0094370A">
      <w:pPr>
        <w:rPr>
          <w:szCs w:val="24"/>
        </w:rPr>
      </w:pPr>
      <w:r w:rsidRPr="00120F39">
        <w:t>$</w:t>
      </w:r>
      <w:r w:rsidR="004C76A0">
        <w:t>625,000 - $500,000 = $125,000 (n</w:t>
      </w:r>
      <w:r w:rsidRPr="00120F39">
        <w:t>on-federal share)</w:t>
      </w:r>
    </w:p>
    <w:p w14:paraId="0A409632" w14:textId="77777777" w:rsidR="0094370A" w:rsidRPr="007D7654" w:rsidRDefault="0094370A" w:rsidP="0094370A">
      <w:pPr>
        <w:rPr>
          <w:szCs w:val="24"/>
        </w:rPr>
      </w:pPr>
    </w:p>
    <w:p w14:paraId="6ACEBA6D" w14:textId="77777777" w:rsidR="0094370A" w:rsidRPr="007D7654" w:rsidRDefault="004E672B" w:rsidP="0094370A">
      <w:pPr>
        <w:rPr>
          <w:szCs w:val="24"/>
        </w:rPr>
      </w:pPr>
      <w:r w:rsidRPr="00120F39">
        <w:t>Task 3</w:t>
      </w:r>
    </w:p>
    <w:p w14:paraId="17D2E5A1" w14:textId="77777777" w:rsidR="0094370A" w:rsidRPr="007D7654" w:rsidRDefault="004E672B" w:rsidP="0094370A">
      <w:pPr>
        <w:rPr>
          <w:szCs w:val="24"/>
        </w:rPr>
      </w:pPr>
      <w:r w:rsidRPr="00120F39">
        <w:t xml:space="preserve">$400,000 / 50% = $800,000 </w:t>
      </w:r>
      <w:r w:rsidRPr="009061D6">
        <w:t>(Task 3 Cost)</w:t>
      </w:r>
    </w:p>
    <w:p w14:paraId="10C0190C" w14:textId="7506F0AD" w:rsidR="0094370A" w:rsidRPr="007D7654" w:rsidRDefault="004E672B" w:rsidP="0094370A">
      <w:pPr>
        <w:rPr>
          <w:szCs w:val="24"/>
        </w:rPr>
      </w:pPr>
      <w:r w:rsidRPr="00120F39">
        <w:t>Tas</w:t>
      </w:r>
      <w:r w:rsidR="004C76A0">
        <w:t>k 3 Cost minus federal share = n</w:t>
      </w:r>
      <w:r w:rsidRPr="00120F39">
        <w:t>on-federal share</w:t>
      </w:r>
    </w:p>
    <w:p w14:paraId="348DA6BE" w14:textId="0C5AD74F" w:rsidR="0094370A" w:rsidRPr="007D7654" w:rsidRDefault="004E672B" w:rsidP="0094370A">
      <w:pPr>
        <w:rPr>
          <w:szCs w:val="24"/>
        </w:rPr>
      </w:pPr>
      <w:r w:rsidRPr="00120F39">
        <w:t>$</w:t>
      </w:r>
      <w:r w:rsidR="004C76A0">
        <w:t>800,000 - $400,000 = $400,000 (n</w:t>
      </w:r>
      <w:r w:rsidRPr="00120F39">
        <w:t>on-federal share)</w:t>
      </w:r>
    </w:p>
    <w:p w14:paraId="3942A882" w14:textId="77777777" w:rsidR="0094370A" w:rsidRPr="007D7654" w:rsidRDefault="0094370A" w:rsidP="0094370A">
      <w:pPr>
        <w:rPr>
          <w:szCs w:val="24"/>
        </w:rPr>
      </w:pPr>
    </w:p>
    <w:p w14:paraId="4D4742C4" w14:textId="77777777" w:rsidR="0094370A" w:rsidRPr="007D7654" w:rsidRDefault="004E672B" w:rsidP="0094370A">
      <w:pPr>
        <w:rPr>
          <w:szCs w:val="24"/>
        </w:rPr>
      </w:pPr>
      <w:r w:rsidRPr="00120F39">
        <w:t>Task 4</w:t>
      </w:r>
    </w:p>
    <w:p w14:paraId="41D9343E" w14:textId="77777777" w:rsidR="0094370A" w:rsidRPr="007D7654" w:rsidRDefault="004E672B" w:rsidP="0094370A">
      <w:pPr>
        <w:rPr>
          <w:szCs w:val="24"/>
        </w:rPr>
      </w:pPr>
      <w:r w:rsidRPr="00120F39">
        <w:t>Federal share = $100,000</w:t>
      </w:r>
    </w:p>
    <w:p w14:paraId="44B5FC99" w14:textId="11ED0743" w:rsidR="0094370A" w:rsidRPr="007D7654" w:rsidRDefault="004E672B" w:rsidP="0094370A">
      <w:pPr>
        <w:rPr>
          <w:szCs w:val="24"/>
        </w:rPr>
      </w:pPr>
      <w:r w:rsidRPr="00120F39">
        <w:t>Non-federal cost share is n</w:t>
      </w:r>
      <w:r w:rsidR="004C76A0">
        <w:t>ot mandated for outreach = $0 (n</w:t>
      </w:r>
      <w:r w:rsidRPr="00120F39">
        <w:t>on-federal share)</w:t>
      </w:r>
    </w:p>
    <w:p w14:paraId="14A85DC4" w14:textId="77777777" w:rsidR="0094370A" w:rsidRPr="007D7654" w:rsidRDefault="0094370A" w:rsidP="0094370A">
      <w:pPr>
        <w:rPr>
          <w:szCs w:val="24"/>
        </w:rPr>
      </w:pPr>
    </w:p>
    <w:p w14:paraId="1A21D610" w14:textId="77777777" w:rsidR="0094370A" w:rsidRDefault="004E672B" w:rsidP="0094370A">
      <w:pPr>
        <w:rPr>
          <w:szCs w:val="24"/>
        </w:rPr>
      </w:pPr>
      <w:r>
        <w:rPr>
          <w:szCs w:val="24"/>
        </w:rPr>
        <w:br w:type="page"/>
      </w:r>
    </w:p>
    <w:p w14:paraId="1F1DDD96" w14:textId="77777777" w:rsidR="0094370A" w:rsidRDefault="0094370A" w:rsidP="0094370A">
      <w:pPr>
        <w:rPr>
          <w:szCs w:val="24"/>
        </w:rPr>
      </w:pPr>
    </w:p>
    <w:p w14:paraId="57CA78B1" w14:textId="77777777" w:rsidR="0094370A" w:rsidRDefault="004E672B" w:rsidP="0094370A">
      <w:pPr>
        <w:rPr>
          <w:szCs w:val="24"/>
        </w:rPr>
      </w:pPr>
      <w:r w:rsidRPr="00120F39">
        <w:t xml:space="preserve">The calculation may then </w:t>
      </w:r>
      <w:r w:rsidRPr="009061D6">
        <w:t>be completed as follows:</w:t>
      </w:r>
    </w:p>
    <w:p w14:paraId="0D84F6CB" w14:textId="77777777" w:rsidR="0094370A" w:rsidRPr="007D7654" w:rsidRDefault="0094370A" w:rsidP="0094370A">
      <w:pPr>
        <w:rPr>
          <w:szCs w:val="24"/>
        </w:rPr>
      </w:pPr>
    </w:p>
    <w:tbl>
      <w:tblPr>
        <w:tblStyle w:val="TableGrid"/>
        <w:tblW w:w="9360" w:type="dxa"/>
        <w:tblInd w:w="360" w:type="dxa"/>
        <w:tblLook w:val="04A0" w:firstRow="1" w:lastRow="0" w:firstColumn="1" w:lastColumn="0" w:noHBand="0" w:noVBand="1"/>
      </w:tblPr>
      <w:tblGrid>
        <w:gridCol w:w="1458"/>
        <w:gridCol w:w="1530"/>
        <w:gridCol w:w="1530"/>
        <w:gridCol w:w="1620"/>
        <w:gridCol w:w="1710"/>
        <w:gridCol w:w="1512"/>
      </w:tblGrid>
      <w:tr w:rsidR="00BF65D1" w14:paraId="7B97E5A1" w14:textId="77777777" w:rsidTr="003D6558">
        <w:tc>
          <w:tcPr>
            <w:tcW w:w="1458" w:type="dxa"/>
            <w:tcBorders>
              <w:bottom w:val="single" w:sz="4" w:space="0" w:color="auto"/>
            </w:tcBorders>
            <w:shd w:val="clear" w:color="auto" w:fill="C6D9F1" w:themeFill="text2" w:themeFillTint="33"/>
          </w:tcPr>
          <w:p w14:paraId="40FC9114" w14:textId="77777777" w:rsidR="0094370A" w:rsidRPr="007D7654" w:rsidRDefault="004E672B" w:rsidP="003D6558">
            <w:pPr>
              <w:jc w:val="center"/>
              <w:rPr>
                <w:szCs w:val="24"/>
              </w:rPr>
            </w:pPr>
            <w:r w:rsidRPr="00120F39">
              <w:rPr>
                <w:szCs w:val="20"/>
              </w:rPr>
              <w:t>Tasks</w:t>
            </w:r>
          </w:p>
        </w:tc>
        <w:tc>
          <w:tcPr>
            <w:tcW w:w="1530" w:type="dxa"/>
            <w:shd w:val="clear" w:color="auto" w:fill="C6D9F1" w:themeFill="text2" w:themeFillTint="33"/>
          </w:tcPr>
          <w:p w14:paraId="3456831C" w14:textId="77777777" w:rsidR="0094370A" w:rsidRPr="007D7654" w:rsidRDefault="004E672B" w:rsidP="003D6558">
            <w:pPr>
              <w:jc w:val="center"/>
              <w:rPr>
                <w:szCs w:val="24"/>
              </w:rPr>
            </w:pPr>
            <w:r w:rsidRPr="00120F39">
              <w:rPr>
                <w:szCs w:val="20"/>
              </w:rPr>
              <w:t>$ Federal Share</w:t>
            </w:r>
          </w:p>
        </w:tc>
        <w:tc>
          <w:tcPr>
            <w:tcW w:w="1530" w:type="dxa"/>
            <w:shd w:val="clear" w:color="auto" w:fill="C6D9F1" w:themeFill="text2" w:themeFillTint="33"/>
          </w:tcPr>
          <w:p w14:paraId="75F090A7" w14:textId="77777777" w:rsidR="0094370A" w:rsidRPr="007D7654" w:rsidRDefault="004E672B" w:rsidP="003D6558">
            <w:pPr>
              <w:jc w:val="center"/>
              <w:rPr>
                <w:szCs w:val="24"/>
              </w:rPr>
            </w:pPr>
            <w:r w:rsidRPr="00120F39">
              <w:rPr>
                <w:szCs w:val="20"/>
              </w:rPr>
              <w:t>% Federal Share</w:t>
            </w:r>
          </w:p>
        </w:tc>
        <w:tc>
          <w:tcPr>
            <w:tcW w:w="1620" w:type="dxa"/>
            <w:shd w:val="clear" w:color="auto" w:fill="C6D9F1" w:themeFill="text2" w:themeFillTint="33"/>
          </w:tcPr>
          <w:p w14:paraId="28EA3B73" w14:textId="77777777" w:rsidR="0094370A" w:rsidRPr="007D7654" w:rsidRDefault="004E672B" w:rsidP="003D6558">
            <w:pPr>
              <w:jc w:val="center"/>
              <w:rPr>
                <w:szCs w:val="24"/>
              </w:rPr>
            </w:pPr>
            <w:r w:rsidRPr="00120F39">
              <w:rPr>
                <w:szCs w:val="20"/>
              </w:rPr>
              <w:t>$ Non-Federal Share</w:t>
            </w:r>
          </w:p>
        </w:tc>
        <w:tc>
          <w:tcPr>
            <w:tcW w:w="1710" w:type="dxa"/>
            <w:shd w:val="clear" w:color="auto" w:fill="C6D9F1" w:themeFill="text2" w:themeFillTint="33"/>
          </w:tcPr>
          <w:p w14:paraId="3CF76A18" w14:textId="77777777" w:rsidR="0094370A" w:rsidRPr="007D7654" w:rsidRDefault="004E672B" w:rsidP="003D6558">
            <w:pPr>
              <w:jc w:val="center"/>
              <w:rPr>
                <w:szCs w:val="24"/>
              </w:rPr>
            </w:pPr>
            <w:r w:rsidRPr="00120F39">
              <w:rPr>
                <w:szCs w:val="20"/>
              </w:rPr>
              <w:t>% Non-Federal Share</w:t>
            </w:r>
          </w:p>
        </w:tc>
        <w:tc>
          <w:tcPr>
            <w:tcW w:w="1512" w:type="dxa"/>
            <w:shd w:val="clear" w:color="auto" w:fill="C6D9F1" w:themeFill="text2" w:themeFillTint="33"/>
          </w:tcPr>
          <w:p w14:paraId="7AADE0D9" w14:textId="77777777" w:rsidR="0094370A" w:rsidRPr="007D7654" w:rsidRDefault="004E672B" w:rsidP="003D6558">
            <w:pPr>
              <w:jc w:val="center"/>
              <w:rPr>
                <w:szCs w:val="24"/>
              </w:rPr>
            </w:pPr>
            <w:r w:rsidRPr="00120F39">
              <w:rPr>
                <w:szCs w:val="20"/>
              </w:rPr>
              <w:t>Total Project Cost</w:t>
            </w:r>
          </w:p>
        </w:tc>
      </w:tr>
      <w:tr w:rsidR="00BF65D1" w14:paraId="6E8C2896" w14:textId="77777777" w:rsidTr="003D6558">
        <w:tc>
          <w:tcPr>
            <w:tcW w:w="1458" w:type="dxa"/>
            <w:shd w:val="clear" w:color="auto" w:fill="EAF1DD" w:themeFill="accent3" w:themeFillTint="33"/>
          </w:tcPr>
          <w:p w14:paraId="0D515AFC" w14:textId="77777777" w:rsidR="0094370A" w:rsidRPr="007D7654" w:rsidRDefault="004E672B" w:rsidP="003D6558">
            <w:pPr>
              <w:rPr>
                <w:szCs w:val="24"/>
              </w:rPr>
            </w:pPr>
            <w:r w:rsidRPr="00120F39">
              <w:rPr>
                <w:szCs w:val="20"/>
              </w:rPr>
              <w:t>Task 1</w:t>
            </w:r>
          </w:p>
        </w:tc>
        <w:tc>
          <w:tcPr>
            <w:tcW w:w="1530" w:type="dxa"/>
          </w:tcPr>
          <w:p w14:paraId="051C3504" w14:textId="77777777" w:rsidR="0094370A" w:rsidRPr="007D7654" w:rsidRDefault="004E672B" w:rsidP="003D6558">
            <w:pPr>
              <w:tabs>
                <w:tab w:val="left" w:pos="1129"/>
              </w:tabs>
              <w:ind w:right="185"/>
              <w:jc w:val="right"/>
              <w:rPr>
                <w:szCs w:val="24"/>
              </w:rPr>
            </w:pPr>
            <w:r w:rsidRPr="00120F39">
              <w:rPr>
                <w:szCs w:val="20"/>
              </w:rPr>
              <w:t>$1,000,000</w:t>
            </w:r>
          </w:p>
        </w:tc>
        <w:tc>
          <w:tcPr>
            <w:tcW w:w="1530" w:type="dxa"/>
          </w:tcPr>
          <w:p w14:paraId="262A8829" w14:textId="77777777" w:rsidR="0094370A" w:rsidRPr="007D7654" w:rsidRDefault="004E672B" w:rsidP="003D6558">
            <w:pPr>
              <w:jc w:val="center"/>
              <w:rPr>
                <w:szCs w:val="24"/>
              </w:rPr>
            </w:pPr>
            <w:r w:rsidRPr="00120F39">
              <w:rPr>
                <w:szCs w:val="20"/>
              </w:rPr>
              <w:t>80%</w:t>
            </w:r>
          </w:p>
        </w:tc>
        <w:tc>
          <w:tcPr>
            <w:tcW w:w="1620" w:type="dxa"/>
          </w:tcPr>
          <w:p w14:paraId="48B65F17" w14:textId="77777777" w:rsidR="0094370A" w:rsidRPr="007D7654" w:rsidRDefault="004E672B" w:rsidP="003D6558">
            <w:pPr>
              <w:ind w:right="185"/>
              <w:jc w:val="right"/>
              <w:rPr>
                <w:szCs w:val="24"/>
              </w:rPr>
            </w:pPr>
            <w:r w:rsidRPr="00120F39">
              <w:rPr>
                <w:szCs w:val="20"/>
              </w:rPr>
              <w:t>$250,000</w:t>
            </w:r>
          </w:p>
        </w:tc>
        <w:tc>
          <w:tcPr>
            <w:tcW w:w="1710" w:type="dxa"/>
          </w:tcPr>
          <w:p w14:paraId="176AD92A" w14:textId="77777777" w:rsidR="0094370A" w:rsidRPr="007D7654" w:rsidRDefault="004E672B" w:rsidP="003D6558">
            <w:pPr>
              <w:jc w:val="center"/>
              <w:rPr>
                <w:szCs w:val="24"/>
              </w:rPr>
            </w:pPr>
            <w:r w:rsidRPr="00120F39">
              <w:rPr>
                <w:szCs w:val="20"/>
              </w:rPr>
              <w:t>20%</w:t>
            </w:r>
          </w:p>
        </w:tc>
        <w:tc>
          <w:tcPr>
            <w:tcW w:w="1512" w:type="dxa"/>
          </w:tcPr>
          <w:p w14:paraId="7919D1A2" w14:textId="77777777" w:rsidR="0094370A" w:rsidRPr="007D7654" w:rsidRDefault="004E672B" w:rsidP="003D6558">
            <w:pPr>
              <w:ind w:right="167"/>
              <w:jc w:val="right"/>
              <w:rPr>
                <w:szCs w:val="24"/>
              </w:rPr>
            </w:pPr>
            <w:r w:rsidRPr="00120F39">
              <w:rPr>
                <w:szCs w:val="20"/>
              </w:rPr>
              <w:t>$1,250,000</w:t>
            </w:r>
          </w:p>
        </w:tc>
      </w:tr>
      <w:tr w:rsidR="00BF65D1" w14:paraId="44F8986D" w14:textId="77777777" w:rsidTr="003D6558">
        <w:tc>
          <w:tcPr>
            <w:tcW w:w="1458" w:type="dxa"/>
            <w:shd w:val="clear" w:color="auto" w:fill="EAF1DD" w:themeFill="accent3" w:themeFillTint="33"/>
          </w:tcPr>
          <w:p w14:paraId="11FE02B3" w14:textId="77777777" w:rsidR="0094370A" w:rsidRPr="007D7654" w:rsidRDefault="004E672B" w:rsidP="003D6558">
            <w:pPr>
              <w:rPr>
                <w:szCs w:val="24"/>
              </w:rPr>
            </w:pPr>
            <w:r w:rsidRPr="00120F39">
              <w:rPr>
                <w:szCs w:val="20"/>
              </w:rPr>
              <w:t>Task 2</w:t>
            </w:r>
          </w:p>
        </w:tc>
        <w:tc>
          <w:tcPr>
            <w:tcW w:w="1530" w:type="dxa"/>
          </w:tcPr>
          <w:p w14:paraId="58BA3869" w14:textId="77777777" w:rsidR="0094370A" w:rsidRPr="007D7654" w:rsidRDefault="004E672B" w:rsidP="003D6558">
            <w:pPr>
              <w:tabs>
                <w:tab w:val="left" w:pos="1129"/>
              </w:tabs>
              <w:ind w:right="185"/>
              <w:jc w:val="right"/>
              <w:rPr>
                <w:szCs w:val="24"/>
              </w:rPr>
            </w:pPr>
            <w:r w:rsidRPr="00120F39">
              <w:rPr>
                <w:szCs w:val="20"/>
              </w:rPr>
              <w:t>$500,000</w:t>
            </w:r>
          </w:p>
        </w:tc>
        <w:tc>
          <w:tcPr>
            <w:tcW w:w="1530" w:type="dxa"/>
          </w:tcPr>
          <w:p w14:paraId="7B12F480" w14:textId="77777777" w:rsidR="0094370A" w:rsidRPr="007D7654" w:rsidRDefault="004E672B" w:rsidP="003D6558">
            <w:pPr>
              <w:jc w:val="center"/>
              <w:rPr>
                <w:szCs w:val="24"/>
              </w:rPr>
            </w:pPr>
            <w:r w:rsidRPr="00120F39">
              <w:rPr>
                <w:szCs w:val="20"/>
              </w:rPr>
              <w:t>80%</w:t>
            </w:r>
          </w:p>
        </w:tc>
        <w:tc>
          <w:tcPr>
            <w:tcW w:w="1620" w:type="dxa"/>
          </w:tcPr>
          <w:p w14:paraId="213AC2F8" w14:textId="77777777" w:rsidR="0094370A" w:rsidRPr="007D7654" w:rsidRDefault="004E672B" w:rsidP="003D6558">
            <w:pPr>
              <w:ind w:right="185"/>
              <w:jc w:val="right"/>
              <w:rPr>
                <w:szCs w:val="24"/>
              </w:rPr>
            </w:pPr>
            <w:r w:rsidRPr="00120F39">
              <w:rPr>
                <w:szCs w:val="20"/>
              </w:rPr>
              <w:t>$125,000</w:t>
            </w:r>
          </w:p>
        </w:tc>
        <w:tc>
          <w:tcPr>
            <w:tcW w:w="1710" w:type="dxa"/>
          </w:tcPr>
          <w:p w14:paraId="6656704B" w14:textId="77777777" w:rsidR="0094370A" w:rsidRPr="007D7654" w:rsidRDefault="004E672B" w:rsidP="003D6558">
            <w:pPr>
              <w:jc w:val="center"/>
              <w:rPr>
                <w:szCs w:val="24"/>
              </w:rPr>
            </w:pPr>
            <w:r w:rsidRPr="00120F39">
              <w:rPr>
                <w:szCs w:val="20"/>
              </w:rPr>
              <w:t>20%</w:t>
            </w:r>
          </w:p>
        </w:tc>
        <w:tc>
          <w:tcPr>
            <w:tcW w:w="1512" w:type="dxa"/>
          </w:tcPr>
          <w:p w14:paraId="1D1EE309" w14:textId="77777777" w:rsidR="0094370A" w:rsidRPr="007D7654" w:rsidRDefault="004E672B" w:rsidP="003D6558">
            <w:pPr>
              <w:ind w:right="167"/>
              <w:jc w:val="right"/>
              <w:rPr>
                <w:szCs w:val="24"/>
              </w:rPr>
            </w:pPr>
            <w:r w:rsidRPr="00120F39">
              <w:rPr>
                <w:szCs w:val="20"/>
              </w:rPr>
              <w:t>$625,000</w:t>
            </w:r>
          </w:p>
        </w:tc>
      </w:tr>
      <w:tr w:rsidR="00BF65D1" w14:paraId="04A7C5BF" w14:textId="77777777" w:rsidTr="003D6558">
        <w:tc>
          <w:tcPr>
            <w:tcW w:w="1458" w:type="dxa"/>
            <w:shd w:val="clear" w:color="auto" w:fill="EAF1DD" w:themeFill="accent3" w:themeFillTint="33"/>
          </w:tcPr>
          <w:p w14:paraId="0FFC645E" w14:textId="77777777" w:rsidR="0094370A" w:rsidRPr="007D7654" w:rsidRDefault="004E672B" w:rsidP="003D6558">
            <w:pPr>
              <w:rPr>
                <w:szCs w:val="24"/>
              </w:rPr>
            </w:pPr>
            <w:r w:rsidRPr="00120F39">
              <w:rPr>
                <w:szCs w:val="20"/>
              </w:rPr>
              <w:t>Task 3</w:t>
            </w:r>
          </w:p>
        </w:tc>
        <w:tc>
          <w:tcPr>
            <w:tcW w:w="1530" w:type="dxa"/>
          </w:tcPr>
          <w:p w14:paraId="60A32AA9" w14:textId="77777777" w:rsidR="0094370A" w:rsidRPr="007D7654" w:rsidRDefault="004E672B" w:rsidP="003D6558">
            <w:pPr>
              <w:tabs>
                <w:tab w:val="left" w:pos="1129"/>
              </w:tabs>
              <w:ind w:right="185"/>
              <w:jc w:val="right"/>
              <w:rPr>
                <w:szCs w:val="24"/>
              </w:rPr>
            </w:pPr>
            <w:r w:rsidRPr="00120F39">
              <w:rPr>
                <w:szCs w:val="20"/>
              </w:rPr>
              <w:t>$400,000</w:t>
            </w:r>
          </w:p>
        </w:tc>
        <w:tc>
          <w:tcPr>
            <w:tcW w:w="1530" w:type="dxa"/>
          </w:tcPr>
          <w:p w14:paraId="6EA87E4B" w14:textId="77777777" w:rsidR="0094370A" w:rsidRPr="007D7654" w:rsidRDefault="004E672B" w:rsidP="003D6558">
            <w:pPr>
              <w:jc w:val="center"/>
              <w:rPr>
                <w:szCs w:val="24"/>
              </w:rPr>
            </w:pPr>
            <w:r w:rsidRPr="00120F39">
              <w:rPr>
                <w:szCs w:val="20"/>
              </w:rPr>
              <w:t>50%</w:t>
            </w:r>
          </w:p>
        </w:tc>
        <w:tc>
          <w:tcPr>
            <w:tcW w:w="1620" w:type="dxa"/>
          </w:tcPr>
          <w:p w14:paraId="5101E879" w14:textId="77777777" w:rsidR="0094370A" w:rsidRPr="007D7654" w:rsidRDefault="004E672B" w:rsidP="003D6558">
            <w:pPr>
              <w:ind w:right="185"/>
              <w:jc w:val="right"/>
              <w:rPr>
                <w:szCs w:val="24"/>
              </w:rPr>
            </w:pPr>
            <w:r w:rsidRPr="00120F39">
              <w:rPr>
                <w:szCs w:val="20"/>
              </w:rPr>
              <w:t>$400,000</w:t>
            </w:r>
          </w:p>
        </w:tc>
        <w:tc>
          <w:tcPr>
            <w:tcW w:w="1710" w:type="dxa"/>
          </w:tcPr>
          <w:p w14:paraId="51405315" w14:textId="77777777" w:rsidR="0094370A" w:rsidRPr="007D7654" w:rsidRDefault="004E672B" w:rsidP="003D6558">
            <w:pPr>
              <w:jc w:val="center"/>
              <w:rPr>
                <w:szCs w:val="24"/>
              </w:rPr>
            </w:pPr>
            <w:r w:rsidRPr="00120F39">
              <w:rPr>
                <w:szCs w:val="20"/>
              </w:rPr>
              <w:t>50%</w:t>
            </w:r>
          </w:p>
        </w:tc>
        <w:tc>
          <w:tcPr>
            <w:tcW w:w="1512" w:type="dxa"/>
          </w:tcPr>
          <w:p w14:paraId="2BC02066" w14:textId="77777777" w:rsidR="0094370A" w:rsidRPr="007D7654" w:rsidRDefault="004E672B" w:rsidP="003D6558">
            <w:pPr>
              <w:ind w:right="167"/>
              <w:jc w:val="right"/>
              <w:rPr>
                <w:szCs w:val="24"/>
              </w:rPr>
            </w:pPr>
            <w:r w:rsidRPr="00120F39">
              <w:rPr>
                <w:szCs w:val="20"/>
              </w:rPr>
              <w:t>$800,000</w:t>
            </w:r>
          </w:p>
        </w:tc>
      </w:tr>
      <w:tr w:rsidR="00BF65D1" w14:paraId="44AB8045" w14:textId="77777777" w:rsidTr="003D6558">
        <w:tc>
          <w:tcPr>
            <w:tcW w:w="1458" w:type="dxa"/>
            <w:shd w:val="clear" w:color="auto" w:fill="EAF1DD" w:themeFill="accent3" w:themeFillTint="33"/>
          </w:tcPr>
          <w:p w14:paraId="3359D7F3" w14:textId="77777777" w:rsidR="0094370A" w:rsidRPr="007D7654" w:rsidRDefault="004E672B" w:rsidP="003D6558">
            <w:pPr>
              <w:rPr>
                <w:szCs w:val="24"/>
              </w:rPr>
            </w:pPr>
            <w:r w:rsidRPr="00120F39">
              <w:rPr>
                <w:szCs w:val="20"/>
              </w:rPr>
              <w:t>Task 4</w:t>
            </w:r>
          </w:p>
        </w:tc>
        <w:tc>
          <w:tcPr>
            <w:tcW w:w="1530" w:type="dxa"/>
          </w:tcPr>
          <w:p w14:paraId="18BE5B86" w14:textId="77777777" w:rsidR="0094370A" w:rsidRPr="007D7654" w:rsidRDefault="004E672B" w:rsidP="003D6558">
            <w:pPr>
              <w:tabs>
                <w:tab w:val="left" w:pos="1129"/>
              </w:tabs>
              <w:ind w:right="185"/>
              <w:jc w:val="right"/>
              <w:rPr>
                <w:szCs w:val="24"/>
              </w:rPr>
            </w:pPr>
            <w:r w:rsidRPr="00120F39">
              <w:rPr>
                <w:szCs w:val="20"/>
              </w:rPr>
              <w:t>$100,000</w:t>
            </w:r>
          </w:p>
        </w:tc>
        <w:tc>
          <w:tcPr>
            <w:tcW w:w="1530" w:type="dxa"/>
          </w:tcPr>
          <w:p w14:paraId="59C9D9C7" w14:textId="77777777" w:rsidR="0094370A" w:rsidRPr="007D7654" w:rsidRDefault="004E672B" w:rsidP="003D6558">
            <w:pPr>
              <w:jc w:val="center"/>
              <w:rPr>
                <w:szCs w:val="24"/>
              </w:rPr>
            </w:pPr>
            <w:r w:rsidRPr="00120F39">
              <w:rPr>
                <w:szCs w:val="20"/>
              </w:rPr>
              <w:t>100%</w:t>
            </w:r>
          </w:p>
        </w:tc>
        <w:tc>
          <w:tcPr>
            <w:tcW w:w="1620" w:type="dxa"/>
          </w:tcPr>
          <w:p w14:paraId="2FB486AE" w14:textId="77777777" w:rsidR="0094370A" w:rsidRPr="007D7654" w:rsidRDefault="004E672B" w:rsidP="003D6558">
            <w:pPr>
              <w:ind w:right="185"/>
              <w:jc w:val="right"/>
              <w:rPr>
                <w:szCs w:val="24"/>
              </w:rPr>
            </w:pPr>
            <w:r w:rsidRPr="00120F39">
              <w:rPr>
                <w:szCs w:val="20"/>
              </w:rPr>
              <w:t>$0</w:t>
            </w:r>
          </w:p>
        </w:tc>
        <w:tc>
          <w:tcPr>
            <w:tcW w:w="1710" w:type="dxa"/>
          </w:tcPr>
          <w:p w14:paraId="3B9F7D74" w14:textId="77777777" w:rsidR="0094370A" w:rsidRPr="007D7654" w:rsidRDefault="004E672B" w:rsidP="003D6558">
            <w:pPr>
              <w:jc w:val="center"/>
              <w:rPr>
                <w:szCs w:val="24"/>
              </w:rPr>
            </w:pPr>
            <w:r w:rsidRPr="00120F39">
              <w:rPr>
                <w:szCs w:val="20"/>
              </w:rPr>
              <w:t>0%</w:t>
            </w:r>
          </w:p>
        </w:tc>
        <w:tc>
          <w:tcPr>
            <w:tcW w:w="1512" w:type="dxa"/>
          </w:tcPr>
          <w:p w14:paraId="709CA67A" w14:textId="77777777" w:rsidR="0094370A" w:rsidRPr="007D7654" w:rsidRDefault="004E672B" w:rsidP="003D6558">
            <w:pPr>
              <w:ind w:right="167"/>
              <w:jc w:val="right"/>
              <w:rPr>
                <w:szCs w:val="24"/>
              </w:rPr>
            </w:pPr>
            <w:r w:rsidRPr="00120F39">
              <w:rPr>
                <w:szCs w:val="20"/>
              </w:rPr>
              <w:t>$100,000</w:t>
            </w:r>
          </w:p>
        </w:tc>
      </w:tr>
      <w:tr w:rsidR="00BF65D1" w14:paraId="7DF4F0CB" w14:textId="77777777" w:rsidTr="003D6558">
        <w:tc>
          <w:tcPr>
            <w:tcW w:w="1458" w:type="dxa"/>
            <w:shd w:val="clear" w:color="auto" w:fill="EAF1DD" w:themeFill="accent3" w:themeFillTint="33"/>
          </w:tcPr>
          <w:p w14:paraId="0264AAEA" w14:textId="77777777" w:rsidR="0094370A" w:rsidRPr="007D7654" w:rsidRDefault="004E672B" w:rsidP="003D6558">
            <w:pPr>
              <w:rPr>
                <w:szCs w:val="24"/>
              </w:rPr>
            </w:pPr>
            <w:r w:rsidRPr="00120F39">
              <w:rPr>
                <w:szCs w:val="20"/>
              </w:rPr>
              <w:t>Totals</w:t>
            </w:r>
          </w:p>
        </w:tc>
        <w:tc>
          <w:tcPr>
            <w:tcW w:w="1530" w:type="dxa"/>
          </w:tcPr>
          <w:p w14:paraId="6AFD904C" w14:textId="77777777" w:rsidR="0094370A" w:rsidRPr="007D7654" w:rsidRDefault="004E672B" w:rsidP="003D6558">
            <w:pPr>
              <w:tabs>
                <w:tab w:val="left" w:pos="1129"/>
              </w:tabs>
              <w:ind w:right="185"/>
              <w:jc w:val="right"/>
              <w:rPr>
                <w:szCs w:val="24"/>
              </w:rPr>
            </w:pPr>
            <w:r w:rsidRPr="00120F39">
              <w:rPr>
                <w:szCs w:val="20"/>
              </w:rPr>
              <w:t>$2,000,000</w:t>
            </w:r>
          </w:p>
        </w:tc>
        <w:tc>
          <w:tcPr>
            <w:tcW w:w="1530" w:type="dxa"/>
          </w:tcPr>
          <w:p w14:paraId="1C95A3C8" w14:textId="77777777" w:rsidR="0094370A" w:rsidRPr="007D7654" w:rsidRDefault="0094370A" w:rsidP="003D6558">
            <w:pPr>
              <w:jc w:val="center"/>
              <w:rPr>
                <w:szCs w:val="24"/>
              </w:rPr>
            </w:pPr>
          </w:p>
        </w:tc>
        <w:tc>
          <w:tcPr>
            <w:tcW w:w="1620" w:type="dxa"/>
          </w:tcPr>
          <w:p w14:paraId="33B8F6EA" w14:textId="77777777" w:rsidR="0094370A" w:rsidRPr="007D7654" w:rsidRDefault="004E672B" w:rsidP="003D6558">
            <w:pPr>
              <w:ind w:right="185"/>
              <w:jc w:val="right"/>
              <w:rPr>
                <w:szCs w:val="24"/>
              </w:rPr>
            </w:pPr>
            <w:r w:rsidRPr="00120F39">
              <w:rPr>
                <w:szCs w:val="20"/>
              </w:rPr>
              <w:t>$775,000</w:t>
            </w:r>
          </w:p>
        </w:tc>
        <w:tc>
          <w:tcPr>
            <w:tcW w:w="1710" w:type="dxa"/>
          </w:tcPr>
          <w:p w14:paraId="59E53EE1" w14:textId="77777777" w:rsidR="0094370A" w:rsidRPr="007D7654" w:rsidRDefault="0094370A" w:rsidP="003D6558">
            <w:pPr>
              <w:jc w:val="center"/>
              <w:rPr>
                <w:szCs w:val="24"/>
              </w:rPr>
            </w:pPr>
          </w:p>
        </w:tc>
        <w:tc>
          <w:tcPr>
            <w:tcW w:w="1512" w:type="dxa"/>
          </w:tcPr>
          <w:p w14:paraId="4AAA2FB4" w14:textId="77777777" w:rsidR="0094370A" w:rsidRPr="007D7654" w:rsidRDefault="004E672B" w:rsidP="003D6558">
            <w:pPr>
              <w:ind w:right="167"/>
              <w:jc w:val="right"/>
              <w:rPr>
                <w:szCs w:val="24"/>
              </w:rPr>
            </w:pPr>
            <w:r w:rsidRPr="00120F39">
              <w:rPr>
                <w:szCs w:val="20"/>
              </w:rPr>
              <w:t>$2,775,000</w:t>
            </w:r>
          </w:p>
        </w:tc>
      </w:tr>
    </w:tbl>
    <w:p w14:paraId="38C684DF" w14:textId="77777777" w:rsidR="0094370A" w:rsidRPr="007D7654" w:rsidRDefault="0094370A" w:rsidP="0094370A">
      <w:pPr>
        <w:rPr>
          <w:szCs w:val="24"/>
        </w:rPr>
      </w:pPr>
    </w:p>
    <w:p w14:paraId="32E432DC" w14:textId="77777777" w:rsidR="0094370A" w:rsidRPr="007D7654" w:rsidRDefault="004E672B" w:rsidP="0094370A">
      <w:pPr>
        <w:rPr>
          <w:szCs w:val="24"/>
        </w:rPr>
      </w:pPr>
      <w:r w:rsidRPr="00120F39">
        <w:t>Blended Cost Share %</w:t>
      </w:r>
    </w:p>
    <w:p w14:paraId="777FDF36" w14:textId="77777777" w:rsidR="0094370A" w:rsidRPr="007D7654" w:rsidRDefault="004E672B" w:rsidP="0094370A">
      <w:pPr>
        <w:rPr>
          <w:szCs w:val="24"/>
        </w:rPr>
      </w:pPr>
      <w:r w:rsidRPr="00120F39">
        <w:t>Non-federal share ($775,000) divided by Total Project Cost ($2,775,000) = 27.9% (</w:t>
      </w:r>
      <w:r>
        <w:t>n</w:t>
      </w:r>
      <w:r w:rsidRPr="00120F39">
        <w:t>on-federal)</w:t>
      </w:r>
    </w:p>
    <w:p w14:paraId="338F3516" w14:textId="7FA30AC8" w:rsidR="0094370A" w:rsidRPr="007D7654" w:rsidRDefault="004E672B" w:rsidP="0094370A">
      <w:pPr>
        <w:rPr>
          <w:szCs w:val="24"/>
        </w:rPr>
        <w:sectPr w:rsidR="0094370A" w:rsidRPr="007D7654" w:rsidSect="002B6C14">
          <w:pgSz w:w="12240" w:h="15840" w:code="1"/>
          <w:pgMar w:top="1440" w:right="1440" w:bottom="1584" w:left="1440" w:header="720" w:footer="720" w:gutter="0"/>
          <w:cols w:space="720"/>
          <w:docGrid w:linePitch="360"/>
        </w:sectPr>
      </w:pPr>
      <w:r w:rsidRPr="00120F39">
        <w:t>Federal share ($2,000,000) divided by Total Project Cost ($2,</w:t>
      </w:r>
      <w:r w:rsidRPr="009061D6">
        <w:t>775,000) = 72.1% (</w:t>
      </w:r>
      <w:r>
        <w:t>f</w:t>
      </w:r>
      <w:r w:rsidRPr="009061D6">
        <w:t>ederal)</w:t>
      </w:r>
    </w:p>
    <w:p w14:paraId="077534AE" w14:textId="5D3B0E98" w:rsidR="00770892" w:rsidRDefault="00770892" w:rsidP="00AC3873">
      <w:pPr>
        <w:ind w:left="720"/>
      </w:pPr>
    </w:p>
    <w:p w14:paraId="29D52F0C" w14:textId="77777777" w:rsidR="00770892" w:rsidRPr="004353B2" w:rsidRDefault="00770892" w:rsidP="00770892">
      <w:pPr>
        <w:pStyle w:val="AppendixHeading"/>
        <w:outlineLvl w:val="0"/>
      </w:pPr>
      <w:bookmarkStart w:id="838" w:name="_Toc140061054"/>
      <w:bookmarkStart w:id="839" w:name="_Toc176864555"/>
      <w:r w:rsidRPr="00686859">
        <w:t xml:space="preserve">Appendix </w:t>
      </w:r>
      <w:r w:rsidRPr="008B0D95">
        <w:t>C</w:t>
      </w:r>
      <w:r>
        <w:t xml:space="preserve"> </w:t>
      </w:r>
      <w:r w:rsidRPr="00686859">
        <w:t>– Waiver Requests</w:t>
      </w:r>
      <w:r>
        <w:t xml:space="preserve"> For</w:t>
      </w:r>
      <w:r w:rsidRPr="00686859">
        <w:t xml:space="preserve">: </w:t>
      </w:r>
      <w:r w:rsidRPr="004353B2">
        <w:t>1. Foreign Entity Participation; and 2. Foreign Work</w:t>
      </w:r>
      <w:bookmarkEnd w:id="838"/>
      <w:bookmarkEnd w:id="839"/>
      <w:r w:rsidRPr="004353B2">
        <w:t xml:space="preserve"> </w:t>
      </w:r>
    </w:p>
    <w:p w14:paraId="727ABA65" w14:textId="77777777" w:rsidR="00770892" w:rsidRPr="00CA3820" w:rsidRDefault="00770892" w:rsidP="00770892"/>
    <w:p w14:paraId="31167495" w14:textId="77777777" w:rsidR="00770892" w:rsidRPr="00872882" w:rsidRDefault="00770892" w:rsidP="00AD40F2">
      <w:pPr>
        <w:pStyle w:val="ListParagraph"/>
        <w:numPr>
          <w:ilvl w:val="0"/>
          <w:numId w:val="32"/>
        </w:numPr>
        <w:ind w:hanging="720"/>
      </w:pPr>
      <w:r w:rsidRPr="00120F39">
        <w:rPr>
          <w:b/>
          <w:sz w:val="28"/>
          <w:szCs w:val="28"/>
        </w:rPr>
        <w:t xml:space="preserve">Waiver for Foreign Entity Participation </w:t>
      </w:r>
    </w:p>
    <w:p w14:paraId="45835005" w14:textId="46E4B326" w:rsidR="00770892" w:rsidRDefault="00770892" w:rsidP="00770892">
      <w:pPr>
        <w:pStyle w:val="ListParagraph"/>
      </w:pPr>
      <w:r>
        <w:t>Many of the technology areas DOE funds fall in the category of critical and emerging technologies (CETs). CETs are a subset of advanced technologies that are potentially significant to United States national and economic security.</w:t>
      </w:r>
      <w:r>
        <w:rPr>
          <w:rStyle w:val="FootnoteReference"/>
        </w:rPr>
        <w:footnoteReference w:id="55"/>
      </w:r>
      <w:r>
        <w:t xml:space="preserve"> For projects selected under this FOA, all recipients and subrecipients must be organized, </w:t>
      </w:r>
      <w:r w:rsidR="00CE2D23">
        <w:t>chartered,</w:t>
      </w:r>
      <w:r>
        <w:t xml:space="preserve"> or incorporated (or otherwise formed) under the laws of a state or territory of the United States; have majority domestic ownership and control; and have a physical location for business operations in the United States. To request a waiver of this requirement, an applicant must submit an explicit waiver request in the Full Application. </w:t>
      </w:r>
    </w:p>
    <w:p w14:paraId="59A1AC20" w14:textId="77777777" w:rsidR="00770892" w:rsidRDefault="00770892" w:rsidP="00770892">
      <w:pPr>
        <w:ind w:left="720"/>
      </w:pPr>
    </w:p>
    <w:p w14:paraId="2A553F70" w14:textId="77777777" w:rsidR="00770892" w:rsidRDefault="00770892" w:rsidP="00770892">
      <w:pPr>
        <w:ind w:left="720"/>
        <w:jc w:val="center"/>
      </w:pPr>
      <w:r w:rsidRPr="007B277F">
        <w:rPr>
          <w:b/>
          <w:bCs/>
        </w:rPr>
        <w:t>Waiver Criteria</w:t>
      </w:r>
    </w:p>
    <w:p w14:paraId="236F702D" w14:textId="77777777" w:rsidR="00770892" w:rsidRDefault="00770892" w:rsidP="00770892">
      <w:pPr>
        <w:ind w:left="720"/>
        <w:rPr>
          <w:sz w:val="23"/>
          <w:szCs w:val="23"/>
        </w:rPr>
      </w:pPr>
      <w:r>
        <w:t xml:space="preserve">Foreign </w:t>
      </w:r>
      <w:r>
        <w:rPr>
          <w:sz w:val="23"/>
          <w:szCs w:val="23"/>
        </w:rPr>
        <w:t xml:space="preserve">entities seeking to participate in a project funded under this FOA must demonstrate to the satisfaction of DOE that: </w:t>
      </w:r>
    </w:p>
    <w:p w14:paraId="052F2294" w14:textId="77777777" w:rsidR="00770892" w:rsidRDefault="00770892" w:rsidP="00770892">
      <w:pPr>
        <w:ind w:left="720"/>
        <w:rPr>
          <w:sz w:val="23"/>
          <w:szCs w:val="23"/>
        </w:rPr>
      </w:pPr>
    </w:p>
    <w:p w14:paraId="7C4E2C07" w14:textId="77777777" w:rsidR="00770892" w:rsidRPr="00D02FBF" w:rsidRDefault="00770892" w:rsidP="00770892">
      <w:pPr>
        <w:pStyle w:val="ListParagraph"/>
        <w:numPr>
          <w:ilvl w:val="0"/>
          <w:numId w:val="128"/>
        </w:numPr>
      </w:pPr>
      <w:r>
        <w:rPr>
          <w:sz w:val="23"/>
          <w:szCs w:val="23"/>
        </w:rPr>
        <w:t>Its</w:t>
      </w:r>
      <w:r>
        <w:rPr>
          <w:szCs w:val="24"/>
        </w:rPr>
        <w:t xml:space="preserve"> participation is in the best interest of the United States industry and United States economic development; </w:t>
      </w:r>
    </w:p>
    <w:p w14:paraId="5DFC0572" w14:textId="77777777" w:rsidR="00770892" w:rsidRPr="004B78A9" w:rsidRDefault="00770892" w:rsidP="00770892">
      <w:pPr>
        <w:pStyle w:val="ListParagraph"/>
        <w:numPr>
          <w:ilvl w:val="0"/>
          <w:numId w:val="128"/>
        </w:numPr>
      </w:pPr>
      <w:r w:rsidRPr="0079408C">
        <w:rPr>
          <w:szCs w:val="24"/>
        </w:rPr>
        <w:t>The project team has appropriate measures in place to control sensitive information and protect against unauthorized transfer of scientific and technical information</w:t>
      </w:r>
      <w:r>
        <w:rPr>
          <w:szCs w:val="24"/>
        </w:rPr>
        <w:t>;</w:t>
      </w:r>
    </w:p>
    <w:p w14:paraId="2869DED3" w14:textId="77777777" w:rsidR="00770892" w:rsidRPr="0046328B" w:rsidRDefault="00770892" w:rsidP="00770892">
      <w:pPr>
        <w:pStyle w:val="ListParagraph"/>
        <w:numPr>
          <w:ilvl w:val="0"/>
          <w:numId w:val="128"/>
        </w:numPr>
      </w:pPr>
      <w:r w:rsidRPr="0079408C">
        <w:rPr>
          <w:rFonts w:ascii="Calibri" w:hAnsi="Calibri" w:cs="Calibri"/>
          <w:color w:val="000000"/>
          <w:szCs w:val="24"/>
        </w:rPr>
        <w:t>Adequate protocols exist between the U</w:t>
      </w:r>
      <w:r>
        <w:rPr>
          <w:rFonts w:ascii="Calibri" w:hAnsi="Calibri" w:cs="Calibri"/>
          <w:color w:val="000000"/>
          <w:szCs w:val="24"/>
        </w:rPr>
        <w:t>nited States</w:t>
      </w:r>
      <w:r w:rsidRPr="0079408C">
        <w:rPr>
          <w:rFonts w:ascii="Calibri" w:hAnsi="Calibri" w:cs="Calibri"/>
          <w:color w:val="000000"/>
          <w:szCs w:val="24"/>
        </w:rPr>
        <w:t xml:space="preserve"> subsidiary and its foreign parent organization to comply with export control laws and any obligations to protect proprietary information from the foreign parent organization</w:t>
      </w:r>
      <w:r>
        <w:rPr>
          <w:rFonts w:ascii="Calibri" w:hAnsi="Calibri" w:cs="Calibri"/>
          <w:color w:val="000000"/>
          <w:szCs w:val="24"/>
        </w:rPr>
        <w:t>;</w:t>
      </w:r>
    </w:p>
    <w:p w14:paraId="00961A86" w14:textId="629C5E26" w:rsidR="00770892" w:rsidRPr="006E2FA4" w:rsidRDefault="00770892" w:rsidP="00770892">
      <w:pPr>
        <w:pStyle w:val="ListParagraph"/>
        <w:numPr>
          <w:ilvl w:val="0"/>
          <w:numId w:val="128"/>
        </w:numPr>
      </w:pPr>
      <w:r w:rsidRPr="0079408C">
        <w:rPr>
          <w:rFonts w:ascii="Calibri" w:hAnsi="Calibri" w:cs="Calibri"/>
          <w:color w:val="000000"/>
          <w:szCs w:val="24"/>
        </w:rPr>
        <w:t>The work is conducted within the U</w:t>
      </w:r>
      <w:r>
        <w:rPr>
          <w:rFonts w:ascii="Calibri" w:hAnsi="Calibri" w:cs="Calibri"/>
          <w:color w:val="000000"/>
          <w:szCs w:val="24"/>
        </w:rPr>
        <w:t>nited States</w:t>
      </w:r>
      <w:r w:rsidRPr="0079408C">
        <w:rPr>
          <w:rFonts w:ascii="Calibri" w:hAnsi="Calibri" w:cs="Calibri"/>
          <w:color w:val="000000"/>
          <w:szCs w:val="24"/>
        </w:rPr>
        <w:t xml:space="preserve"> and the entity acknowledges and demonstrates that it has the intent and ability to comply with the </w:t>
      </w:r>
      <w:r>
        <w:rPr>
          <w:rFonts w:ascii="Calibri" w:hAnsi="Calibri" w:cs="Calibri"/>
          <w:color w:val="000000"/>
          <w:szCs w:val="24"/>
        </w:rPr>
        <w:t xml:space="preserve">United States Competitiveness Provision (see </w:t>
      </w:r>
      <w:r w:rsidRPr="008B0D95">
        <w:rPr>
          <w:rFonts w:ascii="Calibri" w:hAnsi="Calibri" w:cs="Calibri"/>
          <w:color w:val="000000"/>
          <w:szCs w:val="24"/>
        </w:rPr>
        <w:t>Section VI.B.xx</w:t>
      </w:r>
      <w:r w:rsidR="00884001" w:rsidRPr="008B0D95">
        <w:rPr>
          <w:rFonts w:ascii="Calibri" w:hAnsi="Calibri" w:cs="Calibri"/>
          <w:color w:val="000000"/>
          <w:szCs w:val="24"/>
        </w:rPr>
        <w:t>i</w:t>
      </w:r>
      <w:r w:rsidRPr="008B0D95">
        <w:rPr>
          <w:rFonts w:ascii="Calibri" w:hAnsi="Calibri" w:cs="Calibri"/>
          <w:color w:val="000000"/>
          <w:szCs w:val="24"/>
        </w:rPr>
        <w:t>i.</w:t>
      </w:r>
      <w:r w:rsidRPr="003833E4">
        <w:rPr>
          <w:rFonts w:ascii="Calibri" w:hAnsi="Calibri" w:cs="Calibri"/>
          <w:color w:val="000000"/>
          <w:szCs w:val="24"/>
        </w:rPr>
        <w:t>);</w:t>
      </w:r>
      <w:r>
        <w:rPr>
          <w:rFonts w:ascii="Calibri" w:hAnsi="Calibri" w:cs="Calibri"/>
          <w:color w:val="000000"/>
          <w:szCs w:val="24"/>
        </w:rPr>
        <w:t xml:space="preserve"> and</w:t>
      </w:r>
    </w:p>
    <w:p w14:paraId="1984404D" w14:textId="77777777" w:rsidR="00770892" w:rsidRPr="00673225" w:rsidRDefault="00770892" w:rsidP="00770892">
      <w:pPr>
        <w:pStyle w:val="ListParagraph"/>
        <w:numPr>
          <w:ilvl w:val="0"/>
          <w:numId w:val="128"/>
        </w:numPr>
      </w:pPr>
      <w:r>
        <w:rPr>
          <w:szCs w:val="24"/>
        </w:rPr>
        <w:t>The foreign entity will satisfy other conditions that may be deemed necessary by DOE to protect United States government interests.</w:t>
      </w:r>
    </w:p>
    <w:p w14:paraId="01A3979B" w14:textId="77777777" w:rsidR="00770892" w:rsidRDefault="00770892" w:rsidP="00770892">
      <w:pPr>
        <w:ind w:left="720"/>
      </w:pPr>
    </w:p>
    <w:p w14:paraId="7BFBB4D0" w14:textId="77777777" w:rsidR="00770892" w:rsidRPr="00601399" w:rsidRDefault="00770892" w:rsidP="00770892">
      <w:pPr>
        <w:pStyle w:val="Default"/>
        <w:keepNext/>
        <w:jc w:val="center"/>
        <w:rPr>
          <w:rFonts w:ascii="Calibri" w:hAnsi="Calibri" w:cs="Calibri"/>
        </w:rPr>
      </w:pPr>
      <w:r w:rsidRPr="0079408C">
        <w:rPr>
          <w:rFonts w:ascii="Calibri" w:hAnsi="Calibri" w:cs="Calibri"/>
          <w:b/>
          <w:bCs/>
        </w:rPr>
        <w:t>Content for Waiver Request</w:t>
      </w:r>
    </w:p>
    <w:p w14:paraId="02548B29" w14:textId="77777777" w:rsidR="00770892" w:rsidRDefault="00770892" w:rsidP="00770892">
      <w:pPr>
        <w:keepNext/>
        <w:ind w:left="720"/>
      </w:pPr>
      <w:r>
        <w:t>A Foreign Entity waiver request must include the following:</w:t>
      </w:r>
    </w:p>
    <w:p w14:paraId="006B6769" w14:textId="77777777" w:rsidR="00770892" w:rsidRDefault="00770892" w:rsidP="00770892"/>
    <w:p w14:paraId="336ACD83" w14:textId="02BF64F2" w:rsidR="00770892" w:rsidRPr="00601399" w:rsidRDefault="00770892" w:rsidP="00770892">
      <w:pPr>
        <w:pStyle w:val="ListParagraph"/>
        <w:numPr>
          <w:ilvl w:val="0"/>
          <w:numId w:val="129"/>
        </w:numPr>
        <w:rPr>
          <w:szCs w:val="24"/>
        </w:rPr>
      </w:pPr>
      <w:r w:rsidRPr="00601399">
        <w:t>Information</w:t>
      </w:r>
      <w:r w:rsidRPr="0079408C">
        <w:rPr>
          <w:rFonts w:ascii="Calibri" w:hAnsi="Calibri" w:cs="Calibri"/>
          <w:color w:val="000000"/>
          <w:szCs w:val="24"/>
        </w:rPr>
        <w:t xml:space="preserve"> about the entity: name, point of contact, </w:t>
      </w:r>
      <w:r w:rsidR="00584958">
        <w:rPr>
          <w:rFonts w:ascii="Calibri" w:hAnsi="Calibri" w:cs="Calibri"/>
          <w:color w:val="000000"/>
          <w:szCs w:val="24"/>
        </w:rPr>
        <w:t xml:space="preserve">physical address, </w:t>
      </w:r>
      <w:r w:rsidRPr="0079408C">
        <w:rPr>
          <w:rFonts w:ascii="Calibri" w:hAnsi="Calibri" w:cs="Calibri"/>
          <w:color w:val="000000"/>
          <w:szCs w:val="24"/>
        </w:rPr>
        <w:t xml:space="preserve">and proposed type of </w:t>
      </w:r>
      <w:r w:rsidRPr="00601399">
        <w:rPr>
          <w:szCs w:val="24"/>
        </w:rPr>
        <w:t xml:space="preserve">involvement </w:t>
      </w:r>
      <w:r>
        <w:rPr>
          <w:szCs w:val="24"/>
        </w:rPr>
        <w:t>in</w:t>
      </w:r>
      <w:r w:rsidRPr="00601399">
        <w:rPr>
          <w:szCs w:val="24"/>
        </w:rPr>
        <w:t xml:space="preserve"> the </w:t>
      </w:r>
      <w:r>
        <w:rPr>
          <w:szCs w:val="24"/>
        </w:rPr>
        <w:t>project;</w:t>
      </w:r>
    </w:p>
    <w:p w14:paraId="235AE511" w14:textId="77777777" w:rsidR="00770892" w:rsidRPr="00E97F77" w:rsidRDefault="00770892" w:rsidP="00770892">
      <w:pPr>
        <w:pStyle w:val="ListParagraph"/>
        <w:numPr>
          <w:ilvl w:val="0"/>
          <w:numId w:val="129"/>
        </w:numPr>
        <w:rPr>
          <w:szCs w:val="24"/>
        </w:rPr>
      </w:pPr>
      <w:r w:rsidRPr="00601399">
        <w:rPr>
          <w:rFonts w:ascii="Calibri" w:hAnsi="Calibri" w:cs="Calibri"/>
          <w:color w:val="000000"/>
          <w:szCs w:val="24"/>
        </w:rPr>
        <w:t>Country of incorporation, the extent of the ownership/level control by foreign entities, whether the entity is state owned or controlled, a summary of the ownership breakdown of the foreign entity</w:t>
      </w:r>
      <w:r>
        <w:rPr>
          <w:rFonts w:ascii="Calibri" w:hAnsi="Calibri" w:cs="Calibri"/>
          <w:color w:val="000000"/>
          <w:szCs w:val="24"/>
        </w:rPr>
        <w:t>,</w:t>
      </w:r>
      <w:r w:rsidRPr="00601399">
        <w:rPr>
          <w:rFonts w:ascii="Calibri" w:hAnsi="Calibri" w:cs="Calibri"/>
          <w:color w:val="000000"/>
          <w:szCs w:val="24"/>
        </w:rPr>
        <w:t xml:space="preserve"> and the percentage of </w:t>
      </w:r>
      <w:r w:rsidRPr="00601399">
        <w:rPr>
          <w:rFonts w:ascii="Calibri" w:hAnsi="Calibri" w:cs="Calibri"/>
          <w:color w:val="000000"/>
          <w:szCs w:val="24"/>
        </w:rPr>
        <w:lastRenderedPageBreak/>
        <w:t xml:space="preserve">ownership/control by foreign entities, foreign shareholders, foreign state or foreign individuals; </w:t>
      </w:r>
    </w:p>
    <w:p w14:paraId="711272A2" w14:textId="77777777" w:rsidR="00770892" w:rsidRDefault="00770892" w:rsidP="00770892">
      <w:pPr>
        <w:pStyle w:val="ListParagraph"/>
        <w:numPr>
          <w:ilvl w:val="0"/>
          <w:numId w:val="129"/>
        </w:numPr>
      </w:pPr>
      <w:r w:rsidRPr="00C437E7">
        <w:t>The</w:t>
      </w:r>
      <w:r w:rsidRPr="001742F3">
        <w:rPr>
          <w:szCs w:val="24"/>
        </w:rPr>
        <w:t xml:space="preserve"> rationale for proposing a foreign entity</w:t>
      </w:r>
      <w:r>
        <w:t xml:space="preserve"> participate (must address criteria above);</w:t>
      </w:r>
    </w:p>
    <w:p w14:paraId="6BC4B4E9" w14:textId="77777777" w:rsidR="00770892" w:rsidRDefault="00770892" w:rsidP="00770892">
      <w:pPr>
        <w:pStyle w:val="ListParagraph"/>
        <w:numPr>
          <w:ilvl w:val="0"/>
          <w:numId w:val="129"/>
        </w:numPr>
      </w:pPr>
      <w:r w:rsidRPr="00120F39">
        <w:t>A description of the proje</w:t>
      </w:r>
      <w:r w:rsidRPr="009061D6">
        <w:t>ct’s anticipated contributions to the U</w:t>
      </w:r>
      <w:r>
        <w:t>nited States</w:t>
      </w:r>
      <w:r w:rsidRPr="009061D6">
        <w:t xml:space="preserve"> economy;</w:t>
      </w:r>
    </w:p>
    <w:p w14:paraId="745D4135" w14:textId="77777777" w:rsidR="00770892" w:rsidRDefault="00770892" w:rsidP="00770892">
      <w:pPr>
        <w:pStyle w:val="ListParagraph"/>
        <w:numPr>
          <w:ilvl w:val="2"/>
          <w:numId w:val="29"/>
        </w:numPr>
      </w:pPr>
      <w:r>
        <w:t>How the project will benefit the United States, including manufacturing, contributions to employment in the United States and growth in new markets and jobs in the United States;</w:t>
      </w:r>
    </w:p>
    <w:p w14:paraId="389B841E" w14:textId="77777777" w:rsidR="00770892" w:rsidRDefault="00770892" w:rsidP="00770892">
      <w:pPr>
        <w:pStyle w:val="ListParagraph"/>
        <w:numPr>
          <w:ilvl w:val="2"/>
          <w:numId w:val="29"/>
        </w:numPr>
      </w:pPr>
      <w:r>
        <w:t>How the project will promote manufacturing of products and/or services in the United States;</w:t>
      </w:r>
    </w:p>
    <w:p w14:paraId="41284219" w14:textId="77777777" w:rsidR="00770892" w:rsidRDefault="00770892" w:rsidP="00770892">
      <w:pPr>
        <w:pStyle w:val="ListParagraph"/>
        <w:numPr>
          <w:ilvl w:val="0"/>
          <w:numId w:val="129"/>
        </w:numPr>
      </w:pPr>
      <w:r>
        <w:t>A description of how the foreign entity’s participation is essential to the project;</w:t>
      </w:r>
    </w:p>
    <w:p w14:paraId="407C92B2" w14:textId="77777777" w:rsidR="00770892" w:rsidRPr="007362BA" w:rsidRDefault="00770892" w:rsidP="00770892">
      <w:pPr>
        <w:pStyle w:val="ListParagraph"/>
        <w:numPr>
          <w:ilvl w:val="0"/>
          <w:numId w:val="129"/>
        </w:numPr>
      </w:pPr>
      <w:r w:rsidRPr="00120F39">
        <w:t>A description of the likelihood of Intellectual Property (IP) being created from the work a</w:t>
      </w:r>
      <w:r w:rsidRPr="009061D6">
        <w:t>nd the treatment of any such IP;</w:t>
      </w:r>
      <w:r>
        <w:t xml:space="preserve"> and</w:t>
      </w:r>
    </w:p>
    <w:p w14:paraId="061499CC" w14:textId="77777777" w:rsidR="00770892" w:rsidRDefault="00770892" w:rsidP="00770892">
      <w:pPr>
        <w:pStyle w:val="ListParagraph"/>
        <w:numPr>
          <w:ilvl w:val="0"/>
          <w:numId w:val="129"/>
        </w:numPr>
      </w:pPr>
      <w:r>
        <w:t>Countries where the work will be performed (Note: if any work is proposed to be conducted outside the United States, the applicant must also complete a separate request foreign work waiver.)</w:t>
      </w:r>
    </w:p>
    <w:p w14:paraId="5F5CE67F" w14:textId="77777777" w:rsidR="00770892" w:rsidRDefault="00770892" w:rsidP="00770892"/>
    <w:p w14:paraId="0A03899B" w14:textId="77777777" w:rsidR="00770892" w:rsidRPr="0079408C" w:rsidRDefault="00770892" w:rsidP="00770892">
      <w:pPr>
        <w:autoSpaceDE w:val="0"/>
        <w:autoSpaceDN w:val="0"/>
        <w:adjustRightInd w:val="0"/>
        <w:ind w:left="720"/>
        <w:rPr>
          <w:rFonts w:ascii="Calibri" w:hAnsi="Calibri" w:cs="Calibri"/>
          <w:color w:val="000000"/>
          <w:szCs w:val="24"/>
        </w:rPr>
      </w:pPr>
      <w:r>
        <w:rPr>
          <w:rFonts w:ascii="Calibri" w:hAnsi="Calibri" w:cs="Calibri"/>
          <w:color w:val="000000"/>
          <w:szCs w:val="24"/>
        </w:rPr>
        <w:t>DO</w:t>
      </w:r>
      <w:r w:rsidRPr="0079408C">
        <w:rPr>
          <w:rFonts w:ascii="Calibri" w:hAnsi="Calibri" w:cs="Calibri"/>
          <w:color w:val="000000"/>
          <w:szCs w:val="24"/>
        </w:rPr>
        <w:t xml:space="preserve">E may also require: </w:t>
      </w:r>
    </w:p>
    <w:p w14:paraId="44C2AF43" w14:textId="77777777" w:rsidR="00770892" w:rsidRPr="0079408C" w:rsidRDefault="00770892" w:rsidP="00770892">
      <w:pPr>
        <w:pStyle w:val="ListParagraph"/>
        <w:numPr>
          <w:ilvl w:val="0"/>
          <w:numId w:val="111"/>
        </w:numPr>
        <w:autoSpaceDE w:val="0"/>
        <w:autoSpaceDN w:val="0"/>
        <w:adjustRightInd w:val="0"/>
        <w:ind w:left="1530"/>
        <w:rPr>
          <w:rFonts w:ascii="Calibri" w:hAnsi="Calibri" w:cs="Calibri"/>
          <w:color w:val="000000"/>
          <w:szCs w:val="24"/>
        </w:rPr>
      </w:pPr>
      <w:r w:rsidRPr="0079408C">
        <w:rPr>
          <w:rFonts w:ascii="Calibri" w:hAnsi="Calibri" w:cs="Calibri"/>
          <w:color w:val="000000"/>
          <w:szCs w:val="24"/>
        </w:rPr>
        <w:t>A risk assessment with respect to IP and data protection protocols that includes the export control risk based on the data protection protocols, the technology being developed</w:t>
      </w:r>
      <w:r>
        <w:rPr>
          <w:rFonts w:ascii="Calibri" w:hAnsi="Calibri" w:cs="Calibri"/>
          <w:color w:val="000000"/>
          <w:szCs w:val="24"/>
        </w:rPr>
        <w:t>,</w:t>
      </w:r>
      <w:r w:rsidRPr="0079408C">
        <w:rPr>
          <w:rFonts w:ascii="Calibri" w:hAnsi="Calibri" w:cs="Calibri"/>
          <w:color w:val="000000"/>
          <w:szCs w:val="24"/>
        </w:rPr>
        <w:t xml:space="preserve"> and the foreign entity and country. These submissions could be prepared by the project lead</w:t>
      </w:r>
      <w:r>
        <w:rPr>
          <w:rFonts w:ascii="Calibri" w:hAnsi="Calibri" w:cs="Calibri"/>
          <w:color w:val="000000"/>
          <w:szCs w:val="24"/>
        </w:rPr>
        <w:t xml:space="preserve"> (if not the prime recipient)</w:t>
      </w:r>
      <w:r w:rsidRPr="0079408C">
        <w:rPr>
          <w:rFonts w:ascii="Calibri" w:hAnsi="Calibri" w:cs="Calibri"/>
          <w:color w:val="000000"/>
          <w:szCs w:val="24"/>
        </w:rPr>
        <w:t>, but the prime recipient must make a representation to DOE as to whether it believes the data protection protocols are adequate and make a representation of the risk assessment – high, medium</w:t>
      </w:r>
      <w:r>
        <w:rPr>
          <w:rFonts w:ascii="Calibri" w:hAnsi="Calibri" w:cs="Calibri"/>
          <w:color w:val="000000"/>
          <w:szCs w:val="24"/>
        </w:rPr>
        <w:t>,</w:t>
      </w:r>
      <w:r w:rsidRPr="0079408C">
        <w:rPr>
          <w:rFonts w:ascii="Calibri" w:hAnsi="Calibri" w:cs="Calibri"/>
          <w:color w:val="000000"/>
          <w:szCs w:val="24"/>
        </w:rPr>
        <w:t xml:space="preserve"> or low risk of data leakage to a foreign entity. </w:t>
      </w:r>
    </w:p>
    <w:p w14:paraId="7BCA80C4" w14:textId="77777777" w:rsidR="00770892" w:rsidRPr="0079408C" w:rsidRDefault="00770892" w:rsidP="00770892">
      <w:pPr>
        <w:pStyle w:val="ListParagraph"/>
        <w:numPr>
          <w:ilvl w:val="0"/>
          <w:numId w:val="111"/>
        </w:numPr>
        <w:autoSpaceDE w:val="0"/>
        <w:autoSpaceDN w:val="0"/>
        <w:adjustRightInd w:val="0"/>
        <w:ind w:left="1530"/>
        <w:rPr>
          <w:rFonts w:ascii="Calibri" w:hAnsi="Calibri" w:cs="Calibri"/>
          <w:color w:val="000000"/>
          <w:szCs w:val="24"/>
        </w:rPr>
      </w:pPr>
      <w:r w:rsidRPr="0079408C">
        <w:rPr>
          <w:rFonts w:ascii="Calibri" w:hAnsi="Calibri" w:cs="Calibri"/>
          <w:color w:val="000000"/>
          <w:szCs w:val="24"/>
        </w:rPr>
        <w:t>Additional language be added to any agreement or subagreement to protect IP, mitigate risk</w:t>
      </w:r>
      <w:r>
        <w:rPr>
          <w:rFonts w:ascii="Calibri" w:hAnsi="Calibri" w:cs="Calibri"/>
          <w:color w:val="000000"/>
          <w:szCs w:val="24"/>
        </w:rPr>
        <w:t>,</w:t>
      </w:r>
      <w:r w:rsidRPr="0079408C">
        <w:rPr>
          <w:rFonts w:ascii="Calibri" w:hAnsi="Calibri" w:cs="Calibri"/>
          <w:color w:val="000000"/>
          <w:szCs w:val="24"/>
        </w:rPr>
        <w:t xml:space="preserve"> or other related purposes. </w:t>
      </w:r>
    </w:p>
    <w:p w14:paraId="22BAE0D5" w14:textId="77777777" w:rsidR="00770892" w:rsidRDefault="00770892" w:rsidP="00770892"/>
    <w:p w14:paraId="76500825" w14:textId="77777777" w:rsidR="00770892" w:rsidRDefault="00770892" w:rsidP="00770892">
      <w:pPr>
        <w:ind w:left="720"/>
      </w:pPr>
      <w:r>
        <w:t xml:space="preserve">DOE may require additional information before considering the waiver request. </w:t>
      </w:r>
    </w:p>
    <w:p w14:paraId="77555931" w14:textId="77777777" w:rsidR="00770892" w:rsidRDefault="00770892" w:rsidP="00770892">
      <w:pPr>
        <w:ind w:left="720"/>
      </w:pPr>
    </w:p>
    <w:p w14:paraId="204BA06B" w14:textId="77777777" w:rsidR="00770892" w:rsidRDefault="00770892" w:rsidP="00770892">
      <w:pPr>
        <w:ind w:left="720"/>
      </w:pPr>
      <w:r>
        <w:t>DOE’s decision concerning a waiver request is not appealable.</w:t>
      </w:r>
    </w:p>
    <w:p w14:paraId="1055E6D7" w14:textId="77777777" w:rsidR="00770892" w:rsidRDefault="00770892" w:rsidP="00770892"/>
    <w:p w14:paraId="17FBDF2E" w14:textId="36D9657C" w:rsidR="00770892" w:rsidRPr="00872882" w:rsidRDefault="00770892" w:rsidP="00770892">
      <w:pPr>
        <w:pStyle w:val="ListParagraph"/>
        <w:numPr>
          <w:ilvl w:val="0"/>
          <w:numId w:val="32"/>
        </w:numPr>
        <w:ind w:hanging="720"/>
      </w:pPr>
      <w:bookmarkStart w:id="840" w:name="_Hlk97654334"/>
      <w:r w:rsidRPr="00120F39">
        <w:rPr>
          <w:b/>
          <w:sz w:val="28"/>
          <w:szCs w:val="28"/>
        </w:rPr>
        <w:t>Performance of Work in the United States</w:t>
      </w:r>
      <w:r>
        <w:rPr>
          <w:b/>
          <w:sz w:val="28"/>
          <w:szCs w:val="28"/>
        </w:rPr>
        <w:t xml:space="preserve"> (Foreign Work Waiver</w:t>
      </w:r>
      <w:r w:rsidR="0090638D">
        <w:rPr>
          <w:b/>
          <w:sz w:val="28"/>
          <w:szCs w:val="28"/>
        </w:rPr>
        <w:t xml:space="preserve"> Request</w:t>
      </w:r>
      <w:r>
        <w:rPr>
          <w:b/>
          <w:sz w:val="28"/>
          <w:szCs w:val="28"/>
        </w:rPr>
        <w:t>)</w:t>
      </w:r>
    </w:p>
    <w:p w14:paraId="34ADA7B3" w14:textId="6E969D21" w:rsidR="00770892" w:rsidRPr="00AF2304" w:rsidRDefault="00770892" w:rsidP="00770892">
      <w:pPr>
        <w:spacing w:before="39"/>
        <w:ind w:left="720"/>
        <w:rPr>
          <w:rFonts w:eastAsia="Arial" w:cs="Arial"/>
          <w:spacing w:val="1"/>
          <w:szCs w:val="24"/>
        </w:rPr>
      </w:pPr>
      <w:bookmarkStart w:id="841" w:name="_Hlk97654450"/>
      <w:bookmarkEnd w:id="840"/>
      <w:r>
        <w:t xml:space="preserve">As set forth in </w:t>
      </w:r>
      <w:r w:rsidRPr="008B0D95">
        <w:t>Section IV.</w:t>
      </w:r>
      <w:r w:rsidR="00F55E4E">
        <w:t>J</w:t>
      </w:r>
      <w:r w:rsidRPr="008B0D95">
        <w:t>.iii.</w:t>
      </w:r>
      <w:r w:rsidRPr="003833E4">
        <w:t>,</w:t>
      </w:r>
      <w:r>
        <w:t xml:space="preserve"> all work funded under this FOA must be performed in the United States. </w:t>
      </w:r>
      <w:r w:rsidRPr="00120F39">
        <w:t>To seek a waiver of the P</w:t>
      </w:r>
      <w:r w:rsidRPr="009061D6">
        <w:t xml:space="preserve">erformance of Work in the United States requirement, the applicant must submit an explicit waiver request in the Full Application. </w:t>
      </w:r>
      <w:r w:rsidRPr="00AF2304">
        <w:rPr>
          <w:rFonts w:eastAsia="Arial" w:cs="Arial"/>
          <w:spacing w:val="1"/>
          <w:szCs w:val="24"/>
        </w:rPr>
        <w:t>A separate waiver request must be submitted for each entity proposing performance of work outside of the United States.</w:t>
      </w:r>
    </w:p>
    <w:p w14:paraId="05075C84" w14:textId="77777777" w:rsidR="00770892" w:rsidRDefault="00770892" w:rsidP="00770892">
      <w:pPr>
        <w:ind w:left="720"/>
        <w:rPr>
          <w:b/>
        </w:rPr>
      </w:pPr>
    </w:p>
    <w:p w14:paraId="0674E94E" w14:textId="77777777" w:rsidR="00770892" w:rsidRDefault="00770892" w:rsidP="00770892">
      <w:pPr>
        <w:ind w:left="720"/>
      </w:pPr>
      <w:r>
        <w:t xml:space="preserve">Overall, a waiver request must demonstrate to the satisfaction of DOE that it would further the purposes of this FOA and is otherwise in the economic interests of the </w:t>
      </w:r>
      <w:r>
        <w:lastRenderedPageBreak/>
        <w:t>United States to perform work outside of the United States. A request for a foreign work waiver must include the following:</w:t>
      </w:r>
    </w:p>
    <w:p w14:paraId="4E271566" w14:textId="77777777" w:rsidR="00770892" w:rsidRDefault="00770892" w:rsidP="00770892"/>
    <w:p w14:paraId="4C6CCF82" w14:textId="77777777" w:rsidR="00770892" w:rsidRPr="003B0ACC" w:rsidRDefault="00770892" w:rsidP="00770892">
      <w:pPr>
        <w:pStyle w:val="ListParagraph"/>
        <w:numPr>
          <w:ilvl w:val="0"/>
          <w:numId w:val="127"/>
        </w:numPr>
      </w:pPr>
      <w:r w:rsidRPr="00120F39">
        <w:t>The rationale for performing the work outside the U</w:t>
      </w:r>
      <w:r>
        <w:t>nited States</w:t>
      </w:r>
      <w:r w:rsidRPr="009061D6">
        <w:t xml:space="preserve"> (“foreign work”);</w:t>
      </w:r>
    </w:p>
    <w:p w14:paraId="056185D2" w14:textId="77777777" w:rsidR="00770892" w:rsidRPr="007362BA" w:rsidRDefault="00770892" w:rsidP="00770892">
      <w:pPr>
        <w:pStyle w:val="ListParagraph"/>
        <w:numPr>
          <w:ilvl w:val="0"/>
          <w:numId w:val="127"/>
        </w:numPr>
      </w:pPr>
      <w:r w:rsidRPr="00120F39">
        <w:t xml:space="preserve">A description of the work </w:t>
      </w:r>
      <w:r w:rsidRPr="009061D6">
        <w:t>proposed to be performed outside the U</w:t>
      </w:r>
      <w:r>
        <w:t>nited States</w:t>
      </w:r>
      <w:r w:rsidRPr="009061D6">
        <w:t>;</w:t>
      </w:r>
    </w:p>
    <w:p w14:paraId="095789BB" w14:textId="77777777" w:rsidR="00770892" w:rsidRPr="007362BA" w:rsidRDefault="00770892" w:rsidP="00770892">
      <w:pPr>
        <w:pStyle w:val="ListParagraph"/>
        <w:numPr>
          <w:ilvl w:val="0"/>
          <w:numId w:val="127"/>
        </w:numPr>
      </w:pPr>
      <w:r>
        <w:t>An explanation as to how the foreign work is essential to the project;</w:t>
      </w:r>
    </w:p>
    <w:p w14:paraId="7E4B8680" w14:textId="77777777" w:rsidR="00770892" w:rsidRDefault="00770892" w:rsidP="00770892">
      <w:pPr>
        <w:pStyle w:val="ListParagraph"/>
        <w:numPr>
          <w:ilvl w:val="0"/>
          <w:numId w:val="127"/>
        </w:numPr>
      </w:pPr>
      <w:r w:rsidRPr="00120F39">
        <w:t>A description of the anticipated benefits to be realized by the proposed foreign work and the anticipated contributions to the U</w:t>
      </w:r>
      <w:r>
        <w:t>.S.</w:t>
      </w:r>
      <w:r w:rsidRPr="00120F39">
        <w:t xml:space="preserve"> economy;</w:t>
      </w:r>
    </w:p>
    <w:p w14:paraId="3273C5DA" w14:textId="77777777" w:rsidR="00770892" w:rsidRDefault="00770892" w:rsidP="00770892">
      <w:pPr>
        <w:pStyle w:val="ListParagraph"/>
        <w:numPr>
          <w:ilvl w:val="0"/>
          <w:numId w:val="127"/>
        </w:numPr>
      </w:pPr>
      <w:r>
        <w:t>The associated benefits to be realized and the contribution to the project from the foreign work;</w:t>
      </w:r>
    </w:p>
    <w:p w14:paraId="1E79FEA9" w14:textId="77777777" w:rsidR="00770892" w:rsidRDefault="00770892" w:rsidP="00770892">
      <w:pPr>
        <w:pStyle w:val="ListParagraph"/>
        <w:numPr>
          <w:ilvl w:val="0"/>
          <w:numId w:val="127"/>
        </w:numPr>
      </w:pPr>
      <w:r>
        <w:t>How the foreign work will benefit the United States, including manufacturing, contributions to employment in the United States and growth in new markets and jobs in the United States;</w:t>
      </w:r>
    </w:p>
    <w:p w14:paraId="492B514A" w14:textId="77777777" w:rsidR="00770892" w:rsidRPr="007362BA" w:rsidRDefault="00770892" w:rsidP="00770892">
      <w:pPr>
        <w:pStyle w:val="ListParagraph"/>
        <w:numPr>
          <w:ilvl w:val="0"/>
          <w:numId w:val="127"/>
        </w:numPr>
      </w:pPr>
      <w:r>
        <w:t>How the foreign work will promote manufacturing of products and/or services in the United States;</w:t>
      </w:r>
    </w:p>
    <w:p w14:paraId="1DDA710E" w14:textId="77777777" w:rsidR="00770892" w:rsidRDefault="00770892" w:rsidP="00770892">
      <w:pPr>
        <w:pStyle w:val="ListParagraph"/>
        <w:numPr>
          <w:ilvl w:val="0"/>
          <w:numId w:val="127"/>
        </w:numPr>
      </w:pPr>
      <w:r w:rsidRPr="00120F39">
        <w:t xml:space="preserve">A description of the likelihood of IP being created from the </w:t>
      </w:r>
      <w:r w:rsidRPr="009061D6">
        <w:t>foreign work and the treatment of any such IP;</w:t>
      </w:r>
    </w:p>
    <w:p w14:paraId="602FF283" w14:textId="77777777" w:rsidR="00770892" w:rsidRPr="003B0ACC" w:rsidRDefault="00770892" w:rsidP="00770892">
      <w:pPr>
        <w:pStyle w:val="ListParagraph"/>
        <w:numPr>
          <w:ilvl w:val="0"/>
          <w:numId w:val="127"/>
        </w:numPr>
      </w:pPr>
      <w:r w:rsidRPr="00120F39">
        <w:t xml:space="preserve">The total estimated cost (DOE and </w:t>
      </w:r>
      <w:r>
        <w:t>r</w:t>
      </w:r>
      <w:r w:rsidRPr="00120F39">
        <w:t>ecipie</w:t>
      </w:r>
      <w:r w:rsidRPr="009061D6">
        <w:t>nt cost share) of the proposed foreign work;</w:t>
      </w:r>
    </w:p>
    <w:p w14:paraId="2A776FEC" w14:textId="77777777" w:rsidR="00770892" w:rsidRPr="007362BA" w:rsidRDefault="00770892" w:rsidP="00770892">
      <w:pPr>
        <w:pStyle w:val="ListParagraph"/>
        <w:numPr>
          <w:ilvl w:val="0"/>
          <w:numId w:val="127"/>
        </w:numPr>
      </w:pPr>
      <w:r w:rsidRPr="00120F39">
        <w:t>The countr</w:t>
      </w:r>
      <w:r w:rsidRPr="009061D6">
        <w:t>ies in which the foreign work is proposed to be performed; and</w:t>
      </w:r>
    </w:p>
    <w:p w14:paraId="430D6C87" w14:textId="77777777" w:rsidR="00770892" w:rsidRDefault="00770892" w:rsidP="00770892">
      <w:pPr>
        <w:pStyle w:val="ListParagraph"/>
        <w:numPr>
          <w:ilvl w:val="0"/>
          <w:numId w:val="127"/>
        </w:numPr>
      </w:pPr>
      <w:r w:rsidRPr="00120F39">
        <w:t>The name of the entity that would perform the foreign work.</w:t>
      </w:r>
    </w:p>
    <w:p w14:paraId="75094EEE" w14:textId="77777777" w:rsidR="00770892" w:rsidRDefault="00770892" w:rsidP="00770892">
      <w:pPr>
        <w:ind w:left="720"/>
      </w:pPr>
    </w:p>
    <w:p w14:paraId="01260324" w14:textId="77777777" w:rsidR="00770892" w:rsidRDefault="00770892" w:rsidP="00770892">
      <w:pPr>
        <w:ind w:firstLine="720"/>
      </w:pPr>
      <w:r>
        <w:t xml:space="preserve">DOE may require additional information before considering the waiver request. </w:t>
      </w:r>
    </w:p>
    <w:p w14:paraId="2A53272A" w14:textId="77777777" w:rsidR="00770892" w:rsidRDefault="00770892" w:rsidP="00770892">
      <w:pPr>
        <w:ind w:left="720"/>
      </w:pPr>
    </w:p>
    <w:p w14:paraId="53123ABE" w14:textId="77777777" w:rsidR="00770892" w:rsidRDefault="00770892" w:rsidP="00770892">
      <w:pPr>
        <w:ind w:left="720"/>
      </w:pPr>
      <w:r>
        <w:t xml:space="preserve">DOE’s decision concerning a waiver request is not appealable. </w:t>
      </w:r>
    </w:p>
    <w:bookmarkEnd w:id="841"/>
    <w:p w14:paraId="7D64711C" w14:textId="77777777" w:rsidR="00770892" w:rsidRDefault="00770892" w:rsidP="00770892">
      <w:pPr>
        <w:ind w:left="720"/>
        <w:rPr>
          <w:rFonts w:ascii="Calibri" w:eastAsiaTheme="minorHAnsi" w:hAnsi="Calibri" w:cstheme="minorBidi"/>
          <w:b/>
          <w:smallCaps/>
          <w:sz w:val="36"/>
          <w:szCs w:val="40"/>
        </w:rPr>
      </w:pPr>
      <w:r>
        <w:br w:type="page"/>
      </w:r>
    </w:p>
    <w:p w14:paraId="11543EDA" w14:textId="77777777" w:rsidR="00770892" w:rsidRDefault="00770892" w:rsidP="00770892">
      <w:pPr>
        <w:pStyle w:val="AppendixHeading"/>
        <w:outlineLvl w:val="0"/>
        <w:sectPr w:rsidR="00770892" w:rsidSect="002B6C14">
          <w:pgSz w:w="12240" w:h="15840" w:code="1"/>
          <w:pgMar w:top="1440" w:right="1440" w:bottom="1440" w:left="1440" w:header="720" w:footer="432" w:gutter="0"/>
          <w:cols w:space="720"/>
          <w:docGrid w:linePitch="360"/>
        </w:sectPr>
      </w:pPr>
    </w:p>
    <w:p w14:paraId="67FBF873" w14:textId="77777777" w:rsidR="00770892" w:rsidRDefault="00770892" w:rsidP="00770892">
      <w:pPr>
        <w:rPr>
          <w:highlight w:val="green"/>
        </w:rPr>
      </w:pPr>
      <w:bookmarkStart w:id="842" w:name="_Toc110346658"/>
    </w:p>
    <w:p w14:paraId="235F470F" w14:textId="60FF5DF3" w:rsidR="00770892" w:rsidRPr="00775436" w:rsidRDefault="00770892" w:rsidP="00775436">
      <w:pPr>
        <w:pStyle w:val="AppendixHeading"/>
        <w:outlineLvl w:val="0"/>
      </w:pPr>
      <w:bookmarkStart w:id="843" w:name="_Toc140061055"/>
      <w:bookmarkStart w:id="844" w:name="_Toc176864556"/>
      <w:r w:rsidRPr="00C442F9">
        <w:t xml:space="preserve">Appendix </w:t>
      </w:r>
      <w:r w:rsidR="00775436" w:rsidRPr="008B0D95">
        <w:t>D</w:t>
      </w:r>
      <w:r w:rsidR="00775436">
        <w:t xml:space="preserve"> </w:t>
      </w:r>
      <w:r w:rsidR="00775436" w:rsidRPr="00C442F9">
        <w:t>– Required Use of American Iron, Steel, Manufactured Products, and Construction Materials</w:t>
      </w:r>
      <w:r w:rsidR="00775436">
        <w:t xml:space="preserve"> </w:t>
      </w:r>
      <w:r w:rsidR="00775436" w:rsidRPr="00C442F9">
        <w:rPr>
          <w:bCs/>
          <w:szCs w:val="36"/>
        </w:rPr>
        <w:t>Buy America Requirements for Infrastructure Projects</w:t>
      </w:r>
      <w:bookmarkEnd w:id="842"/>
      <w:bookmarkEnd w:id="843"/>
      <w:bookmarkEnd w:id="844"/>
    </w:p>
    <w:p w14:paraId="1935C87E" w14:textId="77777777" w:rsidR="00770892" w:rsidRPr="00C442F9" w:rsidRDefault="00770892" w:rsidP="00770892"/>
    <w:p w14:paraId="3F594C89" w14:textId="77777777" w:rsidR="00770892" w:rsidRPr="00C442F9" w:rsidRDefault="00770892" w:rsidP="00770892">
      <w:pPr>
        <w:rPr>
          <w:b/>
          <w:bCs/>
        </w:rPr>
      </w:pPr>
      <w:r w:rsidRPr="00C442F9">
        <w:rPr>
          <w:b/>
          <w:bCs/>
        </w:rPr>
        <w:t>A. Definitions</w:t>
      </w:r>
    </w:p>
    <w:p w14:paraId="5FD9F78A" w14:textId="77777777" w:rsidR="00770892" w:rsidRPr="00C442F9" w:rsidRDefault="00770892" w:rsidP="00770892">
      <w:r w:rsidRPr="00C442F9">
        <w:t xml:space="preserve">For purposes of the Buy America requirements, </w:t>
      </w:r>
      <w:r w:rsidRPr="00C442F9">
        <w:rPr>
          <w:szCs w:val="24"/>
        </w:rPr>
        <w:t xml:space="preserve">based both on the statute and OMB Guidance Document dated April 18, 2022, </w:t>
      </w:r>
      <w:r w:rsidRPr="00C442F9">
        <w:t>the following definitions apply:</w:t>
      </w:r>
    </w:p>
    <w:p w14:paraId="47FA45D2" w14:textId="77777777" w:rsidR="00770892" w:rsidRPr="00C442F9" w:rsidRDefault="00770892" w:rsidP="00770892"/>
    <w:p w14:paraId="67555736" w14:textId="77777777" w:rsidR="00770892" w:rsidRPr="00C442F9" w:rsidRDefault="00770892" w:rsidP="00770892">
      <w:r w:rsidRPr="00C442F9">
        <w:rPr>
          <w:b/>
          <w:bCs/>
          <w:i/>
          <w:iCs/>
        </w:rPr>
        <w:t>Construction materials</w:t>
      </w:r>
      <w:r w:rsidRPr="00C442F9">
        <w:t xml:space="preserve"> includes an article, material, or supply—other than an item of primarily iron or steel; a manufactured product; cement and cementitious materials; aggregates such as stone, sand, or gravel; or aggregate binding agents or additives</w:t>
      </w:r>
      <w:r w:rsidRPr="00C442F9">
        <w:rPr>
          <w:rStyle w:val="FootnoteReference"/>
        </w:rPr>
        <w:footnoteReference w:id="56"/>
      </w:r>
      <w:r w:rsidRPr="00C442F9">
        <w:t xml:space="preserve"> —that is or consists primarily of: </w:t>
      </w:r>
    </w:p>
    <w:p w14:paraId="4FFFAF39" w14:textId="77777777" w:rsidR="00770892" w:rsidRPr="00C442F9" w:rsidRDefault="00770892" w:rsidP="00770892">
      <w:pPr>
        <w:ind w:left="720"/>
      </w:pPr>
      <w:r w:rsidRPr="00C442F9">
        <w:t xml:space="preserve">• Non-ferrous metals; </w:t>
      </w:r>
    </w:p>
    <w:p w14:paraId="1EF1FA2C" w14:textId="77777777" w:rsidR="00770892" w:rsidRPr="00C442F9" w:rsidRDefault="00770892" w:rsidP="00770892">
      <w:pPr>
        <w:ind w:left="720"/>
      </w:pPr>
      <w:r w:rsidRPr="00C442F9">
        <w:t xml:space="preserve">• Plastic and polymer-based products (including polyvinylchloride, composite building materials, and polymers used in fiber optic cables); </w:t>
      </w:r>
    </w:p>
    <w:p w14:paraId="44172301" w14:textId="77777777" w:rsidR="00770892" w:rsidRPr="00C442F9" w:rsidRDefault="00770892" w:rsidP="00770892">
      <w:pPr>
        <w:ind w:left="720"/>
      </w:pPr>
      <w:r w:rsidRPr="00C442F9">
        <w:t xml:space="preserve">• Glass (including optic glass); </w:t>
      </w:r>
    </w:p>
    <w:p w14:paraId="46A6BFF8" w14:textId="77777777" w:rsidR="00770892" w:rsidRPr="00C442F9" w:rsidRDefault="00770892" w:rsidP="00770892">
      <w:pPr>
        <w:ind w:left="720"/>
      </w:pPr>
      <w:r w:rsidRPr="00C442F9">
        <w:t xml:space="preserve">• Lumber; or </w:t>
      </w:r>
    </w:p>
    <w:p w14:paraId="061F686F" w14:textId="77777777" w:rsidR="00770892" w:rsidRPr="00C442F9" w:rsidRDefault="00770892" w:rsidP="00770892">
      <w:pPr>
        <w:ind w:left="720"/>
      </w:pPr>
      <w:r w:rsidRPr="00C442F9">
        <w:t>• Drywall.</w:t>
      </w:r>
    </w:p>
    <w:p w14:paraId="7DF62DE8" w14:textId="77777777" w:rsidR="00770892" w:rsidRPr="00C442F9" w:rsidRDefault="00770892" w:rsidP="00770892">
      <w:pPr>
        <w:ind w:left="720"/>
      </w:pPr>
    </w:p>
    <w:p w14:paraId="684C1756" w14:textId="77777777" w:rsidR="00770892" w:rsidRPr="00C442F9" w:rsidRDefault="00770892" w:rsidP="00770892">
      <w:pPr>
        <w:pStyle w:val="FOATemplateBody"/>
      </w:pPr>
      <w:r w:rsidRPr="00C442F9">
        <w:rPr>
          <w:b/>
          <w:bCs/>
          <w:i/>
          <w:iCs/>
        </w:rPr>
        <w:t>Infrastructure</w:t>
      </w:r>
      <w:r w:rsidRPr="00C442F9">
        <w:t xml:space="preserve"> includes, at a minimum, the structures, facilities, and equipment for, in the United States, roads, highways, and bridges; public transportation; dams, ports, harbors, and other maritime facilities; intercity passenger and freight railroads; freight and intermodal facilities; airports; water systems, including drinking water and wastewater systems; electrical transmission facilities and systems; utilities; broadband infrastructure; and buildings and real property. Infrastructure includes facilities that generate, transport, and distribute energy. </w:t>
      </w:r>
    </w:p>
    <w:p w14:paraId="4A283A66" w14:textId="77777777" w:rsidR="00770892" w:rsidRPr="00C442F9" w:rsidRDefault="00770892" w:rsidP="00770892">
      <w:pPr>
        <w:pStyle w:val="FOATemplateBody"/>
      </w:pPr>
    </w:p>
    <w:p w14:paraId="04553413" w14:textId="77777777" w:rsidR="00770892" w:rsidRPr="00C442F9" w:rsidRDefault="00770892" w:rsidP="00770892">
      <w:pPr>
        <w:rPr>
          <w:rFonts w:ascii="Calibri" w:eastAsia="Calibri" w:hAnsi="Calibri" w:cs="Calibri"/>
          <w:szCs w:val="24"/>
        </w:rPr>
      </w:pPr>
      <w:r w:rsidRPr="00C442F9">
        <w:rPr>
          <w:rFonts w:ascii="Calibri" w:eastAsia="Calibri" w:hAnsi="Calibri" w:cs="Calibri"/>
          <w:szCs w:val="24"/>
        </w:rPr>
        <w:t>Moreover, according to the OMB guidance document:</w:t>
      </w:r>
    </w:p>
    <w:p w14:paraId="53BB6849" w14:textId="77777777" w:rsidR="00770892" w:rsidRPr="00C442F9" w:rsidRDefault="00770892" w:rsidP="00770892">
      <w:pPr>
        <w:rPr>
          <w:rFonts w:ascii="Calibri" w:eastAsia="Calibri" w:hAnsi="Calibri" w:cs="Calibri"/>
          <w:szCs w:val="24"/>
          <w:u w:val="single"/>
        </w:rPr>
      </w:pPr>
    </w:p>
    <w:p w14:paraId="579C98E0" w14:textId="77777777" w:rsidR="00770892" w:rsidRPr="00C442F9" w:rsidRDefault="00770892" w:rsidP="00770892">
      <w:pPr>
        <w:ind w:left="720" w:right="720"/>
        <w:jc w:val="both"/>
        <w:rPr>
          <w:rFonts w:ascii="Calibri" w:eastAsia="Calibri" w:hAnsi="Calibri" w:cs="Calibri"/>
          <w:szCs w:val="24"/>
        </w:rPr>
      </w:pPr>
      <w:r w:rsidRPr="00C442F9">
        <w:rPr>
          <w:rFonts w:ascii="Calibri" w:eastAsia="Calibri" w:hAnsi="Calibri" w:cs="Calibri"/>
          <w:szCs w:val="24"/>
        </w:rPr>
        <w:t xml:space="preserve">When determining if a program has infrastructure expenditures, Federal agencies should interpret the term “infrastructure” broadly and consider the definition provided above as illustrative and not exhaustive. When determining if a particular construction project of a type not listed in the definition above constitutes “infrastructure,” agencies should consider whether the project will serve a public function, including whether the project is publicly owned and operated, privately operated on behalf of the public, or is a place of public accommodation, as opposed to a project that is privately owned and not open to the public. Projects with the former qualities have greater indicia of infrastructure, while projects with the latter quality have fewer. Projects consisting solely of the </w:t>
      </w:r>
      <w:r w:rsidRPr="00C442F9">
        <w:rPr>
          <w:rFonts w:ascii="Calibri" w:eastAsia="Calibri" w:hAnsi="Calibri" w:cs="Calibri"/>
          <w:szCs w:val="24"/>
        </w:rPr>
        <w:lastRenderedPageBreak/>
        <w:t>purchase, construction, or improvement of a private home for personal use, for example, would not constitute an infrastructure project.</w:t>
      </w:r>
    </w:p>
    <w:p w14:paraId="2DA1B9D8" w14:textId="77777777" w:rsidR="00770892" w:rsidRPr="00C442F9" w:rsidRDefault="00770892" w:rsidP="00770892">
      <w:pPr>
        <w:pStyle w:val="FOATemplateBody"/>
      </w:pPr>
    </w:p>
    <w:p w14:paraId="30635F99" w14:textId="77777777" w:rsidR="00770892" w:rsidRPr="00C442F9" w:rsidRDefault="00770892" w:rsidP="00770892">
      <w:pPr>
        <w:pStyle w:val="FOATemplateBody"/>
      </w:pPr>
      <w:r w:rsidRPr="00C442F9">
        <w:t xml:space="preserve">The Agency, not the applicant, will have the final say as to whether a given project includes infrastructure, as defined herein. </w:t>
      </w:r>
      <w:r w:rsidRPr="00C442F9">
        <w:rPr>
          <w:u w:val="single"/>
        </w:rPr>
        <w:t>Accordingly, in cases where the “public” nature of the infrastructure is unclear but the other relevant criteria are met, DOE strongly recommends that applicants complete their full application with the assumption that Buy America requirements will apply to the proposed project.</w:t>
      </w:r>
    </w:p>
    <w:p w14:paraId="6F573909" w14:textId="77777777" w:rsidR="00770892" w:rsidRPr="00C442F9" w:rsidRDefault="00770892" w:rsidP="00770892">
      <w:pPr>
        <w:pStyle w:val="FOATemplateBody"/>
      </w:pPr>
    </w:p>
    <w:p w14:paraId="003400EA" w14:textId="77777777" w:rsidR="00770892" w:rsidRPr="00C442F9" w:rsidRDefault="00770892" w:rsidP="00770892">
      <w:pPr>
        <w:pStyle w:val="FOATemplateBody"/>
        <w:rPr>
          <w:b/>
          <w:bCs/>
        </w:rPr>
      </w:pPr>
      <w:r w:rsidRPr="00C442F9">
        <w:rPr>
          <w:b/>
          <w:bCs/>
          <w:i/>
          <w:iCs/>
        </w:rPr>
        <w:t>Project</w:t>
      </w:r>
      <w:r w:rsidRPr="00C442F9">
        <w:t xml:space="preserve"> means the construction, alteration, maintenance, or repair of infrastructure in the United States.</w:t>
      </w:r>
    </w:p>
    <w:p w14:paraId="6613C12F" w14:textId="77777777" w:rsidR="00770892" w:rsidRPr="00C442F9" w:rsidRDefault="00770892" w:rsidP="00770892">
      <w:pPr>
        <w:rPr>
          <w:b/>
          <w:bCs/>
        </w:rPr>
      </w:pPr>
    </w:p>
    <w:p w14:paraId="1EE7206A" w14:textId="77777777" w:rsidR="00770892" w:rsidRPr="00C442F9" w:rsidRDefault="00770892" w:rsidP="00770892">
      <w:pPr>
        <w:rPr>
          <w:b/>
          <w:bCs/>
        </w:rPr>
      </w:pPr>
      <w:r w:rsidRPr="00C442F9">
        <w:rPr>
          <w:b/>
          <w:bCs/>
        </w:rPr>
        <w:t>B. Buy America Requirements for Infrastructure Projects (“Buy America” requirements)</w:t>
      </w:r>
    </w:p>
    <w:p w14:paraId="23D3396F" w14:textId="77777777" w:rsidR="00770892" w:rsidRPr="00C442F9" w:rsidRDefault="00770892" w:rsidP="00770892">
      <w:r w:rsidRPr="00C442F9">
        <w:t xml:space="preserve">In accordance with Section 70914 of the BIL, none of the project funds (includes federal share and recipient cost share) may be used for a project for infrastructure unless: </w:t>
      </w:r>
    </w:p>
    <w:p w14:paraId="794F1044" w14:textId="77777777" w:rsidR="00770892" w:rsidRPr="00C442F9" w:rsidRDefault="00770892" w:rsidP="00770892"/>
    <w:p w14:paraId="693002B4" w14:textId="77777777" w:rsidR="00770892" w:rsidRPr="00C442F9" w:rsidRDefault="00770892" w:rsidP="00770892">
      <w:pPr>
        <w:ind w:left="720"/>
      </w:pPr>
      <w:r w:rsidRPr="00C442F9">
        <w:t xml:space="preserve">(1) all iron and steel used in the project are produced in the United States--this means all manufacturing processes, from the initial melting stage through the application of coatings, occurred in the United States; </w:t>
      </w:r>
    </w:p>
    <w:p w14:paraId="71E492EC" w14:textId="77777777" w:rsidR="00770892" w:rsidRPr="00C442F9" w:rsidRDefault="00770892" w:rsidP="00770892">
      <w:pPr>
        <w:ind w:left="720"/>
      </w:pPr>
    </w:p>
    <w:p w14:paraId="68E55846" w14:textId="77777777" w:rsidR="00770892" w:rsidRPr="00C442F9" w:rsidRDefault="00770892" w:rsidP="00770892">
      <w:pPr>
        <w:ind w:left="720"/>
      </w:pPr>
      <w:r w:rsidRPr="00C442F9">
        <w:t xml:space="preserve">(2) all manufactured products used in the project are produced in the United States—this means the manufactured product was manufactured in the United States; and the cost of the components of the manufactured product that are mined, produced, or manufactured in the United States is greater than 55 percent of the total cost of all components of the manufactured product, unless another standard for determining the minimum amount of domestic content of the manufactured product has been established under applicable law or regulation; and </w:t>
      </w:r>
    </w:p>
    <w:p w14:paraId="41786F0A" w14:textId="77777777" w:rsidR="00770892" w:rsidRPr="00C442F9" w:rsidRDefault="00770892" w:rsidP="00770892">
      <w:pPr>
        <w:ind w:left="720"/>
      </w:pPr>
    </w:p>
    <w:p w14:paraId="4448A4E7" w14:textId="77777777" w:rsidR="00770892" w:rsidRPr="00C442F9" w:rsidRDefault="00770892" w:rsidP="00770892">
      <w:pPr>
        <w:ind w:left="720"/>
      </w:pPr>
      <w:r w:rsidRPr="00C442F9">
        <w:t>(3) all construction materials</w:t>
      </w:r>
      <w:r w:rsidRPr="00C442F9">
        <w:rPr>
          <w:rStyle w:val="FootnoteReference"/>
        </w:rPr>
        <w:footnoteReference w:id="57"/>
      </w:r>
      <w:r w:rsidRPr="00C442F9">
        <w:t xml:space="preserve"> are produced in the United States—this means that all manufacturing processes for the construction material occurred in the United States. </w:t>
      </w:r>
    </w:p>
    <w:p w14:paraId="31EB1CB1" w14:textId="77777777" w:rsidR="00770892" w:rsidRPr="00C442F9" w:rsidRDefault="00770892" w:rsidP="00770892">
      <w:pPr>
        <w:ind w:left="720"/>
      </w:pPr>
    </w:p>
    <w:p w14:paraId="23B885EC" w14:textId="77777777" w:rsidR="00770892" w:rsidRPr="00C442F9" w:rsidRDefault="00770892" w:rsidP="00770892">
      <w:r w:rsidRPr="00C442F9">
        <w:t>The Buy America requirements only apply to articles, materials, and supplies that are consumed in, incorporated into, or affixed to an infrastructure project. As such, it does not apply to tools, equipment, and supplies, such as temporary scaffolding, brought to the construction site and removed at or before the completion of the infrastructure project. Nor does the Buy America requirements apply to equipment and furnishings, such as movable chairs, desks, and portable computer equipment, that are used at or within the finished infrastructure project, but are not an integral part of the structure or permanently affixed to the infrastructure project.</w:t>
      </w:r>
    </w:p>
    <w:p w14:paraId="78F67D7B" w14:textId="77777777" w:rsidR="00770892" w:rsidRPr="00C442F9" w:rsidRDefault="00770892" w:rsidP="00770892"/>
    <w:p w14:paraId="2338D437" w14:textId="19F186D1" w:rsidR="00770892" w:rsidRPr="00C442F9" w:rsidRDefault="00770892" w:rsidP="00770892">
      <w:r w:rsidRPr="00C442F9">
        <w:lastRenderedPageBreak/>
        <w:t xml:space="preserve">These requirements must flow down to all sub-awards, all contracts, </w:t>
      </w:r>
      <w:r w:rsidR="005F2A3E" w:rsidRPr="00C442F9">
        <w:t>subcontracts,</w:t>
      </w:r>
      <w:r w:rsidRPr="00C442F9">
        <w:t xml:space="preserve"> and purchase orders for work performed under the proposed project</w:t>
      </w:r>
      <w:r w:rsidRPr="00C442F9">
        <w:rPr>
          <w:szCs w:val="24"/>
        </w:rPr>
        <w:t xml:space="preserve">, except where the prime recipient is a for-profit entity. Based on guidance from the Office of Management and Budget (OMB), the Buy America requirements of the BIL do not apply to DOE projects in which the prime recipient is a for-profit entity; the requirements only apply to projects whose prime recipient is a State, local government, Indian </w:t>
      </w:r>
      <w:r w:rsidR="0092727C">
        <w:rPr>
          <w:szCs w:val="24"/>
        </w:rPr>
        <w:t>Tribe</w:t>
      </w:r>
      <w:r w:rsidRPr="00C442F9">
        <w:rPr>
          <w:szCs w:val="24"/>
        </w:rPr>
        <w:t>, Institution of Higher Education, or non-profit organization</w:t>
      </w:r>
      <w:r w:rsidRPr="00C442F9">
        <w:t>.</w:t>
      </w:r>
    </w:p>
    <w:p w14:paraId="5632179F" w14:textId="77777777" w:rsidR="00770892" w:rsidRPr="00C442F9" w:rsidRDefault="00770892" w:rsidP="00770892"/>
    <w:p w14:paraId="5AC12034" w14:textId="3407ED5A" w:rsidR="00770892" w:rsidRPr="00C442F9" w:rsidRDefault="00770892" w:rsidP="00770892">
      <w:r w:rsidRPr="00C442F9">
        <w:rPr>
          <w:rFonts w:ascii="TT13Et00" w:hAnsi="TT13Et00"/>
        </w:rPr>
        <w:t xml:space="preserve">For additional information related to the application and implementation of these Buy America requirements, please see OMB Memorandum M-22-11, issued April 18, 2022: </w:t>
      </w:r>
    </w:p>
    <w:p w14:paraId="3DFD44E1" w14:textId="77777777" w:rsidR="00770892" w:rsidRPr="00C442F9" w:rsidRDefault="00770892" w:rsidP="00770892"/>
    <w:p w14:paraId="38484B59" w14:textId="77777777" w:rsidR="00770892" w:rsidRPr="00C442F9" w:rsidRDefault="00770892" w:rsidP="00770892">
      <w:pPr>
        <w:rPr>
          <w:szCs w:val="24"/>
        </w:rPr>
      </w:pPr>
      <w:r w:rsidRPr="00C442F9">
        <w:rPr>
          <w:szCs w:val="24"/>
        </w:rPr>
        <w:t>Note that for all applicants—both non-Federal entities and for-profit entities—DOE is including a Program Policy Factor that the Selection Official may consider in determining which Full Applications to select for award negotiations that considers whether the applicant has made a commitment to procure U.S. iron, steel, manufactured products, and construction materials in its project. </w:t>
      </w:r>
    </w:p>
    <w:p w14:paraId="487F667B" w14:textId="77777777" w:rsidR="00770892" w:rsidRPr="00C442F9" w:rsidRDefault="00770892" w:rsidP="00770892">
      <w:pPr>
        <w:rPr>
          <w:szCs w:val="24"/>
        </w:rPr>
      </w:pPr>
    </w:p>
    <w:p w14:paraId="5A8B4BA8" w14:textId="77777777" w:rsidR="00770892" w:rsidRPr="00C442F9" w:rsidRDefault="00770892" w:rsidP="00770892">
      <w:r w:rsidRPr="00C442F9">
        <w:rPr>
          <w:b/>
        </w:rPr>
        <w:t>C. Waivers</w:t>
      </w:r>
      <w:r w:rsidRPr="00C442F9">
        <w:t xml:space="preserve"> </w:t>
      </w:r>
    </w:p>
    <w:p w14:paraId="2CE2571B" w14:textId="77777777" w:rsidR="00770892" w:rsidRPr="00C442F9" w:rsidRDefault="00770892" w:rsidP="00770892">
      <w:pPr>
        <w:pStyle w:val="paragraph"/>
        <w:spacing w:before="0" w:beforeAutospacing="0" w:after="0" w:afterAutospacing="0"/>
        <w:textAlignment w:val="baseline"/>
        <w:rPr>
          <w:rStyle w:val="normaltextrun"/>
          <w:rFonts w:ascii="Calibri" w:hAnsi="Calibri" w:cs="Calibri"/>
          <w:szCs w:val="20"/>
        </w:rPr>
      </w:pPr>
      <w:r w:rsidRPr="00C442F9">
        <w:rPr>
          <w:rStyle w:val="normaltextrun"/>
          <w:rFonts w:ascii="Calibri" w:hAnsi="Calibri" w:cs="Calibri"/>
        </w:rPr>
        <w:t xml:space="preserve">The DOE financial assistance agreement will require each recipient: (1) to fulfill the commitments made in its application regarding the procurement of U.S.-produced products and (2) to fulfill the commitments made in its application regarding the procurement of other key component metals and domestically manufactured products that are deemed available in sufficient and reasonably available quantities or of a satisfactory quality at the time of award negotiation. </w:t>
      </w:r>
    </w:p>
    <w:p w14:paraId="02346FF1" w14:textId="77777777" w:rsidR="00770892" w:rsidRPr="00C442F9" w:rsidRDefault="00770892" w:rsidP="00770892">
      <w:pPr>
        <w:pStyle w:val="paragraph"/>
        <w:spacing w:before="0" w:beforeAutospacing="0" w:after="0" w:afterAutospacing="0"/>
        <w:textAlignment w:val="baseline"/>
        <w:rPr>
          <w:rStyle w:val="eop"/>
          <w:rFonts w:ascii="Calibri" w:hAnsi="Calibri" w:cs="Calibri"/>
        </w:rPr>
      </w:pPr>
    </w:p>
    <w:p w14:paraId="30B72ED1" w14:textId="77777777" w:rsidR="00770892" w:rsidRPr="00C442F9" w:rsidRDefault="00770892" w:rsidP="00770892">
      <w:r w:rsidRPr="00C442F9">
        <w:t xml:space="preserve">In limited circumstances, DOE may waive the application of the Buy America requirements where DOE determines that: </w:t>
      </w:r>
    </w:p>
    <w:p w14:paraId="7E8BDF97" w14:textId="77777777" w:rsidR="00770892" w:rsidRPr="00C442F9" w:rsidRDefault="00770892" w:rsidP="00770892"/>
    <w:p w14:paraId="570DA8A1" w14:textId="77777777" w:rsidR="00770892" w:rsidRPr="00C442F9" w:rsidRDefault="00770892" w:rsidP="00770892">
      <w:pPr>
        <w:ind w:left="720"/>
      </w:pPr>
      <w:r w:rsidRPr="00C442F9">
        <w:t xml:space="preserve">(1) Applying the Buy America requirements would be inconsistent with the public interest; </w:t>
      </w:r>
    </w:p>
    <w:p w14:paraId="420AFD3B" w14:textId="77777777" w:rsidR="00770892" w:rsidRPr="00C442F9" w:rsidRDefault="00770892" w:rsidP="00770892">
      <w:pPr>
        <w:ind w:left="720"/>
      </w:pPr>
    </w:p>
    <w:p w14:paraId="3AA1AAFB" w14:textId="77777777" w:rsidR="00770892" w:rsidRPr="00C442F9" w:rsidRDefault="00770892" w:rsidP="00770892">
      <w:pPr>
        <w:ind w:left="720"/>
      </w:pPr>
      <w:r w:rsidRPr="00C442F9">
        <w:t xml:space="preserve">(2) The types of iron, steel, manufactured products, or construction materials are not produced in the United States in sufficient and reasonably available quantities or of a satisfactory quality; or </w:t>
      </w:r>
    </w:p>
    <w:p w14:paraId="67294443" w14:textId="77777777" w:rsidR="00770892" w:rsidRPr="00C442F9" w:rsidRDefault="00770892" w:rsidP="00770892">
      <w:pPr>
        <w:ind w:left="720"/>
      </w:pPr>
    </w:p>
    <w:p w14:paraId="352C9974" w14:textId="77777777" w:rsidR="00770892" w:rsidRPr="00C442F9" w:rsidRDefault="00770892" w:rsidP="00770892">
      <w:pPr>
        <w:ind w:left="720"/>
      </w:pPr>
      <w:r w:rsidRPr="00C442F9">
        <w:t xml:space="preserve">(3) The inclusion of iron, steel, manufactured products, or construction materials produced in the United States will increase the cost of the overall project by more than 25%. </w:t>
      </w:r>
    </w:p>
    <w:p w14:paraId="0B07CC30" w14:textId="77777777" w:rsidR="00770892" w:rsidRPr="00C442F9" w:rsidRDefault="00770892" w:rsidP="00770892">
      <w:pPr>
        <w:ind w:left="720"/>
      </w:pPr>
    </w:p>
    <w:p w14:paraId="45310722" w14:textId="77777777" w:rsidR="00770892" w:rsidRPr="00C442F9" w:rsidRDefault="00770892" w:rsidP="00770892">
      <w:r w:rsidRPr="00C442F9">
        <w:t xml:space="preserve">If an applicant or recipient is seeking a waiver of the Buy America requirements, it may submit a waiver request after </w:t>
      </w:r>
      <w:r w:rsidRPr="00C442F9">
        <w:rPr>
          <w:szCs w:val="24"/>
        </w:rPr>
        <w:t>it has been notified of its selection for award</w:t>
      </w:r>
      <w:r w:rsidRPr="00C442F9">
        <w:t xml:space="preserve"> negotiations. A waiver request </w:t>
      </w:r>
      <w:r w:rsidRPr="00C442F9">
        <w:rPr>
          <w:bCs/>
        </w:rPr>
        <w:t>must include:</w:t>
      </w:r>
    </w:p>
    <w:p w14:paraId="04EB77F3" w14:textId="77777777" w:rsidR="00770892" w:rsidRPr="00C442F9" w:rsidRDefault="00770892" w:rsidP="00770892">
      <w:pPr>
        <w:ind w:left="720"/>
        <w:rPr>
          <w:bCs/>
        </w:rPr>
      </w:pPr>
    </w:p>
    <w:p w14:paraId="58655B86" w14:textId="77777777" w:rsidR="00770892" w:rsidRPr="00C442F9" w:rsidRDefault="00770892" w:rsidP="00770892">
      <w:pPr>
        <w:pStyle w:val="ListParagraph"/>
        <w:numPr>
          <w:ilvl w:val="0"/>
          <w:numId w:val="132"/>
        </w:numPr>
        <w:ind w:left="1080"/>
        <w:rPr>
          <w:bCs/>
        </w:rPr>
      </w:pPr>
      <w:r w:rsidRPr="00C442F9">
        <w:rPr>
          <w:bCs/>
        </w:rPr>
        <w:lastRenderedPageBreak/>
        <w:t>A detailed justification for the use of “non-domestic” iron, steel, manufactured products, or construction materials to include an explanation as to how the non-domestic item(s) is essential to the project;</w:t>
      </w:r>
    </w:p>
    <w:p w14:paraId="43751100" w14:textId="77777777" w:rsidR="00770892" w:rsidRPr="00C442F9" w:rsidRDefault="00770892" w:rsidP="00770892">
      <w:pPr>
        <w:pStyle w:val="ListParagraph"/>
        <w:numPr>
          <w:ilvl w:val="0"/>
          <w:numId w:val="132"/>
        </w:numPr>
        <w:ind w:left="1080"/>
        <w:rPr>
          <w:bCs/>
        </w:rPr>
      </w:pPr>
      <w:r w:rsidRPr="00C442F9">
        <w:rPr>
          <w:bCs/>
        </w:rPr>
        <w:t xml:space="preserve">A certification that the applicant or recipient made a good faith effort to solicit bids for domestic products supported by terms included in requests for proposals, contracts, and nonproprietary communications with potential suppliers; </w:t>
      </w:r>
    </w:p>
    <w:p w14:paraId="7D1A075C" w14:textId="77777777" w:rsidR="00770892" w:rsidRPr="00C442F9" w:rsidRDefault="00770892" w:rsidP="00770892">
      <w:pPr>
        <w:numPr>
          <w:ilvl w:val="0"/>
          <w:numId w:val="131"/>
        </w:numPr>
        <w:rPr>
          <w:bCs/>
        </w:rPr>
      </w:pPr>
      <w:r w:rsidRPr="00C442F9">
        <w:rPr>
          <w:bCs/>
        </w:rPr>
        <w:t>Applicant/Recipient name and Unique Entity Identifier (UEI)</w:t>
      </w:r>
    </w:p>
    <w:p w14:paraId="6A9956DF" w14:textId="77777777" w:rsidR="00770892" w:rsidRPr="00C442F9" w:rsidRDefault="00770892" w:rsidP="00770892">
      <w:pPr>
        <w:numPr>
          <w:ilvl w:val="0"/>
          <w:numId w:val="131"/>
        </w:numPr>
        <w:rPr>
          <w:bCs/>
        </w:rPr>
      </w:pPr>
      <w:r w:rsidRPr="00C442F9">
        <w:rPr>
          <w:bCs/>
        </w:rPr>
        <w:t xml:space="preserve">Total estimated project cost, DOE and cost-share amounts; </w:t>
      </w:r>
    </w:p>
    <w:p w14:paraId="17A68BFF" w14:textId="77777777" w:rsidR="00770892" w:rsidRPr="00C442F9" w:rsidRDefault="00770892" w:rsidP="00770892">
      <w:pPr>
        <w:numPr>
          <w:ilvl w:val="0"/>
          <w:numId w:val="131"/>
        </w:numPr>
        <w:rPr>
          <w:bCs/>
        </w:rPr>
      </w:pPr>
      <w:r w:rsidRPr="00C442F9">
        <w:rPr>
          <w:bCs/>
        </w:rPr>
        <w:t>Project description and location (to the extent known);</w:t>
      </w:r>
    </w:p>
    <w:p w14:paraId="6B556716" w14:textId="77777777" w:rsidR="00770892" w:rsidRPr="00C442F9" w:rsidRDefault="00770892" w:rsidP="00770892">
      <w:pPr>
        <w:numPr>
          <w:ilvl w:val="0"/>
          <w:numId w:val="131"/>
        </w:numPr>
        <w:rPr>
          <w:bCs/>
        </w:rPr>
      </w:pPr>
      <w:r w:rsidRPr="00C442F9">
        <w:rPr>
          <w:bCs/>
        </w:rPr>
        <w:t>List and description of iron or steel item(s), manufactured goods, and construction material(s) the applicant or recipient seeks to waive from Domestic Content Procurement Preference requirement, including name, cost, country(ies) of origin (if known), and relevant PSC and NAICS code for each;</w:t>
      </w:r>
    </w:p>
    <w:p w14:paraId="4660B2B3" w14:textId="77777777" w:rsidR="00770892" w:rsidRPr="00C442F9" w:rsidRDefault="00770892" w:rsidP="00770892">
      <w:pPr>
        <w:numPr>
          <w:ilvl w:val="0"/>
          <w:numId w:val="131"/>
        </w:numPr>
        <w:rPr>
          <w:bCs/>
        </w:rPr>
      </w:pPr>
      <w:r w:rsidRPr="00C442F9">
        <w:rPr>
          <w:bCs/>
        </w:rPr>
        <w:t xml:space="preserve">Waiver justification including due diligence performed (e.g., market research, industry outreach) by the applicant or recipient; and </w:t>
      </w:r>
    </w:p>
    <w:p w14:paraId="06B452AD" w14:textId="77777777" w:rsidR="00770892" w:rsidRPr="00C442F9" w:rsidRDefault="00770892" w:rsidP="00770892">
      <w:pPr>
        <w:numPr>
          <w:ilvl w:val="0"/>
          <w:numId w:val="131"/>
        </w:numPr>
        <w:rPr>
          <w:bCs/>
        </w:rPr>
      </w:pPr>
      <w:r w:rsidRPr="00C442F9">
        <w:rPr>
          <w:bCs/>
        </w:rPr>
        <w:t xml:space="preserve">Anticipated impact if no waiver is issued </w:t>
      </w:r>
    </w:p>
    <w:p w14:paraId="4ED45B90" w14:textId="77777777" w:rsidR="00770892" w:rsidRPr="00C442F9" w:rsidRDefault="00770892" w:rsidP="00770892"/>
    <w:p w14:paraId="43C97D4D" w14:textId="77777777" w:rsidR="00770892" w:rsidRPr="00C442F9" w:rsidRDefault="00770892" w:rsidP="00770892">
      <w:r w:rsidRPr="00C442F9">
        <w:t xml:space="preserve">DOE may require additional information before considering the waiver request. </w:t>
      </w:r>
    </w:p>
    <w:p w14:paraId="23D8D295" w14:textId="77777777" w:rsidR="00770892" w:rsidRPr="00C442F9" w:rsidRDefault="00770892" w:rsidP="00770892"/>
    <w:p w14:paraId="50136F47" w14:textId="68F9AF2B" w:rsidR="00770892" w:rsidRPr="00C442F9" w:rsidRDefault="00770892" w:rsidP="00770892">
      <w:r w:rsidRPr="00C442F9">
        <w:t xml:space="preserve">Waiver requests are subject to public comment periods of no less than 15 days and must be reviewed by the Made in America Office. There may be instances where an award qualifies, in whole or in part, for an existing waiver </w:t>
      </w:r>
      <w:r w:rsidRPr="006915CE">
        <w:t xml:space="preserve">described at </w:t>
      </w:r>
      <w:bookmarkStart w:id="845" w:name="_Hlk124200380"/>
      <w:r w:rsidR="00E32515" w:rsidRPr="006915CE">
        <w:fldChar w:fldCharType="begin"/>
      </w:r>
      <w:r w:rsidR="00E32515" w:rsidRPr="006915CE">
        <w:instrText>HYPERLINK "https://www.energy.gov/management/doe-buy-america-requirement-waiver-requests"</w:instrText>
      </w:r>
      <w:r w:rsidR="00E32515" w:rsidRPr="006915CE">
        <w:fldChar w:fldCharType="separate"/>
      </w:r>
      <w:r w:rsidR="00E32515" w:rsidRPr="006915CE">
        <w:rPr>
          <w:rStyle w:val="Hyperlink"/>
        </w:rPr>
        <w:t>DOE Buy America Requirement Waiver Requests</w:t>
      </w:r>
      <w:r w:rsidR="00E32515" w:rsidRPr="006915CE">
        <w:rPr>
          <w:rStyle w:val="Hyperlink"/>
        </w:rPr>
        <w:fldChar w:fldCharType="end"/>
      </w:r>
      <w:bookmarkEnd w:id="845"/>
      <w:r w:rsidRPr="006915CE">
        <w:t>.</w:t>
      </w:r>
      <w:r w:rsidRPr="00C442F9">
        <w:t xml:space="preserve"> </w:t>
      </w:r>
    </w:p>
    <w:p w14:paraId="14A0C5C5" w14:textId="77777777" w:rsidR="00770892" w:rsidRPr="00C442F9" w:rsidRDefault="00770892" w:rsidP="00770892"/>
    <w:p w14:paraId="1F1BFBED" w14:textId="5BE3671C" w:rsidR="00770892" w:rsidRDefault="00770892" w:rsidP="00770892">
      <w:r w:rsidRPr="00C442F9">
        <w:t>DOE’s decision concerning a waiver request is not appealable.</w:t>
      </w:r>
    </w:p>
    <w:p w14:paraId="29A3D767" w14:textId="156CBC01" w:rsidR="00AB7EC1" w:rsidRDefault="004E672B" w:rsidP="00AC3873">
      <w:pPr>
        <w:ind w:left="720"/>
        <w:rPr>
          <w:rFonts w:ascii="Calibri" w:eastAsiaTheme="minorHAnsi" w:hAnsi="Calibri" w:cstheme="minorBidi"/>
          <w:b/>
          <w:smallCaps/>
          <w:sz w:val="36"/>
          <w:szCs w:val="40"/>
        </w:rPr>
      </w:pPr>
      <w:r>
        <w:br w:type="page"/>
      </w:r>
    </w:p>
    <w:p w14:paraId="0D8B41CB" w14:textId="77777777" w:rsidR="00AB7EC1" w:rsidRDefault="00AB7EC1" w:rsidP="007863EC">
      <w:pPr>
        <w:pStyle w:val="AppendixHeading"/>
        <w:outlineLvl w:val="0"/>
        <w:sectPr w:rsidR="00AB7EC1" w:rsidSect="002B6C14">
          <w:pgSz w:w="12240" w:h="15840" w:code="1"/>
          <w:pgMar w:top="1440" w:right="1440" w:bottom="1440" w:left="1440" w:header="720" w:footer="432" w:gutter="0"/>
          <w:cols w:space="720"/>
          <w:docGrid w:linePitch="360"/>
        </w:sectPr>
      </w:pPr>
    </w:p>
    <w:p w14:paraId="3BFD86BB" w14:textId="28C2B79E" w:rsidR="00692E84" w:rsidRPr="00764EC3" w:rsidRDefault="004E672B" w:rsidP="00692E84">
      <w:pPr>
        <w:pStyle w:val="AppendixHeading"/>
        <w:outlineLvl w:val="0"/>
      </w:pPr>
      <w:bookmarkStart w:id="846" w:name="_Toc176864557"/>
      <w:r w:rsidRPr="00AC3873">
        <w:lastRenderedPageBreak/>
        <w:t xml:space="preserve">Appendix </w:t>
      </w:r>
      <w:r w:rsidR="003E6FDF" w:rsidRPr="008B0D95">
        <w:t>E</w:t>
      </w:r>
      <w:r w:rsidRPr="003833E4">
        <w:t xml:space="preserve"> </w:t>
      </w:r>
      <w:r w:rsidRPr="00CC7E79">
        <w:t xml:space="preserve">– </w:t>
      </w:r>
      <w:r w:rsidR="00AD235A">
        <w:t>Acceptable Feedstocks</w:t>
      </w:r>
      <w:bookmarkEnd w:id="846"/>
    </w:p>
    <w:p w14:paraId="08267D98" w14:textId="353101B2" w:rsidR="00692E84" w:rsidRPr="008858B4" w:rsidRDefault="00692E84" w:rsidP="00692E84"/>
    <w:p w14:paraId="1083CE94" w14:textId="510AFA38" w:rsidR="009014E4" w:rsidRDefault="009014E4" w:rsidP="009014E4">
      <w:r w:rsidRPr="008015FD">
        <w:t xml:space="preserve">The Bioenergy Technologies Office works with biomass-based feedstocks, per the authorizing language in EPAct 2005 (see below).  Each Subtopic </w:t>
      </w:r>
      <w:r>
        <w:t xml:space="preserve">Area in this FOA </w:t>
      </w:r>
      <w:r w:rsidRPr="008015FD">
        <w:t xml:space="preserve">has specific feedstock requirements </w:t>
      </w:r>
      <w:r>
        <w:t>which</w:t>
      </w:r>
      <w:r w:rsidRPr="008015FD">
        <w:t xml:space="preserve"> are </w:t>
      </w:r>
      <w:r>
        <w:t>identified in the Table below</w:t>
      </w:r>
      <w:r w:rsidRPr="008015FD">
        <w:t>.</w:t>
      </w:r>
      <w:r>
        <w:t xml:space="preserve"> </w:t>
      </w:r>
      <w:r>
        <w:rPr>
          <w:b/>
          <w:bCs/>
        </w:rPr>
        <w:t xml:space="preserve">Applications proposing the use of any feedstock not identified as an acceptable feedstock for the particular </w:t>
      </w:r>
      <w:r w:rsidR="00A57155">
        <w:rPr>
          <w:b/>
          <w:bCs/>
        </w:rPr>
        <w:t>T</w:t>
      </w:r>
      <w:r>
        <w:rPr>
          <w:b/>
          <w:bCs/>
        </w:rPr>
        <w:t>opic Area will not be further considered</w:t>
      </w:r>
      <w:r w:rsidR="00C41B03">
        <w:rPr>
          <w:b/>
          <w:bCs/>
        </w:rPr>
        <w:t>.</w:t>
      </w:r>
    </w:p>
    <w:p w14:paraId="2B98C721" w14:textId="77777777" w:rsidR="009014E4" w:rsidRDefault="009014E4" w:rsidP="009014E4"/>
    <w:tbl>
      <w:tblPr>
        <w:tblStyle w:val="2"/>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900"/>
        <w:gridCol w:w="720"/>
        <w:gridCol w:w="810"/>
        <w:gridCol w:w="720"/>
        <w:gridCol w:w="720"/>
        <w:gridCol w:w="720"/>
        <w:gridCol w:w="720"/>
        <w:gridCol w:w="810"/>
        <w:gridCol w:w="810"/>
        <w:gridCol w:w="900"/>
        <w:gridCol w:w="1170"/>
      </w:tblGrid>
      <w:tr w:rsidR="009014E4" w:rsidRPr="008015FD" w14:paraId="2A9DAACD" w14:textId="77777777" w:rsidTr="00634646">
        <w:trPr>
          <w:trHeight w:val="288"/>
        </w:trPr>
        <w:tc>
          <w:tcPr>
            <w:tcW w:w="1800" w:type="dxa"/>
            <w:vMerge w:val="restart"/>
            <w:tcBorders>
              <w:right w:val="single" w:sz="12" w:space="0" w:color="000000"/>
            </w:tcBorders>
            <w:vAlign w:val="center"/>
          </w:tcPr>
          <w:p w14:paraId="1F1BFBC8" w14:textId="77777777" w:rsidR="009014E4" w:rsidRPr="000401F3" w:rsidRDefault="009014E4" w:rsidP="00634646">
            <w:pPr>
              <w:jc w:val="center"/>
              <w:rPr>
                <w:b/>
                <w:sz w:val="18"/>
                <w:szCs w:val="18"/>
              </w:rPr>
            </w:pPr>
            <w:bookmarkStart w:id="847" w:name="_Hlk91681943"/>
            <w:r>
              <w:rPr>
                <w:b/>
                <w:sz w:val="18"/>
                <w:szCs w:val="18"/>
              </w:rPr>
              <w:t>Topic</w:t>
            </w:r>
            <w:r w:rsidRPr="000401F3">
              <w:rPr>
                <w:b/>
                <w:sz w:val="18"/>
                <w:szCs w:val="18"/>
              </w:rPr>
              <w:t xml:space="preserve"> Area</w:t>
            </w:r>
          </w:p>
        </w:tc>
        <w:tc>
          <w:tcPr>
            <w:tcW w:w="9000" w:type="dxa"/>
            <w:gridSpan w:val="11"/>
            <w:tcBorders>
              <w:right w:val="single" w:sz="4" w:space="0" w:color="000000"/>
            </w:tcBorders>
          </w:tcPr>
          <w:p w14:paraId="0F96E361" w14:textId="77777777" w:rsidR="009014E4" w:rsidRPr="008015FD" w:rsidRDefault="009014E4" w:rsidP="00634646">
            <w:pPr>
              <w:jc w:val="center"/>
              <w:rPr>
                <w:b/>
                <w:sz w:val="20"/>
                <w:szCs w:val="20"/>
              </w:rPr>
            </w:pPr>
            <w:r>
              <w:rPr>
                <w:b/>
                <w:sz w:val="20"/>
                <w:szCs w:val="20"/>
              </w:rPr>
              <w:t xml:space="preserve">Acceptable Feedstock </w:t>
            </w:r>
            <w:r w:rsidRPr="008015FD">
              <w:rPr>
                <w:b/>
                <w:sz w:val="20"/>
                <w:szCs w:val="20"/>
              </w:rPr>
              <w:t xml:space="preserve">Breakdown per </w:t>
            </w:r>
            <w:r>
              <w:rPr>
                <w:b/>
                <w:sz w:val="20"/>
                <w:szCs w:val="20"/>
              </w:rPr>
              <w:t>Subt</w:t>
            </w:r>
            <w:r w:rsidRPr="008015FD">
              <w:rPr>
                <w:b/>
                <w:sz w:val="20"/>
                <w:szCs w:val="20"/>
              </w:rPr>
              <w:t>opic Area</w:t>
            </w:r>
          </w:p>
        </w:tc>
      </w:tr>
      <w:tr w:rsidR="009014E4" w:rsidRPr="008015FD" w14:paraId="13E5BB27" w14:textId="77777777" w:rsidTr="00634646">
        <w:trPr>
          <w:trHeight w:val="800"/>
        </w:trPr>
        <w:tc>
          <w:tcPr>
            <w:tcW w:w="1800" w:type="dxa"/>
            <w:vMerge/>
            <w:tcBorders>
              <w:right w:val="single" w:sz="12" w:space="0" w:color="000000"/>
            </w:tcBorders>
            <w:vAlign w:val="center"/>
          </w:tcPr>
          <w:p w14:paraId="7DAE348A" w14:textId="77777777" w:rsidR="009014E4" w:rsidRPr="000401F3" w:rsidRDefault="009014E4" w:rsidP="00634646">
            <w:pPr>
              <w:widowControl w:val="0"/>
              <w:pBdr>
                <w:top w:val="nil"/>
                <w:left w:val="nil"/>
                <w:bottom w:val="nil"/>
                <w:right w:val="nil"/>
                <w:between w:val="nil"/>
              </w:pBdr>
              <w:spacing w:line="276" w:lineRule="auto"/>
              <w:rPr>
                <w:b/>
                <w:sz w:val="18"/>
                <w:szCs w:val="18"/>
              </w:rPr>
            </w:pPr>
          </w:p>
        </w:tc>
        <w:tc>
          <w:tcPr>
            <w:tcW w:w="900" w:type="dxa"/>
            <w:tcBorders>
              <w:left w:val="single" w:sz="4" w:space="0" w:color="000000"/>
              <w:bottom w:val="single" w:sz="4" w:space="0" w:color="000000"/>
              <w:right w:val="single" w:sz="4" w:space="0" w:color="000000"/>
            </w:tcBorders>
            <w:shd w:val="clear" w:color="auto" w:fill="auto"/>
            <w:vAlign w:val="center"/>
          </w:tcPr>
          <w:p w14:paraId="1F228992" w14:textId="77777777" w:rsidR="009014E4" w:rsidRPr="000401F3" w:rsidRDefault="009014E4" w:rsidP="00634646">
            <w:pPr>
              <w:jc w:val="center"/>
              <w:rPr>
                <w:b/>
                <w:sz w:val="18"/>
                <w:szCs w:val="18"/>
              </w:rPr>
            </w:pPr>
            <w:r w:rsidRPr="000401F3">
              <w:rPr>
                <w:b/>
                <w:sz w:val="18"/>
                <w:szCs w:val="18"/>
              </w:rPr>
              <w:t>Ligno-cellulosic</w:t>
            </w:r>
          </w:p>
        </w:tc>
        <w:tc>
          <w:tcPr>
            <w:tcW w:w="720" w:type="dxa"/>
            <w:tcBorders>
              <w:left w:val="single" w:sz="4" w:space="0" w:color="000000"/>
              <w:bottom w:val="single" w:sz="4" w:space="0" w:color="000000"/>
              <w:right w:val="single" w:sz="4" w:space="0" w:color="000000"/>
            </w:tcBorders>
            <w:shd w:val="clear" w:color="auto" w:fill="auto"/>
            <w:vAlign w:val="center"/>
          </w:tcPr>
          <w:p w14:paraId="0B046E33" w14:textId="77777777" w:rsidR="009014E4" w:rsidRPr="000401F3" w:rsidRDefault="009014E4" w:rsidP="00634646">
            <w:pPr>
              <w:jc w:val="center"/>
              <w:rPr>
                <w:b/>
                <w:sz w:val="18"/>
                <w:szCs w:val="18"/>
              </w:rPr>
            </w:pPr>
            <w:r w:rsidRPr="000401F3">
              <w:rPr>
                <w:b/>
                <w:sz w:val="18"/>
                <w:szCs w:val="18"/>
              </w:rPr>
              <w:t>Algae</w:t>
            </w:r>
          </w:p>
        </w:tc>
        <w:tc>
          <w:tcPr>
            <w:tcW w:w="810" w:type="dxa"/>
            <w:tcBorders>
              <w:left w:val="single" w:sz="4" w:space="0" w:color="000000"/>
              <w:bottom w:val="single" w:sz="4" w:space="0" w:color="000000"/>
              <w:right w:val="single" w:sz="4" w:space="0" w:color="000000"/>
            </w:tcBorders>
            <w:shd w:val="clear" w:color="auto" w:fill="auto"/>
            <w:vAlign w:val="center"/>
          </w:tcPr>
          <w:p w14:paraId="44044AEE" w14:textId="77777777" w:rsidR="009014E4" w:rsidRPr="000401F3" w:rsidRDefault="009014E4" w:rsidP="00634646">
            <w:pPr>
              <w:jc w:val="center"/>
              <w:rPr>
                <w:b/>
                <w:sz w:val="18"/>
                <w:szCs w:val="18"/>
              </w:rPr>
            </w:pPr>
            <w:r w:rsidRPr="000401F3">
              <w:rPr>
                <w:b/>
                <w:sz w:val="18"/>
                <w:szCs w:val="18"/>
              </w:rPr>
              <w:t>Organic Wet Waste</w:t>
            </w:r>
          </w:p>
        </w:tc>
        <w:tc>
          <w:tcPr>
            <w:tcW w:w="720" w:type="dxa"/>
            <w:tcBorders>
              <w:left w:val="single" w:sz="4" w:space="0" w:color="000000"/>
              <w:bottom w:val="single" w:sz="4" w:space="0" w:color="000000"/>
              <w:right w:val="single" w:sz="4" w:space="0" w:color="000000"/>
            </w:tcBorders>
            <w:shd w:val="clear" w:color="auto" w:fill="auto"/>
            <w:vAlign w:val="center"/>
          </w:tcPr>
          <w:p w14:paraId="73BB7356" w14:textId="77777777" w:rsidR="009014E4" w:rsidRPr="000401F3" w:rsidRDefault="009014E4" w:rsidP="00634646">
            <w:pPr>
              <w:jc w:val="center"/>
              <w:rPr>
                <w:b/>
                <w:sz w:val="18"/>
                <w:szCs w:val="18"/>
              </w:rPr>
            </w:pPr>
            <w:r w:rsidRPr="000401F3">
              <w:rPr>
                <w:b/>
                <w:sz w:val="18"/>
                <w:szCs w:val="18"/>
              </w:rPr>
              <w:t>Sorted MSW</w:t>
            </w:r>
          </w:p>
        </w:tc>
        <w:tc>
          <w:tcPr>
            <w:tcW w:w="720" w:type="dxa"/>
            <w:tcBorders>
              <w:left w:val="single" w:sz="4" w:space="0" w:color="000000"/>
              <w:bottom w:val="single" w:sz="4" w:space="0" w:color="000000"/>
              <w:right w:val="single" w:sz="4" w:space="0" w:color="000000"/>
            </w:tcBorders>
            <w:shd w:val="clear" w:color="auto" w:fill="auto"/>
            <w:vAlign w:val="center"/>
          </w:tcPr>
          <w:p w14:paraId="79449323" w14:textId="77777777" w:rsidR="009014E4" w:rsidRPr="000401F3" w:rsidRDefault="009014E4" w:rsidP="00634646">
            <w:pPr>
              <w:jc w:val="center"/>
              <w:rPr>
                <w:b/>
                <w:sz w:val="18"/>
                <w:szCs w:val="18"/>
              </w:rPr>
            </w:pPr>
            <w:r w:rsidRPr="000401F3">
              <w:rPr>
                <w:b/>
                <w:sz w:val="18"/>
                <w:szCs w:val="18"/>
              </w:rPr>
              <w:t>Food Waste</w:t>
            </w:r>
          </w:p>
        </w:tc>
        <w:tc>
          <w:tcPr>
            <w:tcW w:w="720" w:type="dxa"/>
            <w:tcBorders>
              <w:left w:val="single" w:sz="4" w:space="0" w:color="000000"/>
              <w:bottom w:val="single" w:sz="4" w:space="0" w:color="000000"/>
              <w:right w:val="single" w:sz="4" w:space="0" w:color="000000"/>
            </w:tcBorders>
            <w:shd w:val="clear" w:color="auto" w:fill="auto"/>
            <w:vAlign w:val="center"/>
          </w:tcPr>
          <w:p w14:paraId="56CDB14E" w14:textId="77777777" w:rsidR="009014E4" w:rsidRPr="000401F3" w:rsidRDefault="009014E4" w:rsidP="00634646">
            <w:pPr>
              <w:jc w:val="center"/>
              <w:rPr>
                <w:b/>
                <w:sz w:val="18"/>
                <w:szCs w:val="18"/>
              </w:rPr>
            </w:pPr>
            <w:r w:rsidRPr="000401F3">
              <w:rPr>
                <w:b/>
                <w:sz w:val="18"/>
                <w:szCs w:val="18"/>
              </w:rPr>
              <w:t>Biogas</w:t>
            </w:r>
          </w:p>
        </w:tc>
        <w:tc>
          <w:tcPr>
            <w:tcW w:w="720" w:type="dxa"/>
            <w:tcBorders>
              <w:top w:val="single" w:sz="4" w:space="0" w:color="000000"/>
              <w:left w:val="single" w:sz="4" w:space="0" w:color="000000"/>
              <w:bottom w:val="single" w:sz="4" w:space="0" w:color="000000"/>
            </w:tcBorders>
            <w:vAlign w:val="center"/>
          </w:tcPr>
          <w:p w14:paraId="2C17E676" w14:textId="77777777" w:rsidR="009014E4" w:rsidRPr="000401F3" w:rsidRDefault="009014E4" w:rsidP="00634646">
            <w:pPr>
              <w:jc w:val="center"/>
              <w:rPr>
                <w:b/>
                <w:sz w:val="18"/>
                <w:szCs w:val="18"/>
              </w:rPr>
            </w:pPr>
            <w:r w:rsidRPr="000401F3">
              <w:rPr>
                <w:b/>
                <w:sz w:val="18"/>
                <w:szCs w:val="18"/>
              </w:rPr>
              <w:t>Grain</w:t>
            </w:r>
          </w:p>
          <w:p w14:paraId="2BF110A3" w14:textId="77777777" w:rsidR="009014E4" w:rsidRPr="000401F3" w:rsidRDefault="009014E4" w:rsidP="00634646">
            <w:pPr>
              <w:jc w:val="center"/>
              <w:rPr>
                <w:b/>
                <w:sz w:val="18"/>
                <w:szCs w:val="18"/>
              </w:rPr>
            </w:pPr>
            <w:r w:rsidRPr="000401F3">
              <w:rPr>
                <w:b/>
                <w:sz w:val="18"/>
                <w:szCs w:val="18"/>
              </w:rPr>
              <w:t>Starch</w:t>
            </w:r>
          </w:p>
        </w:tc>
        <w:tc>
          <w:tcPr>
            <w:tcW w:w="810" w:type="dxa"/>
            <w:tcBorders>
              <w:bottom w:val="single" w:sz="4" w:space="0" w:color="000000"/>
            </w:tcBorders>
            <w:vAlign w:val="center"/>
          </w:tcPr>
          <w:p w14:paraId="5A1819E6" w14:textId="77777777" w:rsidR="009014E4" w:rsidRPr="000401F3" w:rsidRDefault="009014E4" w:rsidP="00634646">
            <w:pPr>
              <w:jc w:val="center"/>
              <w:rPr>
                <w:b/>
                <w:sz w:val="18"/>
                <w:szCs w:val="18"/>
              </w:rPr>
            </w:pPr>
            <w:r w:rsidRPr="000401F3">
              <w:rPr>
                <w:b/>
                <w:sz w:val="18"/>
                <w:szCs w:val="18"/>
              </w:rPr>
              <w:t>Oilseed Crops</w:t>
            </w:r>
          </w:p>
        </w:tc>
        <w:tc>
          <w:tcPr>
            <w:tcW w:w="810" w:type="dxa"/>
            <w:tcBorders>
              <w:bottom w:val="single" w:sz="4" w:space="0" w:color="000000"/>
            </w:tcBorders>
            <w:vAlign w:val="center"/>
          </w:tcPr>
          <w:p w14:paraId="69A680D7" w14:textId="77777777" w:rsidR="009014E4" w:rsidRPr="000401F3" w:rsidRDefault="009014E4" w:rsidP="00634646">
            <w:pPr>
              <w:jc w:val="center"/>
              <w:rPr>
                <w:b/>
                <w:sz w:val="18"/>
                <w:szCs w:val="18"/>
              </w:rPr>
            </w:pPr>
            <w:r w:rsidRPr="000401F3">
              <w:rPr>
                <w:b/>
                <w:sz w:val="18"/>
                <w:szCs w:val="18"/>
              </w:rPr>
              <w:t>C&amp;D Waste</w:t>
            </w:r>
          </w:p>
        </w:tc>
        <w:tc>
          <w:tcPr>
            <w:tcW w:w="900" w:type="dxa"/>
            <w:tcBorders>
              <w:bottom w:val="single" w:sz="4" w:space="0" w:color="000000"/>
              <w:right w:val="single" w:sz="4" w:space="0" w:color="000000"/>
            </w:tcBorders>
            <w:vAlign w:val="center"/>
          </w:tcPr>
          <w:p w14:paraId="33A9B4B6" w14:textId="77777777" w:rsidR="009014E4" w:rsidRPr="000401F3" w:rsidRDefault="009014E4" w:rsidP="00634646">
            <w:pPr>
              <w:jc w:val="center"/>
              <w:rPr>
                <w:b/>
                <w:sz w:val="18"/>
                <w:szCs w:val="18"/>
              </w:rPr>
            </w:pPr>
            <w:r w:rsidRPr="000401F3">
              <w:rPr>
                <w:b/>
                <w:sz w:val="18"/>
                <w:szCs w:val="18"/>
              </w:rPr>
              <w:t>Waste Carbon Dioxide</w:t>
            </w:r>
          </w:p>
        </w:tc>
        <w:tc>
          <w:tcPr>
            <w:tcW w:w="1170" w:type="dxa"/>
            <w:tcBorders>
              <w:bottom w:val="single" w:sz="4" w:space="0" w:color="000000"/>
              <w:right w:val="single" w:sz="4" w:space="0" w:color="000000"/>
            </w:tcBorders>
            <w:vAlign w:val="center"/>
          </w:tcPr>
          <w:p w14:paraId="10868695" w14:textId="77777777" w:rsidR="009014E4" w:rsidRPr="000401F3" w:rsidRDefault="009014E4" w:rsidP="00634646">
            <w:pPr>
              <w:jc w:val="center"/>
              <w:rPr>
                <w:b/>
                <w:sz w:val="18"/>
                <w:szCs w:val="18"/>
              </w:rPr>
            </w:pPr>
            <w:bookmarkStart w:id="848" w:name="_Hlk86732031"/>
            <w:r w:rsidRPr="000401F3">
              <w:rPr>
                <w:b/>
                <w:sz w:val="18"/>
                <w:szCs w:val="18"/>
              </w:rPr>
              <w:t>Carbon Dioxide from Ambient Air</w:t>
            </w:r>
            <w:bookmarkEnd w:id="848"/>
          </w:p>
        </w:tc>
      </w:tr>
      <w:tr w:rsidR="009014E4" w:rsidRPr="008015FD" w14:paraId="04814A39" w14:textId="77777777" w:rsidTr="00634646">
        <w:trPr>
          <w:trHeight w:val="576"/>
        </w:trPr>
        <w:tc>
          <w:tcPr>
            <w:tcW w:w="1800" w:type="dxa"/>
            <w:tcBorders>
              <w:right w:val="single" w:sz="12" w:space="0" w:color="000000"/>
            </w:tcBorders>
            <w:vAlign w:val="center"/>
          </w:tcPr>
          <w:p w14:paraId="6F498368" w14:textId="77777777" w:rsidR="009014E4" w:rsidRPr="000401F3" w:rsidRDefault="009014E4" w:rsidP="00634646">
            <w:pPr>
              <w:jc w:val="center"/>
              <w:rPr>
                <w:sz w:val="18"/>
                <w:szCs w:val="18"/>
              </w:rPr>
            </w:pPr>
            <w:r>
              <w:rPr>
                <w:sz w:val="18"/>
                <w:szCs w:val="18"/>
              </w:rPr>
              <w:t>Topic Area 1</w:t>
            </w:r>
          </w:p>
        </w:tc>
        <w:tc>
          <w:tcPr>
            <w:tcW w:w="900" w:type="dxa"/>
            <w:tcBorders>
              <w:left w:val="single" w:sz="4" w:space="0" w:color="000000"/>
              <w:bottom w:val="single" w:sz="4" w:space="0" w:color="000000"/>
            </w:tcBorders>
            <w:vAlign w:val="center"/>
          </w:tcPr>
          <w:p w14:paraId="72432E7B" w14:textId="77777777" w:rsidR="009014E4" w:rsidRPr="008015FD" w:rsidRDefault="009014E4" w:rsidP="00634646">
            <w:pPr>
              <w:jc w:val="center"/>
              <w:rPr>
                <w:sz w:val="20"/>
              </w:rPr>
            </w:pPr>
            <w:r w:rsidRPr="008015FD">
              <w:rPr>
                <w:sz w:val="20"/>
                <w:szCs w:val="20"/>
              </w:rPr>
              <w:t>Yes</w:t>
            </w:r>
          </w:p>
        </w:tc>
        <w:tc>
          <w:tcPr>
            <w:tcW w:w="4410" w:type="dxa"/>
            <w:gridSpan w:val="6"/>
            <w:tcBorders>
              <w:left w:val="single" w:sz="4" w:space="0" w:color="000000"/>
              <w:bottom w:val="single" w:sz="4" w:space="0" w:color="000000"/>
            </w:tcBorders>
            <w:vAlign w:val="center"/>
          </w:tcPr>
          <w:p w14:paraId="165B0EB6" w14:textId="77777777" w:rsidR="009014E4" w:rsidRPr="008015FD" w:rsidRDefault="009014E4" w:rsidP="00634646">
            <w:pPr>
              <w:jc w:val="center"/>
              <w:rPr>
                <w:sz w:val="20"/>
              </w:rPr>
            </w:pPr>
            <w:r w:rsidRPr="008015FD">
              <w:rPr>
                <w:sz w:val="20"/>
                <w:szCs w:val="20"/>
              </w:rPr>
              <w:t>Yes</w:t>
            </w:r>
          </w:p>
        </w:tc>
        <w:tc>
          <w:tcPr>
            <w:tcW w:w="810" w:type="dxa"/>
            <w:tcBorders>
              <w:left w:val="single" w:sz="4" w:space="0" w:color="000000"/>
              <w:bottom w:val="single" w:sz="4" w:space="0" w:color="000000"/>
            </w:tcBorders>
            <w:vAlign w:val="center"/>
          </w:tcPr>
          <w:p w14:paraId="3E50107E" w14:textId="77777777" w:rsidR="009014E4" w:rsidRPr="008015FD" w:rsidRDefault="009014E4" w:rsidP="00634646">
            <w:pPr>
              <w:jc w:val="center"/>
              <w:rPr>
                <w:sz w:val="20"/>
                <w:szCs w:val="20"/>
              </w:rPr>
            </w:pPr>
            <w:r w:rsidRPr="008015FD">
              <w:rPr>
                <w:sz w:val="20"/>
                <w:szCs w:val="20"/>
              </w:rPr>
              <w:t>Yes</w:t>
            </w:r>
          </w:p>
        </w:tc>
        <w:tc>
          <w:tcPr>
            <w:tcW w:w="810" w:type="dxa"/>
            <w:tcBorders>
              <w:bottom w:val="single" w:sz="4" w:space="0" w:color="000000"/>
            </w:tcBorders>
            <w:vAlign w:val="center"/>
          </w:tcPr>
          <w:p w14:paraId="20958A57" w14:textId="77777777" w:rsidR="009014E4" w:rsidRPr="008015FD" w:rsidRDefault="009014E4" w:rsidP="00634646">
            <w:pPr>
              <w:jc w:val="center"/>
              <w:rPr>
                <w:sz w:val="20"/>
              </w:rPr>
            </w:pPr>
            <w:r w:rsidRPr="008015FD">
              <w:rPr>
                <w:sz w:val="20"/>
                <w:szCs w:val="20"/>
              </w:rPr>
              <w:t>Yes</w:t>
            </w:r>
          </w:p>
        </w:tc>
        <w:tc>
          <w:tcPr>
            <w:tcW w:w="900" w:type="dxa"/>
            <w:tcBorders>
              <w:bottom w:val="single" w:sz="4" w:space="0" w:color="000000"/>
              <w:right w:val="single" w:sz="4" w:space="0" w:color="000000"/>
            </w:tcBorders>
            <w:vAlign w:val="center"/>
          </w:tcPr>
          <w:p w14:paraId="23E8F9E8" w14:textId="77777777" w:rsidR="009014E4" w:rsidRPr="008015FD" w:rsidRDefault="009014E4" w:rsidP="00634646">
            <w:pPr>
              <w:jc w:val="center"/>
              <w:rPr>
                <w:sz w:val="20"/>
                <w:szCs w:val="20"/>
              </w:rPr>
            </w:pPr>
            <w:r w:rsidRPr="008015FD">
              <w:rPr>
                <w:sz w:val="20"/>
                <w:szCs w:val="20"/>
              </w:rPr>
              <w:t>Yes</w:t>
            </w:r>
          </w:p>
        </w:tc>
        <w:tc>
          <w:tcPr>
            <w:tcW w:w="1170" w:type="dxa"/>
            <w:tcBorders>
              <w:bottom w:val="single" w:sz="4" w:space="0" w:color="000000"/>
              <w:right w:val="single" w:sz="4" w:space="0" w:color="000000"/>
            </w:tcBorders>
            <w:vAlign w:val="center"/>
          </w:tcPr>
          <w:p w14:paraId="3BC80C01" w14:textId="77777777" w:rsidR="009014E4" w:rsidRPr="00800F17" w:rsidRDefault="009014E4" w:rsidP="00634646">
            <w:pPr>
              <w:jc w:val="center"/>
              <w:rPr>
                <w:sz w:val="20"/>
                <w:szCs w:val="20"/>
              </w:rPr>
            </w:pPr>
            <w:r w:rsidRPr="00800F17">
              <w:rPr>
                <w:sz w:val="20"/>
                <w:szCs w:val="20"/>
              </w:rPr>
              <w:t>Yes</w:t>
            </w:r>
          </w:p>
        </w:tc>
      </w:tr>
      <w:tr w:rsidR="009014E4" w:rsidRPr="008015FD" w14:paraId="349A344C" w14:textId="77777777" w:rsidTr="008B0D95">
        <w:trPr>
          <w:trHeight w:val="576"/>
        </w:trPr>
        <w:tc>
          <w:tcPr>
            <w:tcW w:w="1800" w:type="dxa"/>
            <w:tcBorders>
              <w:right w:val="single" w:sz="12" w:space="0" w:color="000000"/>
            </w:tcBorders>
            <w:vAlign w:val="center"/>
          </w:tcPr>
          <w:p w14:paraId="6F092799" w14:textId="77777777" w:rsidR="009014E4" w:rsidRPr="000401F3" w:rsidRDefault="009014E4" w:rsidP="00634646">
            <w:pPr>
              <w:jc w:val="center"/>
              <w:rPr>
                <w:sz w:val="18"/>
                <w:szCs w:val="18"/>
              </w:rPr>
            </w:pPr>
            <w:r>
              <w:rPr>
                <w:sz w:val="18"/>
                <w:szCs w:val="18"/>
              </w:rPr>
              <w:t>Topic Area 2</w:t>
            </w:r>
          </w:p>
        </w:tc>
        <w:tc>
          <w:tcPr>
            <w:tcW w:w="900" w:type="dxa"/>
            <w:tcBorders>
              <w:left w:val="single" w:sz="4" w:space="0" w:color="000000"/>
            </w:tcBorders>
            <w:vAlign w:val="center"/>
          </w:tcPr>
          <w:p w14:paraId="4D410FF1" w14:textId="77777777" w:rsidR="009014E4" w:rsidRPr="00055BCA" w:rsidRDefault="009014E4" w:rsidP="00634646">
            <w:pPr>
              <w:jc w:val="center"/>
              <w:rPr>
                <w:b/>
                <w:bCs/>
                <w:sz w:val="20"/>
              </w:rPr>
            </w:pPr>
            <w:r w:rsidRPr="008015FD">
              <w:rPr>
                <w:sz w:val="20"/>
                <w:szCs w:val="20"/>
              </w:rPr>
              <w:t>Yes</w:t>
            </w:r>
          </w:p>
        </w:tc>
        <w:tc>
          <w:tcPr>
            <w:tcW w:w="4410" w:type="dxa"/>
            <w:gridSpan w:val="6"/>
            <w:tcBorders>
              <w:left w:val="single" w:sz="4" w:space="0" w:color="000000"/>
            </w:tcBorders>
            <w:vAlign w:val="center"/>
          </w:tcPr>
          <w:p w14:paraId="540D7807" w14:textId="77777777" w:rsidR="009014E4" w:rsidRPr="00055BCA" w:rsidRDefault="009014E4" w:rsidP="00634646">
            <w:pPr>
              <w:jc w:val="center"/>
              <w:rPr>
                <w:b/>
                <w:bCs/>
                <w:sz w:val="20"/>
              </w:rPr>
            </w:pPr>
            <w:r w:rsidRPr="008015FD">
              <w:rPr>
                <w:sz w:val="20"/>
                <w:szCs w:val="20"/>
              </w:rPr>
              <w:t>Yes</w:t>
            </w:r>
          </w:p>
        </w:tc>
        <w:tc>
          <w:tcPr>
            <w:tcW w:w="810" w:type="dxa"/>
            <w:tcBorders>
              <w:left w:val="single" w:sz="4" w:space="0" w:color="000000"/>
            </w:tcBorders>
            <w:vAlign w:val="center"/>
          </w:tcPr>
          <w:p w14:paraId="23C27877" w14:textId="77777777" w:rsidR="009014E4" w:rsidRPr="00055BCA" w:rsidRDefault="009014E4" w:rsidP="00634646">
            <w:pPr>
              <w:jc w:val="center"/>
              <w:rPr>
                <w:b/>
                <w:bCs/>
                <w:sz w:val="20"/>
                <w:szCs w:val="20"/>
              </w:rPr>
            </w:pPr>
            <w:r w:rsidRPr="008015FD">
              <w:rPr>
                <w:sz w:val="20"/>
                <w:szCs w:val="20"/>
              </w:rPr>
              <w:t>Yes</w:t>
            </w:r>
          </w:p>
        </w:tc>
        <w:tc>
          <w:tcPr>
            <w:tcW w:w="810" w:type="dxa"/>
            <w:vAlign w:val="center"/>
          </w:tcPr>
          <w:p w14:paraId="7694317D" w14:textId="77777777" w:rsidR="009014E4" w:rsidRPr="00055BCA" w:rsidRDefault="009014E4" w:rsidP="00634646">
            <w:pPr>
              <w:jc w:val="center"/>
              <w:rPr>
                <w:b/>
                <w:bCs/>
                <w:sz w:val="20"/>
              </w:rPr>
            </w:pPr>
            <w:r w:rsidRPr="008015FD">
              <w:rPr>
                <w:sz w:val="20"/>
                <w:szCs w:val="20"/>
              </w:rPr>
              <w:t>Yes</w:t>
            </w:r>
          </w:p>
        </w:tc>
        <w:tc>
          <w:tcPr>
            <w:tcW w:w="900" w:type="dxa"/>
            <w:tcBorders>
              <w:right w:val="single" w:sz="4" w:space="0" w:color="000000"/>
            </w:tcBorders>
            <w:vAlign w:val="center"/>
          </w:tcPr>
          <w:p w14:paraId="2E3B7475" w14:textId="77777777" w:rsidR="009014E4" w:rsidRPr="00055BCA" w:rsidRDefault="009014E4" w:rsidP="00634646">
            <w:pPr>
              <w:jc w:val="center"/>
              <w:rPr>
                <w:b/>
                <w:bCs/>
                <w:sz w:val="20"/>
                <w:szCs w:val="20"/>
              </w:rPr>
            </w:pPr>
            <w:r w:rsidRPr="008015FD">
              <w:rPr>
                <w:sz w:val="20"/>
                <w:szCs w:val="20"/>
              </w:rPr>
              <w:t>Yes</w:t>
            </w:r>
          </w:p>
        </w:tc>
        <w:tc>
          <w:tcPr>
            <w:tcW w:w="1170" w:type="dxa"/>
            <w:tcBorders>
              <w:right w:val="single" w:sz="4" w:space="0" w:color="000000"/>
            </w:tcBorders>
            <w:vAlign w:val="center"/>
          </w:tcPr>
          <w:p w14:paraId="39EF83A5" w14:textId="77777777" w:rsidR="009014E4" w:rsidRPr="00800F17" w:rsidRDefault="009014E4" w:rsidP="00634646">
            <w:pPr>
              <w:jc w:val="center"/>
              <w:rPr>
                <w:sz w:val="20"/>
                <w:szCs w:val="20"/>
              </w:rPr>
            </w:pPr>
            <w:r w:rsidRPr="00800F17">
              <w:rPr>
                <w:sz w:val="20"/>
                <w:szCs w:val="20"/>
              </w:rPr>
              <w:t>Yes</w:t>
            </w:r>
          </w:p>
        </w:tc>
      </w:tr>
      <w:tr w:rsidR="005710A9" w:rsidRPr="008015FD" w14:paraId="753DDDFA" w14:textId="77777777" w:rsidTr="00634646">
        <w:trPr>
          <w:trHeight w:val="576"/>
        </w:trPr>
        <w:tc>
          <w:tcPr>
            <w:tcW w:w="1800" w:type="dxa"/>
            <w:tcBorders>
              <w:right w:val="single" w:sz="12" w:space="0" w:color="000000"/>
            </w:tcBorders>
            <w:vAlign w:val="center"/>
          </w:tcPr>
          <w:p w14:paraId="2F1299FE" w14:textId="3F424541" w:rsidR="005710A9" w:rsidRDefault="005710A9" w:rsidP="00634646">
            <w:pPr>
              <w:jc w:val="center"/>
              <w:rPr>
                <w:sz w:val="18"/>
                <w:szCs w:val="18"/>
              </w:rPr>
            </w:pPr>
            <w:r>
              <w:rPr>
                <w:sz w:val="18"/>
                <w:szCs w:val="18"/>
              </w:rPr>
              <w:t>Topic Area 3</w:t>
            </w:r>
          </w:p>
        </w:tc>
        <w:tc>
          <w:tcPr>
            <w:tcW w:w="900" w:type="dxa"/>
            <w:tcBorders>
              <w:left w:val="single" w:sz="4" w:space="0" w:color="000000"/>
              <w:bottom w:val="single" w:sz="4" w:space="0" w:color="000000"/>
            </w:tcBorders>
            <w:vAlign w:val="center"/>
          </w:tcPr>
          <w:p w14:paraId="77AA6243" w14:textId="40CFCE50" w:rsidR="005710A9" w:rsidRPr="008015FD" w:rsidRDefault="005710A9" w:rsidP="00634646">
            <w:pPr>
              <w:jc w:val="center"/>
              <w:rPr>
                <w:sz w:val="20"/>
              </w:rPr>
            </w:pPr>
            <w:r>
              <w:rPr>
                <w:sz w:val="20"/>
              </w:rPr>
              <w:t>Yes</w:t>
            </w:r>
          </w:p>
        </w:tc>
        <w:tc>
          <w:tcPr>
            <w:tcW w:w="4410" w:type="dxa"/>
            <w:gridSpan w:val="6"/>
            <w:tcBorders>
              <w:left w:val="single" w:sz="4" w:space="0" w:color="000000"/>
              <w:bottom w:val="single" w:sz="4" w:space="0" w:color="000000"/>
            </w:tcBorders>
            <w:vAlign w:val="center"/>
          </w:tcPr>
          <w:p w14:paraId="5E889EFF" w14:textId="1F4EA3D7" w:rsidR="005710A9" w:rsidRPr="008015FD" w:rsidRDefault="00350F83" w:rsidP="00634646">
            <w:pPr>
              <w:jc w:val="center"/>
              <w:rPr>
                <w:sz w:val="20"/>
              </w:rPr>
            </w:pPr>
            <w:r>
              <w:rPr>
                <w:sz w:val="20"/>
              </w:rPr>
              <w:t>Yes</w:t>
            </w:r>
          </w:p>
        </w:tc>
        <w:tc>
          <w:tcPr>
            <w:tcW w:w="810" w:type="dxa"/>
            <w:tcBorders>
              <w:left w:val="single" w:sz="4" w:space="0" w:color="000000"/>
              <w:bottom w:val="single" w:sz="4" w:space="0" w:color="000000"/>
            </w:tcBorders>
            <w:vAlign w:val="center"/>
          </w:tcPr>
          <w:p w14:paraId="3A4883D0" w14:textId="2F0296BD" w:rsidR="005710A9" w:rsidRPr="008015FD" w:rsidRDefault="00350F83" w:rsidP="00634646">
            <w:pPr>
              <w:jc w:val="center"/>
              <w:rPr>
                <w:sz w:val="20"/>
              </w:rPr>
            </w:pPr>
            <w:r>
              <w:rPr>
                <w:sz w:val="20"/>
              </w:rPr>
              <w:t>Yes</w:t>
            </w:r>
          </w:p>
        </w:tc>
        <w:tc>
          <w:tcPr>
            <w:tcW w:w="810" w:type="dxa"/>
            <w:tcBorders>
              <w:bottom w:val="single" w:sz="4" w:space="0" w:color="000000"/>
            </w:tcBorders>
            <w:vAlign w:val="center"/>
          </w:tcPr>
          <w:p w14:paraId="0AF5A0FA" w14:textId="698ED112" w:rsidR="005710A9" w:rsidRPr="008015FD" w:rsidRDefault="00350F83" w:rsidP="00634646">
            <w:pPr>
              <w:jc w:val="center"/>
              <w:rPr>
                <w:sz w:val="20"/>
              </w:rPr>
            </w:pPr>
            <w:r>
              <w:rPr>
                <w:sz w:val="20"/>
              </w:rPr>
              <w:t>Yes</w:t>
            </w:r>
          </w:p>
        </w:tc>
        <w:tc>
          <w:tcPr>
            <w:tcW w:w="900" w:type="dxa"/>
            <w:tcBorders>
              <w:bottom w:val="single" w:sz="4" w:space="0" w:color="000000"/>
              <w:right w:val="single" w:sz="4" w:space="0" w:color="000000"/>
            </w:tcBorders>
            <w:vAlign w:val="center"/>
          </w:tcPr>
          <w:p w14:paraId="0C2D4534" w14:textId="0E21AEB4" w:rsidR="005710A9" w:rsidRPr="008015FD" w:rsidRDefault="00350F83" w:rsidP="00634646">
            <w:pPr>
              <w:jc w:val="center"/>
              <w:rPr>
                <w:sz w:val="20"/>
              </w:rPr>
            </w:pPr>
            <w:r>
              <w:rPr>
                <w:sz w:val="20"/>
              </w:rPr>
              <w:t>Yes</w:t>
            </w:r>
          </w:p>
        </w:tc>
        <w:tc>
          <w:tcPr>
            <w:tcW w:w="1170" w:type="dxa"/>
            <w:tcBorders>
              <w:bottom w:val="single" w:sz="4" w:space="0" w:color="000000"/>
              <w:right w:val="single" w:sz="4" w:space="0" w:color="000000"/>
            </w:tcBorders>
            <w:vAlign w:val="center"/>
          </w:tcPr>
          <w:p w14:paraId="3FC4A013" w14:textId="299433AC" w:rsidR="005710A9" w:rsidRPr="00800F17" w:rsidRDefault="00350F83" w:rsidP="00634646">
            <w:pPr>
              <w:jc w:val="center"/>
              <w:rPr>
                <w:sz w:val="20"/>
              </w:rPr>
            </w:pPr>
            <w:r>
              <w:rPr>
                <w:sz w:val="20"/>
              </w:rPr>
              <w:t>Yes</w:t>
            </w:r>
          </w:p>
        </w:tc>
      </w:tr>
      <w:bookmarkEnd w:id="847"/>
    </w:tbl>
    <w:p w14:paraId="1AD51BE8" w14:textId="77777777" w:rsidR="009014E4" w:rsidRPr="008858B4" w:rsidRDefault="009014E4" w:rsidP="009014E4"/>
    <w:p w14:paraId="7C9C5404" w14:textId="77777777" w:rsidR="009014E4" w:rsidRDefault="009014E4" w:rsidP="009014E4"/>
    <w:p w14:paraId="14501B43" w14:textId="77777777" w:rsidR="009014E4" w:rsidRDefault="009014E4" w:rsidP="009014E4">
      <w:pPr>
        <w:rPr>
          <w:rFonts w:ascii="Calibri" w:hAnsi="Calibri"/>
          <w:b/>
        </w:rPr>
      </w:pPr>
      <w:r>
        <w:rPr>
          <w:rFonts w:ascii="Calibri" w:hAnsi="Calibri"/>
          <w:b/>
        </w:rPr>
        <w:t>Feedstock Definitions:</w:t>
      </w:r>
    </w:p>
    <w:p w14:paraId="60328BEA" w14:textId="77777777" w:rsidR="009014E4" w:rsidRDefault="009014E4" w:rsidP="009014E4">
      <w:pPr>
        <w:rPr>
          <w:rFonts w:ascii="Calibri" w:hAnsi="Calibri"/>
          <w:b/>
        </w:rPr>
      </w:pPr>
    </w:p>
    <w:p w14:paraId="0E2E8127" w14:textId="77777777" w:rsidR="009014E4" w:rsidRPr="008015FD" w:rsidRDefault="009014E4" w:rsidP="009014E4">
      <w:pPr>
        <w:rPr>
          <w:rFonts w:ascii="Calibri" w:hAnsi="Calibri"/>
        </w:rPr>
      </w:pPr>
      <w:r w:rsidRPr="008015FD">
        <w:rPr>
          <w:rFonts w:ascii="Calibri" w:hAnsi="Calibri"/>
          <w:b/>
        </w:rPr>
        <w:t>“Biomass”</w:t>
      </w:r>
      <w:r w:rsidRPr="008015FD">
        <w:rPr>
          <w:rFonts w:ascii="Calibri" w:hAnsi="Calibri"/>
        </w:rPr>
        <w:t xml:space="preserve"> is defined generally in the authorizing language of EPAct 2005, §932 (reproduced below). More specifically for the purposes of this FOA, biomass includes agricultural residues, forest resources, perennial grasses, woody energy crops, algae, organic wet waste (e.g., biosolids), sorted municipal solid waste, food waste, and biogas.  </w:t>
      </w:r>
    </w:p>
    <w:p w14:paraId="291D7349" w14:textId="77777777" w:rsidR="009014E4" w:rsidRPr="008015FD" w:rsidRDefault="009014E4" w:rsidP="009014E4">
      <w:pPr>
        <w:rPr>
          <w:rFonts w:ascii="Calibri" w:hAnsi="Calibri"/>
        </w:rPr>
      </w:pPr>
      <w:r w:rsidRPr="008015FD">
        <w:rPr>
          <w:rFonts w:ascii="Calibri" w:hAnsi="Calibri"/>
        </w:rPr>
        <w:t xml:space="preserve"> </w:t>
      </w:r>
    </w:p>
    <w:p w14:paraId="69DC813F" w14:textId="77777777" w:rsidR="009014E4" w:rsidRPr="008015FD" w:rsidRDefault="009014E4" w:rsidP="009014E4">
      <w:r w:rsidRPr="008015FD">
        <w:rPr>
          <w:b/>
        </w:rPr>
        <w:t>“Lignocellulosic Feedstocks”</w:t>
      </w:r>
      <w:r w:rsidRPr="008015FD">
        <w:t xml:space="preserve"> </w:t>
      </w:r>
      <w:r w:rsidRPr="008015FD">
        <w:rPr>
          <w:rFonts w:ascii="Calibri" w:hAnsi="Calibri"/>
        </w:rPr>
        <w:t>are defined generally in the authorizing language of EPAct 2005, §932 (reproduced below). More specifically</w:t>
      </w:r>
      <w:r w:rsidRPr="008015FD">
        <w:t xml:space="preserve"> for the purposes of this FOA, are defined as </w:t>
      </w:r>
      <w:r w:rsidRPr="008015FD">
        <w:rPr>
          <w:rFonts w:ascii="Calibri" w:hAnsi="Calibri"/>
        </w:rPr>
        <w:t>any portion of a plant or coproduct from conversion, including crops, trees, forest residues, and agricultural residues not specifically grown for food, [emphasis added] including from barley grain, grape seed, rice bran, rice hulls, rice straw, soybean matter, and sugarcane bagasse.</w:t>
      </w:r>
    </w:p>
    <w:p w14:paraId="4B5743E6" w14:textId="77777777" w:rsidR="009014E4" w:rsidRPr="008015FD" w:rsidRDefault="009014E4" w:rsidP="009014E4"/>
    <w:p w14:paraId="6DD4AB9D" w14:textId="77777777" w:rsidR="009014E4" w:rsidRPr="008015FD" w:rsidRDefault="009014E4" w:rsidP="009014E4">
      <w:pPr>
        <w:rPr>
          <w:rFonts w:ascii="Calibri" w:hAnsi="Calibri"/>
        </w:rPr>
      </w:pPr>
      <w:r w:rsidRPr="008015FD">
        <w:rPr>
          <w:rFonts w:ascii="Calibri" w:hAnsi="Calibri"/>
          <w:b/>
        </w:rPr>
        <w:t>“Algae”</w:t>
      </w:r>
      <w:r w:rsidRPr="008015FD">
        <w:rPr>
          <w:rFonts w:ascii="Calibri" w:hAnsi="Calibri"/>
        </w:rPr>
        <w:t xml:space="preserve"> for the purpose of this FOA, as included in the definition of “biomass” above is defined as eukaryotic microalgae, macroalgae (seaweed), and cyanobacteria.</w:t>
      </w:r>
    </w:p>
    <w:p w14:paraId="12C896CE" w14:textId="77777777" w:rsidR="009014E4" w:rsidRPr="008015FD" w:rsidRDefault="009014E4" w:rsidP="009014E4">
      <w:pPr>
        <w:rPr>
          <w:rFonts w:ascii="Calibri" w:hAnsi="Calibri"/>
        </w:rPr>
      </w:pPr>
      <w:r w:rsidRPr="008015FD">
        <w:rPr>
          <w:rFonts w:ascii="Calibri" w:hAnsi="Calibri"/>
        </w:rPr>
        <w:t xml:space="preserve"> </w:t>
      </w:r>
    </w:p>
    <w:p w14:paraId="344E1E8D" w14:textId="77777777" w:rsidR="009014E4" w:rsidRPr="008015FD" w:rsidRDefault="009014E4" w:rsidP="009014E4">
      <w:r w:rsidRPr="008015FD">
        <w:rPr>
          <w:b/>
        </w:rPr>
        <w:t>“Organic Wet Waste”</w:t>
      </w:r>
      <w:r w:rsidRPr="008015FD">
        <w:t xml:space="preserve"> for the purpose of this FOA, “wet waste” refers to the following: primary, secondary, tertiary, and post-anaerobic digestion sludge (i.e., biosolids) from municipal wastewater treatment systems; food wastes from industrial, commercial, and residential sources; organic-rich wastewaters from industrial and commercial operations; manure slurries from animal husbandry operations.</w:t>
      </w:r>
    </w:p>
    <w:p w14:paraId="33F6C62A" w14:textId="77777777" w:rsidR="009014E4" w:rsidRPr="008015FD" w:rsidRDefault="009014E4" w:rsidP="009014E4"/>
    <w:p w14:paraId="1D1D02EA" w14:textId="230FB491" w:rsidR="009014E4" w:rsidRPr="008015FD" w:rsidRDefault="009014E4" w:rsidP="009014E4">
      <w:r w:rsidRPr="008015FD">
        <w:rPr>
          <w:b/>
        </w:rPr>
        <w:lastRenderedPageBreak/>
        <w:t>“Sorted Municipal Solid Waste”</w:t>
      </w:r>
      <w:r w:rsidRPr="008015FD">
        <w:t xml:space="preserve"> for the for the purposes of this FOA, is defined as the organic and plastic constituents of the MSW stream going to the landfill (typically known as municipal garbage). See chapter 2 in the Resource Conservation and Recovery Act Orientation Manual 2014 - </w:t>
      </w:r>
      <w:hyperlink r:id="rId78">
        <w:r w:rsidRPr="008015FD">
          <w:rPr>
            <w:color w:val="0000FF"/>
            <w:u w:val="single"/>
          </w:rPr>
          <w:t>https://www.epa.gov/sites/production/files/2015-07/documents/rom.pdf</w:t>
        </w:r>
      </w:hyperlink>
      <w:r w:rsidRPr="008015FD">
        <w:t xml:space="preserve"> </w:t>
      </w:r>
    </w:p>
    <w:p w14:paraId="7D0593AF" w14:textId="77777777" w:rsidR="009014E4" w:rsidRPr="008015FD" w:rsidRDefault="009014E4" w:rsidP="009014E4"/>
    <w:p w14:paraId="59FFA81E" w14:textId="77777777" w:rsidR="009014E4" w:rsidRPr="008015FD" w:rsidRDefault="009014E4" w:rsidP="009014E4">
      <w:r w:rsidRPr="008015FD">
        <w:rPr>
          <w:b/>
        </w:rPr>
        <w:t>“Food Waste”</w:t>
      </w:r>
      <w:r w:rsidRPr="008015FD">
        <w:t xml:space="preserve"> for the purposes of this FOA, is defined as food from industrial, commercial, and residential sources that is no longer suitable for human consumption which would have otherwise entered an anaerobic digester, landfill or other post consumer disposition.</w:t>
      </w:r>
    </w:p>
    <w:p w14:paraId="3FE1775E" w14:textId="77777777" w:rsidR="009014E4" w:rsidRPr="008015FD" w:rsidRDefault="009014E4" w:rsidP="009014E4"/>
    <w:p w14:paraId="47AD1D47" w14:textId="77777777" w:rsidR="009014E4" w:rsidRPr="008015FD" w:rsidRDefault="009014E4" w:rsidP="009014E4">
      <w:r w:rsidRPr="008015FD">
        <w:rPr>
          <w:b/>
        </w:rPr>
        <w:t>“Biogas”</w:t>
      </w:r>
      <w:r w:rsidRPr="008015FD">
        <w:t xml:space="preserve"> for the purpose of this FOA, refers to the mixture of gases produced by the breakdown of organic matter in the absence of oxygen, primarily consisting of methane and carbon dioxide. </w:t>
      </w:r>
    </w:p>
    <w:p w14:paraId="5748F53F" w14:textId="77777777" w:rsidR="009014E4" w:rsidRPr="008015FD" w:rsidRDefault="009014E4" w:rsidP="009014E4">
      <w:pPr>
        <w:rPr>
          <w:rFonts w:ascii="Calibri" w:hAnsi="Calibri"/>
        </w:rPr>
      </w:pPr>
    </w:p>
    <w:p w14:paraId="24F56487" w14:textId="77777777" w:rsidR="009014E4" w:rsidRPr="008015FD" w:rsidRDefault="009014E4" w:rsidP="009014E4">
      <w:bookmarkStart w:id="849" w:name="_heading=h.qbtyoq" w:colFirst="0" w:colLast="0"/>
      <w:bookmarkEnd w:id="849"/>
      <w:r w:rsidRPr="008015FD">
        <w:rPr>
          <w:b/>
        </w:rPr>
        <w:t>“Grain Starch”</w:t>
      </w:r>
      <w:r w:rsidRPr="008015FD">
        <w:t xml:space="preserve"> for the purposes of this FOA, refers to commercially available starch derived yellow dent feed corn, wheat and grain sorghum/milo.  </w:t>
      </w:r>
      <w:r w:rsidRPr="008015FD">
        <w:rPr>
          <w:rFonts w:ascii="Calibri" w:hAnsi="Calibri"/>
        </w:rPr>
        <w:t xml:space="preserve">Please note that Greenhouse Gas reductions of at least 70% must be met if utilizing </w:t>
      </w:r>
      <w:r>
        <w:rPr>
          <w:rFonts w:ascii="Calibri" w:hAnsi="Calibri"/>
        </w:rPr>
        <w:t>grain starch</w:t>
      </w:r>
      <w:r w:rsidRPr="008015FD">
        <w:rPr>
          <w:rFonts w:ascii="Calibri" w:hAnsi="Calibri"/>
        </w:rPr>
        <w:t>.</w:t>
      </w:r>
    </w:p>
    <w:p w14:paraId="751E656F" w14:textId="77777777" w:rsidR="009014E4" w:rsidRPr="008015FD" w:rsidRDefault="009014E4" w:rsidP="009014E4">
      <w:pPr>
        <w:rPr>
          <w:rFonts w:ascii="Calibri" w:hAnsi="Calibri"/>
        </w:rPr>
      </w:pPr>
    </w:p>
    <w:p w14:paraId="2A263DB9" w14:textId="77777777" w:rsidR="009014E4" w:rsidRDefault="009014E4" w:rsidP="009014E4">
      <w:pPr>
        <w:rPr>
          <w:rFonts w:ascii="Calibri" w:hAnsi="Calibri"/>
        </w:rPr>
      </w:pPr>
      <w:r w:rsidRPr="00AF2E02">
        <w:rPr>
          <w:rFonts w:ascii="Calibri" w:hAnsi="Calibri"/>
          <w:b/>
          <w:bCs/>
        </w:rPr>
        <w:t>“Oilseed Crops”</w:t>
      </w:r>
      <w:r w:rsidRPr="008015FD">
        <w:rPr>
          <w:rFonts w:ascii="Calibri" w:hAnsi="Calibri"/>
        </w:rPr>
        <w:t xml:space="preserve"> for the purposes of this FOA, refers to US</w:t>
      </w:r>
      <w:r w:rsidRPr="00AF2E02">
        <w:rPr>
          <w:rFonts w:ascii="Calibri" w:hAnsi="Calibri"/>
        </w:rPr>
        <w:t>-</w:t>
      </w:r>
      <w:r w:rsidRPr="008015FD">
        <w:rPr>
          <w:rFonts w:ascii="Calibri" w:hAnsi="Calibri"/>
        </w:rPr>
        <w:t>produced</w:t>
      </w:r>
      <w:r w:rsidRPr="00AF2E02">
        <w:rPr>
          <w:rFonts w:ascii="Calibri" w:hAnsi="Calibri"/>
        </w:rPr>
        <w:t>,</w:t>
      </w:r>
      <w:r w:rsidRPr="008015FD">
        <w:rPr>
          <w:rFonts w:ascii="Calibri" w:hAnsi="Calibri"/>
        </w:rPr>
        <w:t xml:space="preserve"> oil producing </w:t>
      </w:r>
      <w:r w:rsidRPr="00AF2E02">
        <w:rPr>
          <w:rFonts w:ascii="Calibri" w:hAnsi="Calibri"/>
        </w:rPr>
        <w:t>crops including, but not limited to</w:t>
      </w:r>
      <w:r w:rsidRPr="008015FD">
        <w:rPr>
          <w:rFonts w:ascii="Calibri" w:hAnsi="Calibri"/>
        </w:rPr>
        <w:t xml:space="preserve"> soybeans, cottonseed, sunflower</w:t>
      </w:r>
      <w:r>
        <w:rPr>
          <w:rFonts w:ascii="Calibri" w:hAnsi="Calibri"/>
        </w:rPr>
        <w:t xml:space="preserve"> </w:t>
      </w:r>
      <w:r w:rsidRPr="008015FD">
        <w:rPr>
          <w:rFonts w:ascii="Calibri" w:hAnsi="Calibri"/>
        </w:rPr>
        <w:t>seed, canola, rapeseed, peanuts</w:t>
      </w:r>
      <w:r w:rsidRPr="00AF2E02">
        <w:rPr>
          <w:rFonts w:ascii="Calibri" w:hAnsi="Calibri"/>
        </w:rPr>
        <w:t xml:space="preserve">, </w:t>
      </w:r>
      <w:r w:rsidRPr="008015FD">
        <w:rPr>
          <w:rFonts w:ascii="Calibri" w:hAnsi="Calibri"/>
        </w:rPr>
        <w:t>camelina</w:t>
      </w:r>
      <w:r w:rsidRPr="00AF2E02">
        <w:rPr>
          <w:rFonts w:ascii="Calibri" w:hAnsi="Calibri"/>
        </w:rPr>
        <w:t xml:space="preserve">, </w:t>
      </w:r>
      <w:r>
        <w:rPr>
          <w:rFonts w:ascii="Calibri" w:hAnsi="Calibri"/>
        </w:rPr>
        <w:t xml:space="preserve">carinata, pennycress, </w:t>
      </w:r>
      <w:r w:rsidRPr="00AF2E02">
        <w:rPr>
          <w:rFonts w:ascii="Calibri" w:hAnsi="Calibri"/>
        </w:rPr>
        <w:t xml:space="preserve">and </w:t>
      </w:r>
      <w:r w:rsidRPr="008015FD">
        <w:rPr>
          <w:rFonts w:ascii="Calibri" w:hAnsi="Calibri"/>
        </w:rPr>
        <w:t xml:space="preserve">oil </w:t>
      </w:r>
      <w:r w:rsidRPr="00AF2E02">
        <w:rPr>
          <w:rFonts w:ascii="Calibri" w:hAnsi="Calibri"/>
        </w:rPr>
        <w:t>producing</w:t>
      </w:r>
      <w:r w:rsidRPr="008015FD">
        <w:rPr>
          <w:rFonts w:ascii="Calibri" w:hAnsi="Calibri"/>
        </w:rPr>
        <w:t xml:space="preserve"> annual cover</w:t>
      </w:r>
      <w:r>
        <w:rPr>
          <w:rFonts w:ascii="Calibri" w:hAnsi="Calibri"/>
        </w:rPr>
        <w:t xml:space="preserve"> </w:t>
      </w:r>
      <w:r w:rsidRPr="008015FD">
        <w:rPr>
          <w:rFonts w:ascii="Calibri" w:hAnsi="Calibri"/>
        </w:rPr>
        <w:t>crops</w:t>
      </w:r>
      <w:r w:rsidRPr="008015FD">
        <w:rPr>
          <w:rStyle w:val="FootnoteReference"/>
          <w:rFonts w:ascii="Calibri" w:hAnsi="Calibri"/>
        </w:rPr>
        <w:footnoteReference w:id="58"/>
      </w:r>
      <w:r w:rsidRPr="00AF2E02">
        <w:rPr>
          <w:rStyle w:val="FootnoteReference"/>
          <w:rFonts w:ascii="Calibri" w:hAnsi="Calibri"/>
        </w:rPr>
        <w:footnoteReference w:id="59"/>
      </w:r>
      <w:r w:rsidRPr="008015FD">
        <w:rPr>
          <w:rFonts w:ascii="Calibri" w:hAnsi="Calibri"/>
        </w:rPr>
        <w:t>. Please note that Greenhouse Gas reductions of at least 70% must be met if utilizing an oil seed crop(s).</w:t>
      </w:r>
    </w:p>
    <w:p w14:paraId="181AB95A" w14:textId="77777777" w:rsidR="009014E4" w:rsidRDefault="009014E4" w:rsidP="009014E4">
      <w:pPr>
        <w:rPr>
          <w:rFonts w:ascii="Calibri" w:hAnsi="Calibri"/>
        </w:rPr>
      </w:pPr>
    </w:p>
    <w:p w14:paraId="54456EB0" w14:textId="77777777" w:rsidR="009014E4" w:rsidRPr="00660874" w:rsidRDefault="009014E4" w:rsidP="009014E4">
      <w:pPr>
        <w:rPr>
          <w:rFonts w:ascii="Calibri" w:hAnsi="Calibri"/>
          <w:szCs w:val="24"/>
        </w:rPr>
      </w:pPr>
      <w:r w:rsidRPr="00660874">
        <w:rPr>
          <w:rFonts w:ascii="Calibri" w:hAnsi="Calibri"/>
          <w:b/>
          <w:bCs/>
          <w:szCs w:val="24"/>
        </w:rPr>
        <w:t>“Construction and Demolition Waste”</w:t>
      </w:r>
      <w:r w:rsidRPr="00602856">
        <w:rPr>
          <w:rFonts w:ascii="Calibri" w:hAnsi="Calibri"/>
          <w:b/>
          <w:bCs/>
          <w:szCs w:val="24"/>
        </w:rPr>
        <w:t xml:space="preserve"> or</w:t>
      </w:r>
      <w:r>
        <w:rPr>
          <w:rFonts w:ascii="Calibri" w:hAnsi="Calibri"/>
          <w:b/>
          <w:bCs/>
          <w:szCs w:val="24"/>
        </w:rPr>
        <w:t xml:space="preserve"> “C&amp;D Waste”</w:t>
      </w:r>
      <w:r>
        <w:rPr>
          <w:rFonts w:ascii="Calibri" w:hAnsi="Calibri"/>
          <w:szCs w:val="24"/>
        </w:rPr>
        <w:t xml:space="preserve"> for the purposes of this FOA, refers to </w:t>
      </w:r>
      <w:r w:rsidRPr="00602856">
        <w:rPr>
          <w:rFonts w:ascii="Calibri" w:hAnsi="Calibri"/>
          <w:szCs w:val="24"/>
        </w:rPr>
        <w:t>a type of waste that is not included in municipal solid waste (MSW). Materials included in the C&amp;D debris generation estimates are steel, wood products, drywall and plaster, brick and clay tile, asphalt shingles, concrete, and asphalt concrete. These materials are used in buildings, roads and bridges, and other sectors.</w:t>
      </w:r>
    </w:p>
    <w:p w14:paraId="06B42A3C" w14:textId="77777777" w:rsidR="009014E4" w:rsidRPr="008015FD" w:rsidRDefault="009014E4" w:rsidP="009014E4">
      <w:pPr>
        <w:rPr>
          <w:rFonts w:ascii="Calibri" w:hAnsi="Calibri"/>
        </w:rPr>
      </w:pPr>
    </w:p>
    <w:p w14:paraId="48C50089" w14:textId="77777777" w:rsidR="009014E4" w:rsidRDefault="009014E4" w:rsidP="009014E4">
      <w:pPr>
        <w:rPr>
          <w:rFonts w:ascii="Calibri" w:hAnsi="Calibri"/>
        </w:rPr>
      </w:pPr>
      <w:r w:rsidRPr="008015FD">
        <w:rPr>
          <w:rFonts w:ascii="Calibri" w:hAnsi="Calibri"/>
          <w:b/>
        </w:rPr>
        <w:t>“Waste Carbon Dioxide”</w:t>
      </w:r>
      <w:r w:rsidRPr="008015FD">
        <w:rPr>
          <w:rFonts w:ascii="Calibri" w:hAnsi="Calibri"/>
        </w:rPr>
        <w:t xml:space="preserve"> for the purpose of this FOA, refers to any waste carbon dioxide (CO</w:t>
      </w:r>
      <w:r w:rsidRPr="008015FD">
        <w:rPr>
          <w:rFonts w:ascii="Calibri" w:hAnsi="Calibri"/>
          <w:vertAlign w:val="subscript"/>
        </w:rPr>
        <w:t>2</w:t>
      </w:r>
      <w:r w:rsidRPr="008015FD">
        <w:rPr>
          <w:rFonts w:ascii="Calibri" w:hAnsi="Calibri"/>
        </w:rPr>
        <w:t xml:space="preserve">) produced as a byproduct from fermentation or the combustion of biomass or other biopower processes. </w:t>
      </w:r>
      <w:bookmarkStart w:id="850" w:name="_heading=h.2b6jogx" w:colFirst="0" w:colLast="0"/>
      <w:bookmarkEnd w:id="850"/>
    </w:p>
    <w:p w14:paraId="48B25F36" w14:textId="77777777" w:rsidR="009014E4" w:rsidRDefault="009014E4" w:rsidP="009014E4">
      <w:pPr>
        <w:rPr>
          <w:rFonts w:ascii="Calibri" w:hAnsi="Calibri"/>
        </w:rPr>
      </w:pPr>
    </w:p>
    <w:p w14:paraId="7DFB737B" w14:textId="77777777" w:rsidR="009014E4" w:rsidRDefault="009014E4" w:rsidP="009014E4">
      <w:pPr>
        <w:rPr>
          <w:rFonts w:ascii="Calibri" w:hAnsi="Calibri"/>
        </w:rPr>
      </w:pPr>
      <w:r w:rsidRPr="005A3482">
        <w:rPr>
          <w:rFonts w:ascii="Calibri" w:hAnsi="Calibri"/>
          <w:b/>
          <w:bCs/>
        </w:rPr>
        <w:t>“Carbon Dioxide by Direct Air Capture”</w:t>
      </w:r>
      <w:r>
        <w:rPr>
          <w:rFonts w:ascii="Calibri" w:hAnsi="Calibri"/>
        </w:rPr>
        <w:t xml:space="preserve"> for the purposes of this FOA, refers to </w:t>
      </w:r>
      <w:r w:rsidRPr="008015FD">
        <w:rPr>
          <w:rFonts w:ascii="Calibri" w:hAnsi="Calibri"/>
        </w:rPr>
        <w:t xml:space="preserve">carbon dioxide </w:t>
      </w:r>
      <w:r>
        <w:rPr>
          <w:rFonts w:ascii="Calibri" w:hAnsi="Calibri"/>
        </w:rPr>
        <w:t>(</w:t>
      </w:r>
      <w:r w:rsidRPr="005A3482">
        <w:rPr>
          <w:rFonts w:ascii="Calibri" w:hAnsi="Calibri"/>
          <w:szCs w:val="24"/>
        </w:rPr>
        <w:t>CO</w:t>
      </w:r>
      <w:r w:rsidRPr="005A3482">
        <w:rPr>
          <w:rFonts w:ascii="Calibri" w:hAnsi="Calibri"/>
          <w:szCs w:val="24"/>
          <w:vertAlign w:val="subscript"/>
        </w:rPr>
        <w:t>2</w:t>
      </w:r>
      <w:r w:rsidRPr="005A3482">
        <w:rPr>
          <w:rFonts w:ascii="Calibri" w:hAnsi="Calibri"/>
          <w:szCs w:val="24"/>
        </w:rPr>
        <w:t xml:space="preserve">) from the ambient air, which has been either captured in Direct Air Capture (DAC) machines and delivered to algal systems or captured through chemically, biologically, or </w:t>
      </w:r>
      <w:r w:rsidRPr="005A3482">
        <w:rPr>
          <w:rFonts w:ascii="Calibri" w:hAnsi="Calibri"/>
        </w:rPr>
        <w:t>mechanically assisted</w:t>
      </w:r>
      <w:r w:rsidRPr="005A3482">
        <w:rPr>
          <w:rFonts w:ascii="Calibri" w:hAnsi="Calibri"/>
          <w:szCs w:val="24"/>
        </w:rPr>
        <w:t xml:space="preserve"> accelerated diffusion of air into algal system growth media.</w:t>
      </w:r>
      <w:r>
        <w:rPr>
          <w:rFonts w:ascii="Calibri" w:hAnsi="Calibri"/>
        </w:rPr>
        <w:t xml:space="preserve"> </w:t>
      </w:r>
    </w:p>
    <w:p w14:paraId="328A1FDC" w14:textId="77777777" w:rsidR="009014E4" w:rsidRDefault="009014E4" w:rsidP="009014E4">
      <w:pPr>
        <w:rPr>
          <w:rFonts w:ascii="Calibri" w:hAnsi="Calibri"/>
          <w:b/>
        </w:rPr>
      </w:pPr>
    </w:p>
    <w:p w14:paraId="77F4FD3B" w14:textId="77777777" w:rsidR="009014E4" w:rsidRPr="008015FD" w:rsidRDefault="009014E4" w:rsidP="009014E4">
      <w:pPr>
        <w:rPr>
          <w:rFonts w:ascii="Calibri" w:hAnsi="Calibri"/>
          <w:b/>
        </w:rPr>
      </w:pPr>
      <w:r w:rsidRPr="008015FD">
        <w:rPr>
          <w:rFonts w:ascii="Calibri" w:hAnsi="Calibri"/>
          <w:b/>
        </w:rPr>
        <w:t xml:space="preserve">EPAct 2005, §932, codified at 42 U.S.C. § 16232. BIOENERGY PROGRAM. </w:t>
      </w:r>
    </w:p>
    <w:p w14:paraId="0CA3B720" w14:textId="77777777" w:rsidR="009014E4" w:rsidRPr="008015FD" w:rsidRDefault="009014E4" w:rsidP="009014E4">
      <w:pPr>
        <w:rPr>
          <w:rFonts w:ascii="Calibri" w:hAnsi="Calibri"/>
        </w:rPr>
      </w:pPr>
      <w:r w:rsidRPr="008015FD">
        <w:rPr>
          <w:rFonts w:ascii="Calibri" w:hAnsi="Calibri"/>
        </w:rPr>
        <w:lastRenderedPageBreak/>
        <w:t xml:space="preserve"> </w:t>
      </w:r>
    </w:p>
    <w:p w14:paraId="7FB4EF4F" w14:textId="77777777" w:rsidR="009014E4" w:rsidRPr="008015FD" w:rsidRDefault="009014E4" w:rsidP="009014E4">
      <w:r w:rsidRPr="008015FD">
        <w:rPr>
          <w:rFonts w:ascii="Calibri" w:hAnsi="Calibri"/>
        </w:rPr>
        <w:t xml:space="preserve">(a) DEFINITIONS:—In this section:  </w:t>
      </w:r>
    </w:p>
    <w:p w14:paraId="5B4D9BBD" w14:textId="77777777" w:rsidR="009014E4" w:rsidRPr="008015FD" w:rsidRDefault="009014E4" w:rsidP="009014E4">
      <w:pPr>
        <w:ind w:firstLine="720"/>
      </w:pPr>
      <w:r w:rsidRPr="008015FD">
        <w:rPr>
          <w:rFonts w:ascii="Calibri" w:hAnsi="Calibri"/>
        </w:rPr>
        <w:t xml:space="preserve">(1) BIOMASS.—The term “biomass” means—   </w:t>
      </w:r>
    </w:p>
    <w:p w14:paraId="4B5C8D2F" w14:textId="77777777" w:rsidR="009014E4" w:rsidRPr="008015FD" w:rsidRDefault="009014E4" w:rsidP="009014E4">
      <w:pPr>
        <w:ind w:left="720" w:firstLine="720"/>
      </w:pPr>
      <w:r w:rsidRPr="008015FD">
        <w:rPr>
          <w:rFonts w:ascii="Calibri" w:hAnsi="Calibri"/>
        </w:rPr>
        <w:t xml:space="preserve">(A) any organic material grown for the purpose of being converted to energy;  </w:t>
      </w:r>
    </w:p>
    <w:p w14:paraId="38A110A7" w14:textId="77777777" w:rsidR="009014E4" w:rsidRPr="008015FD" w:rsidRDefault="009014E4" w:rsidP="009014E4">
      <w:pPr>
        <w:ind w:left="1440"/>
      </w:pPr>
      <w:r w:rsidRPr="008015FD">
        <w:rPr>
          <w:rFonts w:ascii="Calibri" w:hAnsi="Calibri"/>
        </w:rPr>
        <w:t xml:space="preserve">(B) any organic byproduct of agriculture (including wastes from food production and processing) that can be converted into energy; or  </w:t>
      </w:r>
    </w:p>
    <w:p w14:paraId="1608A293" w14:textId="77777777" w:rsidR="009014E4" w:rsidRPr="008015FD" w:rsidRDefault="009014E4" w:rsidP="009014E4">
      <w:pPr>
        <w:ind w:left="1440"/>
      </w:pPr>
      <w:r w:rsidRPr="008015FD">
        <w:rPr>
          <w:rFonts w:ascii="Calibri" w:hAnsi="Calibri"/>
        </w:rPr>
        <w:t xml:space="preserve">(C) any waste material that can be converted to energy, is segregated from other waste materials, and is derived from—    </w:t>
      </w:r>
    </w:p>
    <w:p w14:paraId="645194F3" w14:textId="77777777" w:rsidR="009014E4" w:rsidRPr="008015FD" w:rsidRDefault="009014E4" w:rsidP="009014E4">
      <w:pPr>
        <w:ind w:left="2160"/>
      </w:pPr>
      <w:r w:rsidRPr="008015FD">
        <w:rPr>
          <w:rFonts w:ascii="Calibri" w:hAnsi="Calibri"/>
        </w:rPr>
        <w:t xml:space="preserve">(i) any of the following forest-related resources:  mill residues, precommercial thinnings, slash, brush, or otherwise non-merchantable material; or  </w:t>
      </w:r>
    </w:p>
    <w:p w14:paraId="28CC2D48" w14:textId="77777777" w:rsidR="009014E4" w:rsidRPr="008015FD" w:rsidRDefault="009014E4" w:rsidP="009014E4">
      <w:pPr>
        <w:ind w:left="2160"/>
      </w:pPr>
      <w:r w:rsidRPr="008015FD">
        <w:rPr>
          <w:rFonts w:ascii="Calibri" w:hAnsi="Calibri"/>
        </w:rPr>
        <w:t xml:space="preserve">(ii) wood waste materials, including waste pallets, crates, dunnage, manufacturing and construction wood wastes (other than pressure-treated, chemically-treated, or painted wood wastes), and landscape or right-of-way tree trimmings, but not including municipal solid waste, gas derived from the biodegradation of municipal solid waste or paper that is commonly recycled.  </w:t>
      </w:r>
    </w:p>
    <w:p w14:paraId="3BF1F86D" w14:textId="77777777" w:rsidR="009014E4" w:rsidRPr="008015FD" w:rsidRDefault="009014E4" w:rsidP="009014E4">
      <w:pPr>
        <w:ind w:left="720"/>
        <w:rPr>
          <w:rFonts w:ascii="Calibri" w:hAnsi="Calibri"/>
        </w:rPr>
      </w:pPr>
      <w:r w:rsidRPr="008015FD">
        <w:rPr>
          <w:rFonts w:ascii="Calibri" w:hAnsi="Calibri"/>
        </w:rPr>
        <w:t>(2) LIGNOCELLULOSIC FEEDSTOCK.—The term “lignocellulosic feedstock” means any portion of a plant or coproduct from conversion, including crops, trees, forest residues, and agricultural residues not specifically grown for food, [emphasis added] including from barley grain, grape seed, rice bran, rice hulls, rice straw, soybean matter, and sugarcane bagasse.</w:t>
      </w:r>
    </w:p>
    <w:p w14:paraId="4CD43C32" w14:textId="77777777" w:rsidR="009014E4" w:rsidRPr="008015FD" w:rsidRDefault="009014E4" w:rsidP="009014E4">
      <w:pPr>
        <w:rPr>
          <w:rFonts w:ascii="Calibri" w:hAnsi="Calibri"/>
        </w:rPr>
      </w:pPr>
    </w:p>
    <w:p w14:paraId="051638C3" w14:textId="77777777" w:rsidR="009014E4" w:rsidRPr="008015FD" w:rsidRDefault="009014E4" w:rsidP="009014E4">
      <w:r w:rsidRPr="008015FD">
        <w:rPr>
          <w:rFonts w:ascii="Calibri" w:hAnsi="Calibri"/>
        </w:rPr>
        <w:t xml:space="preserve"> (b) PROGRAM.—The Secretary shall conduct a program of research, development, demonstration, and commercial application for bioenergy, including—   </w:t>
      </w:r>
    </w:p>
    <w:p w14:paraId="408C4836" w14:textId="77777777" w:rsidR="009014E4" w:rsidRPr="008015FD" w:rsidRDefault="009014E4" w:rsidP="009014E4">
      <w:pPr>
        <w:ind w:firstLine="720"/>
      </w:pPr>
      <w:r w:rsidRPr="008015FD">
        <w:rPr>
          <w:rFonts w:ascii="Calibri" w:hAnsi="Calibri"/>
        </w:rPr>
        <w:t xml:space="preserve">(1) biopower energy systems;  </w:t>
      </w:r>
    </w:p>
    <w:p w14:paraId="60BB225F" w14:textId="77777777" w:rsidR="009014E4" w:rsidRPr="008015FD" w:rsidRDefault="009014E4" w:rsidP="009014E4">
      <w:pPr>
        <w:ind w:firstLine="720"/>
      </w:pPr>
      <w:r w:rsidRPr="008015FD">
        <w:rPr>
          <w:rFonts w:ascii="Calibri" w:hAnsi="Calibri"/>
        </w:rPr>
        <w:t xml:space="preserve">(2) biofuels;  </w:t>
      </w:r>
    </w:p>
    <w:p w14:paraId="06227FCA" w14:textId="77777777" w:rsidR="009014E4" w:rsidRPr="008015FD" w:rsidRDefault="009014E4" w:rsidP="009014E4">
      <w:pPr>
        <w:ind w:firstLine="720"/>
      </w:pPr>
      <w:r w:rsidRPr="008015FD">
        <w:rPr>
          <w:rFonts w:ascii="Calibri" w:hAnsi="Calibri"/>
        </w:rPr>
        <w:t xml:space="preserve">(3) bioproducts;  </w:t>
      </w:r>
    </w:p>
    <w:p w14:paraId="748D23B9" w14:textId="77777777" w:rsidR="009014E4" w:rsidRPr="008015FD" w:rsidRDefault="009014E4" w:rsidP="009014E4">
      <w:pPr>
        <w:ind w:firstLine="720"/>
      </w:pPr>
      <w:r w:rsidRPr="008015FD">
        <w:rPr>
          <w:rFonts w:ascii="Calibri" w:hAnsi="Calibri"/>
        </w:rPr>
        <w:t xml:space="preserve">(4) integrated biorefineries that may produce biopower, biofuels, and bioproducts;  </w:t>
      </w:r>
    </w:p>
    <w:p w14:paraId="65A06B03" w14:textId="77777777" w:rsidR="009014E4" w:rsidRPr="008015FD" w:rsidRDefault="009014E4" w:rsidP="009014E4">
      <w:pPr>
        <w:ind w:firstLine="720"/>
      </w:pPr>
      <w:r w:rsidRPr="008015FD">
        <w:rPr>
          <w:rFonts w:ascii="Calibri" w:hAnsi="Calibri"/>
        </w:rPr>
        <w:t xml:space="preserve">(5) cross-cutting research and development in feedstocks; and   </w:t>
      </w:r>
    </w:p>
    <w:p w14:paraId="56364734" w14:textId="77777777" w:rsidR="009014E4" w:rsidRPr="008015FD" w:rsidRDefault="009014E4" w:rsidP="009014E4">
      <w:pPr>
        <w:ind w:firstLine="720"/>
        <w:rPr>
          <w:rFonts w:ascii="Calibri" w:hAnsi="Calibri"/>
        </w:rPr>
      </w:pPr>
      <w:r w:rsidRPr="008015FD">
        <w:rPr>
          <w:rFonts w:ascii="Calibri" w:hAnsi="Calibri"/>
        </w:rPr>
        <w:t xml:space="preserve">(6) economic analysis </w:t>
      </w:r>
    </w:p>
    <w:p w14:paraId="7B566C0E" w14:textId="77777777" w:rsidR="009014E4" w:rsidRPr="008015FD" w:rsidRDefault="009014E4" w:rsidP="009014E4">
      <w:pPr>
        <w:rPr>
          <w:rFonts w:ascii="Calibri" w:hAnsi="Calibri"/>
        </w:rPr>
      </w:pPr>
      <w:r w:rsidRPr="008015FD">
        <w:rPr>
          <w:rFonts w:ascii="Calibri" w:hAnsi="Calibri"/>
        </w:rPr>
        <w:t xml:space="preserve"> </w:t>
      </w:r>
    </w:p>
    <w:p w14:paraId="3D7C50F1" w14:textId="77777777" w:rsidR="009014E4" w:rsidRPr="008015FD" w:rsidRDefault="009014E4" w:rsidP="009014E4">
      <w:r w:rsidRPr="008015FD">
        <w:rPr>
          <w:rFonts w:ascii="Calibri" w:hAnsi="Calibri"/>
        </w:rPr>
        <w:t xml:space="preserve">(c) BIOFUELS AND BIOPRODUCTS.—The goals of the biofuels and bioproducts programs shall be to develop, in partnership with industry and institutions of higher education—     </w:t>
      </w:r>
    </w:p>
    <w:p w14:paraId="653A1121" w14:textId="77777777" w:rsidR="009014E4" w:rsidRPr="008015FD" w:rsidRDefault="009014E4" w:rsidP="009014E4">
      <w:pPr>
        <w:ind w:left="720"/>
      </w:pPr>
      <w:r w:rsidRPr="008015FD">
        <w:rPr>
          <w:rFonts w:ascii="Calibri" w:hAnsi="Calibri"/>
        </w:rPr>
        <w:t xml:space="preserve">(1)  advanced biochemical and thermochemical conversion technologies capable of making fuels from lignocellulosic feedstocks that are price-competitive with gasoline or diesel in either internal combustion engines or fuel cell-powered vehicles;  </w:t>
      </w:r>
    </w:p>
    <w:p w14:paraId="7FB0082F" w14:textId="77777777" w:rsidR="009014E4" w:rsidRPr="008015FD" w:rsidRDefault="009014E4" w:rsidP="009014E4">
      <w:pPr>
        <w:ind w:left="720"/>
      </w:pPr>
      <w:r w:rsidRPr="008015FD">
        <w:rPr>
          <w:rFonts w:ascii="Calibri" w:hAnsi="Calibri"/>
        </w:rPr>
        <w:t xml:space="preserve">(2) advanced biotechnology processes capable of making biofuels and bioproducts with emphasis on development of biorefinery technologies using enzyme-based processing systems;  </w:t>
      </w:r>
    </w:p>
    <w:p w14:paraId="1F36F42E" w14:textId="77777777" w:rsidR="009014E4" w:rsidRPr="008015FD" w:rsidRDefault="009014E4" w:rsidP="009014E4">
      <w:pPr>
        <w:ind w:left="720"/>
      </w:pPr>
      <w:r w:rsidRPr="008015FD">
        <w:rPr>
          <w:rFonts w:ascii="Calibri" w:hAnsi="Calibri"/>
        </w:rPr>
        <w:t xml:space="preserve">(3) advanced biotechnology processes capable of increasing energy production from lignocellulosic feedstocks, with emphasis on reducing the dependence of industry on fossil fuels in manufacturing facilities; and  </w:t>
      </w:r>
    </w:p>
    <w:p w14:paraId="1A423AFE" w14:textId="77777777" w:rsidR="009014E4" w:rsidRPr="008015FD" w:rsidRDefault="009014E4" w:rsidP="009014E4">
      <w:pPr>
        <w:ind w:left="720"/>
        <w:rPr>
          <w:rFonts w:ascii="Calibri" w:hAnsi="Calibri"/>
        </w:rPr>
      </w:pPr>
      <w:r w:rsidRPr="008015FD">
        <w:rPr>
          <w:rFonts w:ascii="Calibri" w:hAnsi="Calibri"/>
        </w:rPr>
        <w:lastRenderedPageBreak/>
        <w:t xml:space="preserve">(4) other advanced processes that will enable the development of cost-effective bioproducts, including biofuels. </w:t>
      </w:r>
    </w:p>
    <w:p w14:paraId="296F11C1" w14:textId="03A678B6" w:rsidR="00692E84" w:rsidRDefault="00692E84" w:rsidP="007863EC">
      <w:pPr>
        <w:sectPr w:rsidR="00692E84" w:rsidSect="002B6C14">
          <w:pgSz w:w="12240" w:h="15840" w:code="1"/>
          <w:pgMar w:top="1440" w:right="1440" w:bottom="1440" w:left="1440" w:header="720" w:footer="432" w:gutter="0"/>
          <w:cols w:space="720"/>
          <w:docGrid w:linePitch="360"/>
        </w:sectPr>
      </w:pPr>
    </w:p>
    <w:p w14:paraId="16CCF4F1" w14:textId="0963FFAC" w:rsidR="00AB7EC1" w:rsidRPr="003E56F2" w:rsidRDefault="00AB7EC1" w:rsidP="007863EC">
      <w:pPr>
        <w:spacing w:before="5" w:line="160" w:lineRule="exact"/>
        <w:rPr>
          <w:szCs w:val="24"/>
        </w:rPr>
      </w:pPr>
    </w:p>
    <w:p w14:paraId="4FDD80DD" w14:textId="77777777" w:rsidR="00AB7EC1" w:rsidRDefault="00AB7EC1" w:rsidP="007863EC">
      <w:pPr>
        <w:spacing w:before="1" w:line="180" w:lineRule="exact"/>
        <w:rPr>
          <w:szCs w:val="24"/>
        </w:rPr>
        <w:sectPr w:rsidR="00AB7EC1" w:rsidSect="002B6C14">
          <w:pgSz w:w="12240" w:h="15840" w:code="1"/>
          <w:pgMar w:top="1440" w:right="1440" w:bottom="1440" w:left="1440" w:header="720" w:footer="432" w:gutter="0"/>
          <w:cols w:space="720"/>
          <w:docGrid w:linePitch="360"/>
        </w:sectPr>
      </w:pPr>
    </w:p>
    <w:p w14:paraId="0CC9F519" w14:textId="3C9C56BC" w:rsidR="00AB7EC1" w:rsidRPr="003833E4" w:rsidRDefault="004E672B" w:rsidP="007863EC">
      <w:pPr>
        <w:pStyle w:val="AppendixHeading"/>
        <w:outlineLvl w:val="0"/>
      </w:pPr>
      <w:bookmarkStart w:id="851" w:name="_Toc176864558"/>
      <w:r w:rsidRPr="008B0D95">
        <w:t xml:space="preserve">Appendix </w:t>
      </w:r>
      <w:r w:rsidR="003E6FDF" w:rsidRPr="008B0D95">
        <w:t>F</w:t>
      </w:r>
      <w:r w:rsidRPr="008B0D95">
        <w:t xml:space="preserve"> – Definition of Technology Readiness Levels</w:t>
      </w:r>
      <w:bookmarkEnd w:id="851"/>
    </w:p>
    <w:p w14:paraId="3ACC7CD9" w14:textId="77777777" w:rsidR="00AB7EC1" w:rsidRPr="003E56F2" w:rsidRDefault="00AB7EC1" w:rsidP="007863EC">
      <w:pPr>
        <w:rPr>
          <w:szCs w:val="24"/>
        </w:rPr>
      </w:pPr>
    </w:p>
    <w:tbl>
      <w:tblPr>
        <w:tblW w:w="8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7470"/>
      </w:tblGrid>
      <w:tr w:rsidR="00BF65D1" w14:paraId="5D3A5CCA" w14:textId="77777777" w:rsidTr="0091680F">
        <w:trPr>
          <w:trHeight w:val="300"/>
          <w:jc w:val="center"/>
        </w:trPr>
        <w:tc>
          <w:tcPr>
            <w:tcW w:w="895" w:type="dxa"/>
          </w:tcPr>
          <w:p w14:paraId="42470E89"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1: </w:t>
            </w:r>
          </w:p>
        </w:tc>
        <w:tc>
          <w:tcPr>
            <w:tcW w:w="7470" w:type="dxa"/>
          </w:tcPr>
          <w:p w14:paraId="3B058133"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Basic principles observed and reported </w:t>
            </w:r>
          </w:p>
        </w:tc>
      </w:tr>
      <w:tr w:rsidR="00BF65D1" w14:paraId="34D6684A" w14:textId="77777777" w:rsidTr="0091680F">
        <w:trPr>
          <w:trHeight w:val="299"/>
          <w:jc w:val="center"/>
        </w:trPr>
        <w:tc>
          <w:tcPr>
            <w:tcW w:w="895" w:type="dxa"/>
          </w:tcPr>
          <w:p w14:paraId="2306945D"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2: </w:t>
            </w:r>
          </w:p>
        </w:tc>
        <w:tc>
          <w:tcPr>
            <w:tcW w:w="7470" w:type="dxa"/>
          </w:tcPr>
          <w:p w14:paraId="4E768B9A"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Technology concept and/or application formulated </w:t>
            </w:r>
          </w:p>
        </w:tc>
      </w:tr>
      <w:tr w:rsidR="00BF65D1" w14:paraId="3322975C" w14:textId="77777777" w:rsidTr="0091680F">
        <w:trPr>
          <w:trHeight w:val="446"/>
          <w:jc w:val="center"/>
        </w:trPr>
        <w:tc>
          <w:tcPr>
            <w:tcW w:w="895" w:type="dxa"/>
          </w:tcPr>
          <w:p w14:paraId="206BB474"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3: </w:t>
            </w:r>
          </w:p>
        </w:tc>
        <w:tc>
          <w:tcPr>
            <w:tcW w:w="7470" w:type="dxa"/>
          </w:tcPr>
          <w:p w14:paraId="5EF68A40"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Analytical and experimental critical function and/or characteristic proof of concept </w:t>
            </w:r>
          </w:p>
        </w:tc>
      </w:tr>
      <w:tr w:rsidR="00BF65D1" w14:paraId="64B6EE9B" w14:textId="77777777" w:rsidTr="0091680F">
        <w:trPr>
          <w:trHeight w:val="447"/>
          <w:jc w:val="center"/>
        </w:trPr>
        <w:tc>
          <w:tcPr>
            <w:tcW w:w="895" w:type="dxa"/>
          </w:tcPr>
          <w:p w14:paraId="511583A8"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4: </w:t>
            </w:r>
          </w:p>
        </w:tc>
        <w:tc>
          <w:tcPr>
            <w:tcW w:w="7470" w:type="dxa"/>
          </w:tcPr>
          <w:p w14:paraId="416898B3"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Component and/or breadboard validation in a laboratory environment </w:t>
            </w:r>
          </w:p>
        </w:tc>
      </w:tr>
      <w:tr w:rsidR="00BF65D1" w14:paraId="6847DE4B" w14:textId="77777777" w:rsidTr="0091680F">
        <w:trPr>
          <w:trHeight w:val="446"/>
          <w:jc w:val="center"/>
        </w:trPr>
        <w:tc>
          <w:tcPr>
            <w:tcW w:w="895" w:type="dxa"/>
          </w:tcPr>
          <w:p w14:paraId="58EC9982"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5: </w:t>
            </w:r>
          </w:p>
        </w:tc>
        <w:tc>
          <w:tcPr>
            <w:tcW w:w="7470" w:type="dxa"/>
          </w:tcPr>
          <w:p w14:paraId="07C9EAF8"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Component and/or breadboard validation in a relevant environment </w:t>
            </w:r>
          </w:p>
        </w:tc>
      </w:tr>
      <w:tr w:rsidR="00BF65D1" w14:paraId="6B835601" w14:textId="77777777" w:rsidTr="0091680F">
        <w:trPr>
          <w:trHeight w:val="446"/>
          <w:jc w:val="center"/>
        </w:trPr>
        <w:tc>
          <w:tcPr>
            <w:tcW w:w="895" w:type="dxa"/>
          </w:tcPr>
          <w:p w14:paraId="2827D7E9"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6: </w:t>
            </w:r>
          </w:p>
        </w:tc>
        <w:tc>
          <w:tcPr>
            <w:tcW w:w="7470" w:type="dxa"/>
          </w:tcPr>
          <w:p w14:paraId="1B92D85E"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System/subsystem model or prototype demonstration in a relevant environment </w:t>
            </w:r>
          </w:p>
        </w:tc>
      </w:tr>
      <w:tr w:rsidR="00BF65D1" w14:paraId="12FD7A9F" w14:textId="77777777" w:rsidTr="0091680F">
        <w:trPr>
          <w:trHeight w:val="446"/>
          <w:jc w:val="center"/>
        </w:trPr>
        <w:tc>
          <w:tcPr>
            <w:tcW w:w="895" w:type="dxa"/>
          </w:tcPr>
          <w:p w14:paraId="2887459F"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7: </w:t>
            </w:r>
          </w:p>
        </w:tc>
        <w:tc>
          <w:tcPr>
            <w:tcW w:w="7470" w:type="dxa"/>
          </w:tcPr>
          <w:p w14:paraId="6886B5E8"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System prototype demonstration in an operational environment </w:t>
            </w:r>
          </w:p>
        </w:tc>
      </w:tr>
      <w:tr w:rsidR="00BF65D1" w14:paraId="3C64499F" w14:textId="77777777" w:rsidTr="0091680F">
        <w:trPr>
          <w:trHeight w:val="446"/>
          <w:jc w:val="center"/>
        </w:trPr>
        <w:tc>
          <w:tcPr>
            <w:tcW w:w="895" w:type="dxa"/>
          </w:tcPr>
          <w:p w14:paraId="2155EA79"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8: </w:t>
            </w:r>
          </w:p>
        </w:tc>
        <w:tc>
          <w:tcPr>
            <w:tcW w:w="7470" w:type="dxa"/>
          </w:tcPr>
          <w:p w14:paraId="7810ED15"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Actual system completed and qualified through test and demonstrated </w:t>
            </w:r>
          </w:p>
        </w:tc>
      </w:tr>
      <w:tr w:rsidR="00BF65D1" w14:paraId="63FB64FF" w14:textId="77777777" w:rsidTr="0091680F">
        <w:trPr>
          <w:trHeight w:val="446"/>
          <w:jc w:val="center"/>
        </w:trPr>
        <w:tc>
          <w:tcPr>
            <w:tcW w:w="895" w:type="dxa"/>
          </w:tcPr>
          <w:p w14:paraId="6E693080"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TRL 9: </w:t>
            </w:r>
          </w:p>
        </w:tc>
        <w:tc>
          <w:tcPr>
            <w:tcW w:w="7470" w:type="dxa"/>
          </w:tcPr>
          <w:p w14:paraId="5476933D" w14:textId="77777777" w:rsidR="00AB7EC1" w:rsidRPr="008A16FA" w:rsidRDefault="004E672B" w:rsidP="007863EC">
            <w:pPr>
              <w:autoSpaceDE w:val="0"/>
              <w:autoSpaceDN w:val="0"/>
              <w:adjustRightInd w:val="0"/>
              <w:spacing w:before="120" w:after="120"/>
              <w:rPr>
                <w:rFonts w:ascii="Calibri" w:hAnsi="Calibri" w:cs="Calibri"/>
                <w:color w:val="000000"/>
                <w:szCs w:val="24"/>
              </w:rPr>
            </w:pPr>
            <w:r w:rsidRPr="008A16FA">
              <w:rPr>
                <w:rFonts w:ascii="Calibri" w:hAnsi="Calibri" w:cs="Calibri"/>
                <w:bCs/>
                <w:color w:val="000000"/>
                <w:szCs w:val="24"/>
              </w:rPr>
              <w:t xml:space="preserve">Actual system proven through successful mission operations </w:t>
            </w:r>
          </w:p>
        </w:tc>
      </w:tr>
    </w:tbl>
    <w:p w14:paraId="3E5E82AC" w14:textId="77777777" w:rsidR="00AB7EC1" w:rsidRPr="003E56F2" w:rsidRDefault="00AB7EC1" w:rsidP="00AB7EC1">
      <w:pPr>
        <w:spacing w:before="1" w:line="180" w:lineRule="exact"/>
        <w:rPr>
          <w:szCs w:val="24"/>
        </w:rPr>
      </w:pPr>
    </w:p>
    <w:p w14:paraId="4AC7D9E0" w14:textId="77777777" w:rsidR="00AB7EC1" w:rsidRDefault="004E672B" w:rsidP="00AB7EC1">
      <w:pPr>
        <w:rPr>
          <w:rFonts w:ascii="Calibri" w:eastAsiaTheme="minorHAnsi" w:hAnsi="Calibri" w:cstheme="minorBidi"/>
          <w:b/>
          <w:smallCaps/>
          <w:sz w:val="36"/>
          <w:szCs w:val="40"/>
        </w:rPr>
      </w:pPr>
      <w:r>
        <w:br w:type="page"/>
      </w:r>
    </w:p>
    <w:p w14:paraId="6FFE3499" w14:textId="06B6C8BB" w:rsidR="00AB7EC1" w:rsidRPr="00686859" w:rsidRDefault="00770892" w:rsidP="00AB7EC1">
      <w:pPr>
        <w:pStyle w:val="AppendixHeading"/>
        <w:outlineLvl w:val="0"/>
      </w:pPr>
      <w:bookmarkStart w:id="852" w:name="_Toc140061059"/>
      <w:bookmarkStart w:id="853" w:name="_Toc176864559"/>
      <w:r>
        <w:lastRenderedPageBreak/>
        <w:t xml:space="preserve">Appendix </w:t>
      </w:r>
      <w:r w:rsidR="003E6FDF" w:rsidRPr="008B0D95">
        <w:t>G</w:t>
      </w:r>
      <w:r w:rsidR="00315F56" w:rsidRPr="00686859">
        <w:t xml:space="preserve"> </w:t>
      </w:r>
      <w:r w:rsidRPr="00686859">
        <w:t xml:space="preserve">– </w:t>
      </w:r>
      <w:r>
        <w:t>List of Acronyms</w:t>
      </w:r>
      <w:bookmarkEnd w:id="852"/>
      <w:bookmarkEnd w:id="853"/>
    </w:p>
    <w:p w14:paraId="0634C3B4" w14:textId="77777777" w:rsidR="00AB7EC1" w:rsidRDefault="00AB7EC1" w:rsidP="00AB7EC1">
      <w:pPr>
        <w:rPr>
          <w:szCs w:val="24"/>
        </w:rPr>
      </w:pPr>
    </w:p>
    <w:tbl>
      <w:tblPr>
        <w:tblW w:w="7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2"/>
        <w:gridCol w:w="26"/>
        <w:gridCol w:w="5727"/>
        <w:gridCol w:w="45"/>
      </w:tblGrid>
      <w:tr w:rsidR="00032105" w14:paraId="088AE74C"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B13F46E" w14:textId="16C67B5A"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ANL</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794F514" w14:textId="5776E5B0"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Argonne National Laboratory </w:t>
            </w:r>
          </w:p>
        </w:tc>
      </w:tr>
      <w:tr w:rsidR="00032105" w14:paraId="706198E2"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75373B1" w14:textId="07568169"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ASTM</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78A5166" w14:textId="1CAF3EE9"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ASTM International</w:t>
            </w:r>
          </w:p>
        </w:tc>
      </w:tr>
      <w:tr w:rsidR="00032105" w14:paraId="36B5841B"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4681E05" w14:textId="0A0D391B"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BETO</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9546BB9" w14:textId="385466B9"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Bioenergy Technologies Office</w:t>
            </w:r>
          </w:p>
        </w:tc>
      </w:tr>
      <w:tr w:rsidR="00032105" w14:paraId="08850559"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6602A84" w14:textId="18F59D9A"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BFD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24BFF12" w14:textId="21ABE0FB"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Block Flow Diagram</w:t>
            </w:r>
          </w:p>
        </w:tc>
      </w:tr>
      <w:tr w:rsidR="00032105" w14:paraId="71F90AEC"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DFE4C29" w14:textId="59E2D453"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BFD &amp; SD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FBC9DA8" w14:textId="6DF85781"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Block Flow Diagram and Supplemental Data</w:t>
            </w:r>
          </w:p>
        </w:tc>
      </w:tr>
      <w:tr w:rsidR="00032105" w14:paraId="19DFA129"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64C656D" w14:textId="6B41EA85"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BDBC9F5" w14:textId="5ACED77E"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Budget Period</w:t>
            </w:r>
          </w:p>
        </w:tc>
      </w:tr>
      <w:tr w:rsidR="00032105" w14:paraId="4649178E"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6FD81B5" w14:textId="4C2DDB42"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BTU</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665B121" w14:textId="16414EB1"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British Thermal Unit</w:t>
            </w:r>
          </w:p>
        </w:tc>
      </w:tr>
      <w:tr w:rsidR="00032105" w14:paraId="6EF00D1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A4AD81C" w14:textId="62749C5D" w:rsidR="00032105" w:rsidRPr="000D09C3" w:rsidRDefault="00032105" w:rsidP="00032105">
            <w:pPr>
              <w:autoSpaceDE w:val="0"/>
              <w:autoSpaceDN w:val="0"/>
              <w:adjustRightInd w:val="0"/>
              <w:rPr>
                <w:rFonts w:ascii="Calibri" w:hAnsi="Calibri" w:cs="Calibri"/>
                <w:color w:val="000000"/>
                <w:sz w:val="22"/>
                <w:szCs w:val="22"/>
              </w:rPr>
            </w:pPr>
            <w:r>
              <w:rPr>
                <w:rFonts w:ascii="Calibri" w:hAnsi="Calibri"/>
                <w:color w:val="000000"/>
                <w:sz w:val="22"/>
                <w:szCs w:val="22"/>
              </w:rPr>
              <w:t>CD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4515328" w14:textId="2E9F813D" w:rsidR="00032105" w:rsidRPr="000D09C3" w:rsidRDefault="00032105" w:rsidP="00032105">
            <w:pPr>
              <w:autoSpaceDE w:val="0"/>
              <w:autoSpaceDN w:val="0"/>
              <w:adjustRightInd w:val="0"/>
              <w:rPr>
                <w:rFonts w:ascii="Calibri" w:hAnsi="Calibri" w:cs="Calibri"/>
                <w:color w:val="000000"/>
                <w:sz w:val="22"/>
                <w:szCs w:val="22"/>
              </w:rPr>
            </w:pPr>
            <w:r>
              <w:rPr>
                <w:rFonts w:ascii="Calibri" w:hAnsi="Calibri"/>
                <w:color w:val="000000"/>
                <w:sz w:val="22"/>
                <w:szCs w:val="22"/>
              </w:rPr>
              <w:t>Critical Decision</w:t>
            </w:r>
          </w:p>
        </w:tc>
      </w:tr>
      <w:tr w:rsidR="00032105" w14:paraId="0F60F3BC"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2EBF1CD" w14:textId="382DD8C1"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CFR</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0A830B2" w14:textId="51E1248D"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Code of Federal Regulation </w:t>
            </w:r>
          </w:p>
        </w:tc>
      </w:tr>
      <w:tr w:rsidR="00032105" w14:paraId="172C65A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6DFED57" w14:textId="45441727"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CO</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7A1043D" w14:textId="60391C84"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Carbon Monoxide</w:t>
            </w:r>
          </w:p>
        </w:tc>
      </w:tr>
      <w:tr w:rsidR="00032105" w14:paraId="11F6031E"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FACF314" w14:textId="0A07DCA2"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CO</w:t>
            </w:r>
            <w:r w:rsidRPr="00573809">
              <w:rPr>
                <w:rFonts w:ascii="Calibri" w:hAnsi="Calibri"/>
                <w:color w:val="000000"/>
                <w:sz w:val="22"/>
                <w:szCs w:val="22"/>
                <w:vertAlign w:val="subscript"/>
              </w:rPr>
              <w:t>2</w:t>
            </w:r>
            <w:r>
              <w:rPr>
                <w:rFonts w:ascii="Calibri" w:hAnsi="Calibri"/>
                <w:color w:val="000000"/>
                <w:sz w:val="22"/>
                <w:szCs w:val="22"/>
              </w:rPr>
              <w:t xml:space="preserve"> or CO2</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8F60A4C" w14:textId="6AA7DCCF" w:rsidR="00032105" w:rsidRPr="000D09C3" w:rsidRDefault="00032105" w:rsidP="00032105">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Carbon Dioxide</w:t>
            </w:r>
          </w:p>
        </w:tc>
      </w:tr>
      <w:tr w:rsidR="00032105" w14:paraId="4608DD7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003C975" w14:textId="2DC9A7B4"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COI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C543882" w14:textId="2C33656E"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Conflict of Interest </w:t>
            </w:r>
          </w:p>
        </w:tc>
      </w:tr>
      <w:tr w:rsidR="008D345C" w14:paraId="67C3FAC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0E18B8E" w14:textId="2FF48F56" w:rsidR="008D345C" w:rsidRPr="00487900" w:rsidRDefault="008D345C" w:rsidP="008D345C">
            <w:pPr>
              <w:autoSpaceDE w:val="0"/>
              <w:autoSpaceDN w:val="0"/>
              <w:adjustRightInd w:val="0"/>
              <w:rPr>
                <w:rFonts w:ascii="Calibri" w:hAnsi="Calibri" w:cs="Calibri"/>
                <w:color w:val="000000"/>
                <w:sz w:val="22"/>
                <w:szCs w:val="22"/>
              </w:rPr>
            </w:pPr>
            <w:r>
              <w:rPr>
                <w:rFonts w:ascii="Calibri" w:hAnsi="Calibri"/>
                <w:color w:val="000000"/>
                <w:sz w:val="22"/>
                <w:szCs w:val="22"/>
              </w:rPr>
              <w:t>CORSIA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7B3CCC9" w14:textId="542B9E2C" w:rsidR="008D345C" w:rsidRPr="00487900" w:rsidRDefault="008D345C" w:rsidP="008D345C">
            <w:pPr>
              <w:autoSpaceDE w:val="0"/>
              <w:autoSpaceDN w:val="0"/>
              <w:adjustRightInd w:val="0"/>
              <w:rPr>
                <w:sz w:val="22"/>
                <w:szCs w:val="22"/>
              </w:rPr>
            </w:pPr>
            <w:r w:rsidRPr="009365C3">
              <w:rPr>
                <w:rFonts w:ascii="Calibri" w:hAnsi="Calibri"/>
                <w:color w:val="000000"/>
                <w:sz w:val="22"/>
                <w:szCs w:val="22"/>
              </w:rPr>
              <w:t>Carbon Offsetting and Reduction Scheme for International Aviation</w:t>
            </w:r>
          </w:p>
        </w:tc>
      </w:tr>
      <w:tr w:rsidR="00032105" w14:paraId="0C730797"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EE643C1" w14:textId="4EE65A39" w:rsidR="00032105" w:rsidRPr="000D09C3" w:rsidRDefault="00032105" w:rsidP="00032105">
            <w:pPr>
              <w:autoSpaceDE w:val="0"/>
              <w:autoSpaceDN w:val="0"/>
              <w:adjustRightInd w:val="0"/>
              <w:rPr>
                <w:rFonts w:ascii="Calibri" w:hAnsi="Calibri" w:cs="Calibri"/>
                <w:color w:val="000000"/>
                <w:sz w:val="22"/>
                <w:szCs w:val="22"/>
              </w:rPr>
            </w:pPr>
            <w:r w:rsidRPr="00487900">
              <w:rPr>
                <w:rFonts w:ascii="Calibri" w:hAnsi="Calibri" w:cs="Calibri"/>
                <w:color w:val="000000"/>
                <w:sz w:val="22"/>
                <w:szCs w:val="22"/>
              </w:rPr>
              <w:t>CRADA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2C220DA" w14:textId="76201592" w:rsidR="00032105" w:rsidRPr="000D09C3" w:rsidRDefault="00032105" w:rsidP="00032105">
            <w:pPr>
              <w:autoSpaceDE w:val="0"/>
              <w:autoSpaceDN w:val="0"/>
              <w:adjustRightInd w:val="0"/>
              <w:rPr>
                <w:rFonts w:ascii="Calibri" w:hAnsi="Calibri" w:cs="Calibri"/>
                <w:color w:val="000000"/>
                <w:sz w:val="22"/>
                <w:szCs w:val="22"/>
              </w:rPr>
            </w:pPr>
            <w:r w:rsidRPr="00487900">
              <w:rPr>
                <w:sz w:val="22"/>
                <w:szCs w:val="22"/>
              </w:rPr>
              <w:t>Cooperative Research and Development Agreement</w:t>
            </w:r>
          </w:p>
        </w:tc>
      </w:tr>
      <w:tr w:rsidR="00144C67" w14:paraId="4C20E611"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165891D" w14:textId="5A55A8FF" w:rsidR="00144C67" w:rsidRPr="000D09C3" w:rsidRDefault="00144C67" w:rsidP="00144C67">
            <w:pPr>
              <w:autoSpaceDE w:val="0"/>
              <w:autoSpaceDN w:val="0"/>
              <w:adjustRightInd w:val="0"/>
              <w:rPr>
                <w:rFonts w:ascii="Calibri" w:hAnsi="Calibri" w:cs="Calibri"/>
                <w:color w:val="000000"/>
                <w:sz w:val="22"/>
                <w:szCs w:val="22"/>
              </w:rPr>
            </w:pPr>
            <w:r>
              <w:rPr>
                <w:rFonts w:ascii="Calibri" w:hAnsi="Calibri"/>
                <w:color w:val="000000"/>
                <w:sz w:val="22"/>
                <w:szCs w:val="22"/>
              </w:rPr>
              <w:t>C&amp;D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F49C53E" w14:textId="234135C6" w:rsidR="00144C67" w:rsidRPr="000D09C3" w:rsidRDefault="00144C67" w:rsidP="00144C67">
            <w:pPr>
              <w:autoSpaceDE w:val="0"/>
              <w:autoSpaceDN w:val="0"/>
              <w:adjustRightInd w:val="0"/>
              <w:rPr>
                <w:rFonts w:ascii="Calibri" w:hAnsi="Calibri" w:cs="Calibri"/>
                <w:color w:val="000000"/>
                <w:sz w:val="22"/>
                <w:szCs w:val="22"/>
              </w:rPr>
            </w:pPr>
            <w:r>
              <w:rPr>
                <w:rFonts w:ascii="Calibri" w:hAnsi="Calibri"/>
                <w:color w:val="000000"/>
                <w:sz w:val="22"/>
                <w:szCs w:val="22"/>
              </w:rPr>
              <w:t>Construction and Demolition</w:t>
            </w:r>
          </w:p>
        </w:tc>
      </w:tr>
      <w:tr w:rsidR="00032105" w14:paraId="568821E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6341F8B" w14:textId="115BB081"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DEC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8AB166C" w14:textId="058F0528"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Determination of Exceptional Circumstances </w:t>
            </w:r>
          </w:p>
        </w:tc>
      </w:tr>
      <w:tr w:rsidR="00032105" w14:paraId="1A142C82"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1777D0B" w14:textId="5D8BB2BE" w:rsidR="00032105" w:rsidRPr="002A1CEC" w:rsidRDefault="00032105" w:rsidP="00032105">
            <w:pPr>
              <w:autoSpaceDE w:val="0"/>
              <w:autoSpaceDN w:val="0"/>
              <w:adjustRightInd w:val="0"/>
              <w:rPr>
                <w:rFonts w:ascii="Calibri" w:hAnsi="Calibri" w:cs="Calibri"/>
                <w:color w:val="000000"/>
                <w:sz w:val="22"/>
                <w:szCs w:val="22"/>
              </w:rPr>
            </w:pPr>
            <w:r w:rsidRPr="002A1CEC">
              <w:rPr>
                <w:rFonts w:ascii="Calibri" w:hAnsi="Calibri" w:cs="Calibri"/>
                <w:color w:val="000000"/>
                <w:sz w:val="22"/>
                <w:szCs w:val="22"/>
              </w:rPr>
              <w:t>DEI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004FABE" w14:textId="1BBB69B8" w:rsidR="00032105" w:rsidRPr="002A1CEC" w:rsidRDefault="00032105" w:rsidP="00032105">
            <w:pPr>
              <w:autoSpaceDE w:val="0"/>
              <w:autoSpaceDN w:val="0"/>
              <w:adjustRightInd w:val="0"/>
              <w:rPr>
                <w:rFonts w:ascii="Calibri" w:hAnsi="Calibri" w:cs="Calibri"/>
                <w:color w:val="000000"/>
                <w:sz w:val="22"/>
                <w:szCs w:val="22"/>
              </w:rPr>
            </w:pPr>
            <w:r w:rsidRPr="002A1CEC">
              <w:rPr>
                <w:rFonts w:ascii="Calibri" w:hAnsi="Calibri" w:cs="Calibri"/>
                <w:color w:val="000000"/>
                <w:sz w:val="22"/>
                <w:szCs w:val="22"/>
              </w:rPr>
              <w:t>Diversity, Equity, and Inclusion</w:t>
            </w:r>
          </w:p>
        </w:tc>
      </w:tr>
      <w:tr w:rsidR="00032105" w14:paraId="0DB91B9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B82C758" w14:textId="288844C2"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DMP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32641DA" w14:textId="0EC27D7A"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Data Management Plan </w:t>
            </w:r>
          </w:p>
        </w:tc>
      </w:tr>
      <w:tr w:rsidR="00032105" w14:paraId="23ED909A"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2FC36C5" w14:textId="2D084BCF"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DOE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0CDD83D" w14:textId="67CCBE1E"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Department of Energy </w:t>
            </w:r>
          </w:p>
        </w:tc>
      </w:tr>
      <w:tr w:rsidR="00032105" w14:paraId="3F60958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BD121E9" w14:textId="2EECBE8B"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DOI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10EC9CD" w14:textId="4B569AC9" w:rsidR="00032105" w:rsidRPr="000D09C3" w:rsidRDefault="00032105" w:rsidP="00032105">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Digital Object Identifier</w:t>
            </w:r>
          </w:p>
        </w:tc>
      </w:tr>
      <w:tr w:rsidR="00721FAE" w14:paraId="406FD79D"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AF03E1D" w14:textId="49029890" w:rsidR="00721FAE" w:rsidRPr="000D09C3" w:rsidRDefault="00721FAE" w:rsidP="00721FA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DMP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D8B9F6D" w14:textId="03A39CDD" w:rsidR="00721FAE" w:rsidRPr="000D09C3" w:rsidRDefault="00721FAE" w:rsidP="00721FA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Data Management Plan </w:t>
            </w:r>
          </w:p>
        </w:tc>
      </w:tr>
      <w:tr w:rsidR="00E907AE" w14:paraId="2360756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1381DE9" w14:textId="4F06755B" w:rsidR="00E907AE" w:rsidRPr="000D09C3" w:rsidRDefault="00E907AE" w:rsidP="00E907A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DTPD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0E02E64" w14:textId="45D100F8" w:rsidR="00E907AE" w:rsidRPr="000D09C3" w:rsidRDefault="00E907AE" w:rsidP="00E907A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Dry Tons Per Day</w:t>
            </w:r>
          </w:p>
        </w:tc>
      </w:tr>
      <w:tr w:rsidR="00723CFE" w14:paraId="5D571F61"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A7C2254" w14:textId="0CFBF91D" w:rsidR="00723CFE" w:rsidRPr="000D09C3" w:rsidRDefault="00723CFE" w:rsidP="00723CF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DUNS</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73DEA6D" w14:textId="39907506" w:rsidR="00723CFE" w:rsidRPr="000D09C3" w:rsidRDefault="00723CFE" w:rsidP="00723CF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Dun and Bradstreet Universal Numbering System</w:t>
            </w:r>
          </w:p>
        </w:tc>
      </w:tr>
      <w:tr w:rsidR="00723CFE" w14:paraId="310F2B5F"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754ACD6" w14:textId="547CE503"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EERE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6777D50" w14:textId="566A95AE"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Energy Efficiency and Renewable Energy </w:t>
            </w:r>
          </w:p>
        </w:tc>
      </w:tr>
      <w:tr w:rsidR="00F67351" w14:paraId="7B39720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1D7A6F0" w14:textId="27393B45" w:rsidR="00F67351" w:rsidRPr="000D09C3" w:rsidRDefault="00F67351" w:rsidP="00F67351">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EPA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92C154A" w14:textId="59A39304" w:rsidR="00F67351" w:rsidRPr="000D09C3" w:rsidRDefault="00F67351" w:rsidP="00F67351">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Environmental Protection Agency </w:t>
            </w:r>
          </w:p>
        </w:tc>
      </w:tr>
      <w:tr w:rsidR="00723CFE" w14:paraId="2D1D1B8E"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DFFB607" w14:textId="51FD1C23"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FAR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5F6EE34" w14:textId="762D4214"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Federal Acquisition Regulation </w:t>
            </w:r>
          </w:p>
        </w:tc>
      </w:tr>
      <w:tr w:rsidR="008D27E6" w14:paraId="02693C3B"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A2038E1" w14:textId="582B576E" w:rsidR="004316DD" w:rsidRPr="00380340" w:rsidRDefault="004316DD" w:rsidP="004316DD">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FEL</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0132E7C8" w14:textId="11C6033C" w:rsidR="004316DD" w:rsidRPr="00380340" w:rsidRDefault="004316DD" w:rsidP="004316DD">
            <w:pPr>
              <w:autoSpaceDE w:val="0"/>
              <w:autoSpaceDN w:val="0"/>
              <w:adjustRightInd w:val="0"/>
              <w:rPr>
                <w:rFonts w:ascii="Calibri" w:hAnsi="Calibri"/>
                <w:color w:val="000000" w:themeColor="text1"/>
                <w:sz w:val="22"/>
                <w:szCs w:val="22"/>
              </w:rPr>
            </w:pPr>
            <w:r w:rsidRPr="008015FD">
              <w:rPr>
                <w:rFonts w:ascii="Calibri" w:hAnsi="Calibri"/>
                <w:color w:val="000000"/>
                <w:sz w:val="22"/>
                <w:szCs w:val="22"/>
              </w:rPr>
              <w:t>Front-End Loaded</w:t>
            </w:r>
          </w:p>
        </w:tc>
      </w:tr>
      <w:tr w:rsidR="00723CFE" w14:paraId="2B09E1E5"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D17BDAD" w14:textId="77777777" w:rsidR="00723CFE" w:rsidRPr="000D09C3" w:rsidRDefault="00723CFE" w:rsidP="00723CFE">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FCOI</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02D47144" w14:textId="77777777" w:rsidR="00723CFE" w:rsidRPr="000D09C3" w:rsidRDefault="00723CFE" w:rsidP="00723CFE">
            <w:pPr>
              <w:autoSpaceDE w:val="0"/>
              <w:autoSpaceDN w:val="0"/>
              <w:adjustRightInd w:val="0"/>
              <w:rPr>
                <w:rFonts w:ascii="Calibri" w:hAnsi="Calibri" w:cs="Calibri"/>
                <w:color w:val="000000"/>
                <w:sz w:val="22"/>
                <w:szCs w:val="22"/>
              </w:rPr>
            </w:pPr>
            <w:r w:rsidRPr="00380340">
              <w:rPr>
                <w:rFonts w:ascii="Calibri" w:hAnsi="Calibri"/>
                <w:color w:val="000000" w:themeColor="text1"/>
                <w:sz w:val="22"/>
                <w:szCs w:val="22"/>
              </w:rPr>
              <w:t>Financial Conflicts of Interest</w:t>
            </w:r>
          </w:p>
        </w:tc>
      </w:tr>
      <w:tr w:rsidR="00723CFE" w14:paraId="65094B7B"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0B6E82F" w14:textId="7818362B"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FFATA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3F62580" w14:textId="53E31AD6"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Federal Funding and Transparency Act of 2006 </w:t>
            </w:r>
          </w:p>
        </w:tc>
      </w:tr>
      <w:tr w:rsidR="00723CFE" w14:paraId="6A6DD63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0A19F6D" w14:textId="77A5843E"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FOA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36DE819" w14:textId="22973713"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Funding Opportunity Announcement </w:t>
            </w:r>
          </w:p>
        </w:tc>
      </w:tr>
      <w:tr w:rsidR="00723CFE" w14:paraId="5CEE333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2BF81E7" w14:textId="1E288FCF"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FOIA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7E73BCE" w14:textId="1521C75D" w:rsidR="00723CFE" w:rsidRPr="000D09C3" w:rsidRDefault="00723CFE" w:rsidP="00723CF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Freedom of Information Act </w:t>
            </w:r>
          </w:p>
        </w:tc>
      </w:tr>
      <w:tr w:rsidR="00723CFE" w14:paraId="0152693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92F959B" w14:textId="5E4BCB1A" w:rsidR="00723CFE" w:rsidRPr="000D09C3" w:rsidRDefault="00723CFE" w:rsidP="00723CFE">
            <w:pPr>
              <w:autoSpaceDE w:val="0"/>
              <w:autoSpaceDN w:val="0"/>
              <w:adjustRightInd w:val="0"/>
              <w:rPr>
                <w:rFonts w:ascii="Calibri" w:hAnsi="Calibri" w:cs="Calibri"/>
                <w:color w:val="000000"/>
                <w:sz w:val="22"/>
                <w:szCs w:val="22"/>
              </w:rPr>
            </w:pPr>
            <w:r>
              <w:rPr>
                <w:rFonts w:ascii="Calibri" w:hAnsi="Calibri" w:cs="Calibri"/>
                <w:color w:val="000000"/>
                <w:sz w:val="22"/>
                <w:szCs w:val="22"/>
              </w:rPr>
              <w:t>FFRDC</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18B1FDE" w14:textId="335EE1C0" w:rsidR="00723CFE" w:rsidRPr="000D09C3" w:rsidRDefault="00723CFE" w:rsidP="00723CFE">
            <w:pPr>
              <w:autoSpaceDE w:val="0"/>
              <w:autoSpaceDN w:val="0"/>
              <w:adjustRightInd w:val="0"/>
              <w:rPr>
                <w:rFonts w:ascii="Calibri" w:hAnsi="Calibri" w:cs="Calibri"/>
                <w:color w:val="000000"/>
                <w:sz w:val="22"/>
                <w:szCs w:val="22"/>
              </w:rPr>
            </w:pPr>
            <w:r>
              <w:rPr>
                <w:rFonts w:ascii="Calibri" w:hAnsi="Calibri" w:cs="Calibri"/>
                <w:color w:val="000000"/>
                <w:sz w:val="22"/>
                <w:szCs w:val="22"/>
              </w:rPr>
              <w:t>Federally Funded Research and Development Center</w:t>
            </w:r>
          </w:p>
        </w:tc>
      </w:tr>
      <w:tr w:rsidR="003A2CDB" w14:paraId="5598ED50"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9A6FA76" w14:textId="4695F4F2" w:rsidR="003A2CDB" w:rsidRDefault="003A2CDB" w:rsidP="003A2CDB">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FY</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5E38CB0" w14:textId="01E2CA4D" w:rsidR="003A2CDB" w:rsidRDefault="003A2CDB" w:rsidP="003A2CDB">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Fiscal Year</w:t>
            </w:r>
          </w:p>
        </w:tc>
      </w:tr>
      <w:tr w:rsidR="00723CFE" w14:paraId="1F3AEF2D"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19ADCE9" w14:textId="24A6E984" w:rsidR="00723CFE" w:rsidRPr="000D09C3" w:rsidRDefault="00723CFE" w:rsidP="00723CFE">
            <w:pPr>
              <w:autoSpaceDE w:val="0"/>
              <w:autoSpaceDN w:val="0"/>
              <w:adjustRightInd w:val="0"/>
              <w:rPr>
                <w:rFonts w:ascii="Calibri" w:hAnsi="Calibri" w:cs="Calibri"/>
                <w:color w:val="000000"/>
                <w:sz w:val="22"/>
                <w:szCs w:val="22"/>
              </w:rPr>
            </w:pPr>
            <w:r>
              <w:rPr>
                <w:rFonts w:ascii="Calibri" w:hAnsi="Calibri" w:cs="Calibri"/>
                <w:color w:val="000000"/>
                <w:sz w:val="22"/>
                <w:szCs w:val="22"/>
              </w:rPr>
              <w:t>GAAP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D19BB80" w14:textId="325945F8" w:rsidR="00723CFE" w:rsidRPr="000D09C3" w:rsidRDefault="00723CFE" w:rsidP="00723CFE">
            <w:pPr>
              <w:autoSpaceDE w:val="0"/>
              <w:autoSpaceDN w:val="0"/>
              <w:adjustRightInd w:val="0"/>
              <w:rPr>
                <w:rFonts w:ascii="Calibri" w:hAnsi="Calibri" w:cs="Calibri"/>
                <w:color w:val="000000"/>
                <w:sz w:val="22"/>
                <w:szCs w:val="22"/>
              </w:rPr>
            </w:pPr>
            <w:r>
              <w:rPr>
                <w:rFonts w:ascii="Calibri" w:hAnsi="Calibri" w:cs="Calibri"/>
                <w:color w:val="000000"/>
                <w:sz w:val="22"/>
                <w:szCs w:val="22"/>
              </w:rPr>
              <w:t>Generally Accepted Accounting Principles</w:t>
            </w:r>
          </w:p>
        </w:tc>
      </w:tr>
      <w:tr w:rsidR="00E96E08" w14:paraId="5E8B43EF"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17824CC" w14:textId="427C03BE" w:rsidR="00E96E08" w:rsidRPr="000D09C3" w:rsidRDefault="00E96E08" w:rsidP="00E96E0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GGE</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9286A85" w14:textId="2AA8587B" w:rsidR="00E96E08" w:rsidRPr="000D09C3" w:rsidRDefault="00E96E08" w:rsidP="00E96E0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Gallons of Gasoline Equivalent</w:t>
            </w:r>
          </w:p>
        </w:tc>
      </w:tr>
      <w:tr w:rsidR="000C780E" w14:paraId="4EE1907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169E5D2" w14:textId="15C1539B" w:rsidR="000C780E" w:rsidRPr="000D09C3" w:rsidRDefault="000C780E" w:rsidP="000C780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GHG</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6A263F4" w14:textId="34B12319" w:rsidR="000C780E" w:rsidRPr="000D09C3" w:rsidRDefault="000C780E" w:rsidP="000C780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Greenhouse Gas</w:t>
            </w:r>
          </w:p>
        </w:tc>
      </w:tr>
      <w:tr w:rsidR="000C780E" w14:paraId="26B2315B"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429BF15" w14:textId="0A9C3BFE" w:rsidR="000C780E" w:rsidRPr="000D09C3" w:rsidRDefault="000C780E" w:rsidP="000C780E">
            <w:pPr>
              <w:autoSpaceDE w:val="0"/>
              <w:autoSpaceDN w:val="0"/>
              <w:adjustRightInd w:val="0"/>
              <w:rPr>
                <w:rFonts w:ascii="Calibri" w:hAnsi="Calibri" w:cs="Calibri"/>
                <w:color w:val="000000"/>
                <w:sz w:val="22"/>
                <w:szCs w:val="22"/>
              </w:rPr>
            </w:pPr>
            <w:r>
              <w:rPr>
                <w:rFonts w:ascii="Calibri" w:hAnsi="Calibri"/>
                <w:color w:val="000000"/>
                <w:sz w:val="22"/>
                <w:szCs w:val="22"/>
              </w:rPr>
              <w:t>GREET</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0945CA0" w14:textId="26B644CF" w:rsidR="000C780E" w:rsidRPr="000D09C3" w:rsidRDefault="000C780E" w:rsidP="000C780E">
            <w:pPr>
              <w:autoSpaceDE w:val="0"/>
              <w:autoSpaceDN w:val="0"/>
              <w:adjustRightInd w:val="0"/>
              <w:rPr>
                <w:rFonts w:ascii="Calibri" w:hAnsi="Calibri" w:cs="Calibri"/>
                <w:color w:val="000000"/>
                <w:sz w:val="22"/>
                <w:szCs w:val="22"/>
              </w:rPr>
            </w:pPr>
            <w:r w:rsidRPr="009365C3">
              <w:rPr>
                <w:rFonts w:ascii="Calibri" w:hAnsi="Calibri"/>
                <w:color w:val="000000"/>
                <w:sz w:val="22"/>
                <w:szCs w:val="22"/>
              </w:rPr>
              <w:t>Greenhouse Gases, Regulated Emissions, and Energy Use in Technologies</w:t>
            </w:r>
          </w:p>
        </w:tc>
      </w:tr>
      <w:tr w:rsidR="00EB30EE" w:rsidRPr="000D09C3" w14:paraId="0F6336CF" w14:textId="77777777" w:rsidTr="008B0D95">
        <w:trPr>
          <w:gridAfter w:val="1"/>
          <w:wAfter w:w="45" w:type="dxa"/>
          <w:trHeight w:val="130"/>
          <w:jc w:val="center"/>
        </w:trPr>
        <w:tc>
          <w:tcPr>
            <w:tcW w:w="2008" w:type="dxa"/>
            <w:gridSpan w:val="2"/>
            <w:tcBorders>
              <w:top w:val="single" w:sz="4" w:space="0" w:color="auto"/>
              <w:left w:val="single" w:sz="4" w:space="0" w:color="auto"/>
              <w:bottom w:val="single" w:sz="4" w:space="0" w:color="auto"/>
              <w:right w:val="single" w:sz="4" w:space="0" w:color="auto"/>
            </w:tcBorders>
            <w:shd w:val="clear" w:color="auto" w:fill="auto"/>
          </w:tcPr>
          <w:p w14:paraId="7097751F"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HAZOP</w:t>
            </w:r>
          </w:p>
        </w:tc>
        <w:tc>
          <w:tcPr>
            <w:tcW w:w="5727" w:type="dxa"/>
            <w:tcBorders>
              <w:top w:val="single" w:sz="4" w:space="0" w:color="auto"/>
              <w:left w:val="single" w:sz="4" w:space="0" w:color="auto"/>
              <w:bottom w:val="single" w:sz="4" w:space="0" w:color="auto"/>
              <w:right w:val="single" w:sz="4" w:space="0" w:color="auto"/>
            </w:tcBorders>
            <w:shd w:val="clear" w:color="auto" w:fill="auto"/>
          </w:tcPr>
          <w:p w14:paraId="7D7512E8"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Hazard and Operability</w:t>
            </w:r>
          </w:p>
        </w:tc>
      </w:tr>
      <w:tr w:rsidR="00EB30EE" w:rsidRPr="000D09C3" w14:paraId="14B60DFE" w14:textId="77777777" w:rsidTr="008B0D95">
        <w:trPr>
          <w:gridAfter w:val="1"/>
          <w:wAfter w:w="45" w:type="dxa"/>
          <w:trHeight w:val="130"/>
          <w:jc w:val="center"/>
        </w:trPr>
        <w:tc>
          <w:tcPr>
            <w:tcW w:w="2008" w:type="dxa"/>
            <w:gridSpan w:val="2"/>
            <w:tcBorders>
              <w:top w:val="single" w:sz="4" w:space="0" w:color="auto"/>
              <w:left w:val="single" w:sz="4" w:space="0" w:color="auto"/>
              <w:bottom w:val="single" w:sz="4" w:space="0" w:color="auto"/>
              <w:right w:val="single" w:sz="4" w:space="0" w:color="auto"/>
            </w:tcBorders>
            <w:shd w:val="clear" w:color="auto" w:fill="auto"/>
          </w:tcPr>
          <w:p w14:paraId="6C3A65A9"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HBCU</w:t>
            </w:r>
          </w:p>
        </w:tc>
        <w:tc>
          <w:tcPr>
            <w:tcW w:w="5727" w:type="dxa"/>
            <w:tcBorders>
              <w:top w:val="single" w:sz="4" w:space="0" w:color="auto"/>
              <w:left w:val="single" w:sz="4" w:space="0" w:color="auto"/>
              <w:bottom w:val="single" w:sz="4" w:space="0" w:color="auto"/>
              <w:right w:val="single" w:sz="4" w:space="0" w:color="auto"/>
            </w:tcBorders>
            <w:shd w:val="clear" w:color="auto" w:fill="auto"/>
          </w:tcPr>
          <w:p w14:paraId="175AE2A8"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 xml:space="preserve">Historically Black Colleges and Universities </w:t>
            </w:r>
          </w:p>
        </w:tc>
      </w:tr>
      <w:tr w:rsidR="00EB30EE" w:rsidRPr="000D09C3" w14:paraId="541824DC" w14:textId="77777777" w:rsidTr="008B0D95">
        <w:trPr>
          <w:gridAfter w:val="1"/>
          <w:wAfter w:w="45" w:type="dxa"/>
          <w:trHeight w:val="130"/>
          <w:jc w:val="center"/>
        </w:trPr>
        <w:tc>
          <w:tcPr>
            <w:tcW w:w="2008" w:type="dxa"/>
            <w:gridSpan w:val="2"/>
            <w:tcBorders>
              <w:top w:val="single" w:sz="4" w:space="0" w:color="auto"/>
              <w:left w:val="single" w:sz="4" w:space="0" w:color="auto"/>
              <w:bottom w:val="single" w:sz="4" w:space="0" w:color="auto"/>
              <w:right w:val="single" w:sz="4" w:space="0" w:color="auto"/>
            </w:tcBorders>
            <w:shd w:val="clear" w:color="auto" w:fill="auto"/>
          </w:tcPr>
          <w:p w14:paraId="27437D47"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IBR</w:t>
            </w:r>
          </w:p>
        </w:tc>
        <w:tc>
          <w:tcPr>
            <w:tcW w:w="5727" w:type="dxa"/>
            <w:tcBorders>
              <w:top w:val="single" w:sz="4" w:space="0" w:color="auto"/>
              <w:left w:val="single" w:sz="4" w:space="0" w:color="auto"/>
              <w:bottom w:val="single" w:sz="4" w:space="0" w:color="auto"/>
              <w:right w:val="single" w:sz="4" w:space="0" w:color="auto"/>
            </w:tcBorders>
            <w:shd w:val="clear" w:color="auto" w:fill="auto"/>
          </w:tcPr>
          <w:p w14:paraId="6329C284" w14:textId="77777777" w:rsidR="00EB30EE" w:rsidRPr="000D09C3" w:rsidRDefault="00EB30EE" w:rsidP="00634646">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Integrated Biorefinery</w:t>
            </w:r>
          </w:p>
        </w:tc>
      </w:tr>
      <w:tr w:rsidR="00AC1678" w14:paraId="52A5F295"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456AA92" w14:textId="66AA2E5D"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lastRenderedPageBreak/>
              <w:t>IE</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BDA5971" w14:textId="29C19AE6"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Independent Engineer</w:t>
            </w:r>
          </w:p>
        </w:tc>
      </w:tr>
      <w:tr w:rsidR="00AC1678" w14:paraId="22349845"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1F09005" w14:textId="03603FBA"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IER</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4D1DDBE" w14:textId="1E7971B4"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Independent Engineer Review</w:t>
            </w:r>
          </w:p>
        </w:tc>
      </w:tr>
      <w:tr w:rsidR="00AC1678" w14:paraId="2904BF1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F8C6179" w14:textId="340BC388"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7844981" w14:textId="42591AA3" w:rsidR="00AC1678" w:rsidRPr="000D09C3" w:rsidRDefault="00AC1678" w:rsidP="00AC167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Intellectual Property</w:t>
            </w:r>
          </w:p>
        </w:tc>
      </w:tr>
      <w:tr w:rsidR="00AC1678" w14:paraId="0CC6E234"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2F64460" w14:textId="25DE0CD8" w:rsidR="00AC1678" w:rsidRDefault="00AC1678" w:rsidP="00AC167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IPMP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CA9E51A" w14:textId="529F7476" w:rsidR="00AC1678" w:rsidRDefault="00AC1678" w:rsidP="00AC167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Intellectual Property Management Plan</w:t>
            </w:r>
          </w:p>
        </w:tc>
      </w:tr>
      <w:tr w:rsidR="00AC1678" w14:paraId="51BB3B88"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D0C2CAC" w14:textId="77777777" w:rsidR="00AC1678" w:rsidRPr="000D09C3" w:rsidRDefault="00AC1678" w:rsidP="00AC1678">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IRB</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771A9461" w14:textId="77777777" w:rsidR="00AC1678" w:rsidRPr="000D09C3" w:rsidRDefault="00AC1678" w:rsidP="00AC1678">
            <w:pPr>
              <w:autoSpaceDE w:val="0"/>
              <w:autoSpaceDN w:val="0"/>
              <w:adjustRightInd w:val="0"/>
              <w:rPr>
                <w:rFonts w:ascii="Calibri" w:hAnsi="Calibri" w:cs="Calibri"/>
                <w:color w:val="000000"/>
                <w:sz w:val="22"/>
                <w:szCs w:val="22"/>
              </w:rPr>
            </w:pPr>
            <w:r w:rsidRPr="00380340">
              <w:rPr>
                <w:color w:val="000000"/>
                <w:sz w:val="22"/>
                <w:szCs w:val="22"/>
              </w:rPr>
              <w:t>Institutional Review Board</w:t>
            </w:r>
          </w:p>
        </w:tc>
      </w:tr>
      <w:tr w:rsidR="00FB6722" w14:paraId="42E0729A"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43C39AC" w14:textId="4941F845" w:rsidR="00FB6722" w:rsidRDefault="00FB6722" w:rsidP="00FB672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LCA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57D4C2E" w14:textId="02DE5D71" w:rsidR="00FB6722" w:rsidRDefault="00FB6722" w:rsidP="00FB672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Life Cycle Analysis</w:t>
            </w:r>
          </w:p>
        </w:tc>
      </w:tr>
      <w:tr w:rsidR="00F3728B" w14:paraId="3CDA8FBA"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E63E724" w14:textId="4B626459" w:rsidR="00F3728B" w:rsidRPr="008015FD" w:rsidRDefault="00F3728B" w:rsidP="00FB6722">
            <w:pPr>
              <w:autoSpaceDE w:val="0"/>
              <w:autoSpaceDN w:val="0"/>
              <w:adjustRightInd w:val="0"/>
              <w:rPr>
                <w:rFonts w:ascii="Calibri" w:hAnsi="Calibri"/>
                <w:color w:val="000000"/>
                <w:sz w:val="22"/>
                <w:szCs w:val="22"/>
              </w:rPr>
            </w:pPr>
            <w:r>
              <w:rPr>
                <w:rFonts w:ascii="Calibri" w:hAnsi="Calibri"/>
                <w:color w:val="000000"/>
                <w:sz w:val="22"/>
                <w:szCs w:val="22"/>
              </w:rPr>
              <w:t>LPG</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9A728F2" w14:textId="7D642AB2" w:rsidR="00F3728B" w:rsidRPr="008015FD" w:rsidRDefault="00F3728B" w:rsidP="00FB6722">
            <w:pPr>
              <w:autoSpaceDE w:val="0"/>
              <w:autoSpaceDN w:val="0"/>
              <w:adjustRightInd w:val="0"/>
              <w:rPr>
                <w:rFonts w:ascii="Calibri" w:hAnsi="Calibri"/>
                <w:color w:val="000000"/>
                <w:sz w:val="22"/>
                <w:szCs w:val="22"/>
              </w:rPr>
            </w:pPr>
            <w:r>
              <w:rPr>
                <w:rFonts w:ascii="Calibri" w:hAnsi="Calibri"/>
                <w:color w:val="000000"/>
                <w:sz w:val="22"/>
                <w:szCs w:val="22"/>
              </w:rPr>
              <w:t>Liquefied Petroleum Gas</w:t>
            </w:r>
          </w:p>
        </w:tc>
      </w:tr>
      <w:tr w:rsidR="00AC1678" w14:paraId="0DE90EE9"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4E08A81" w14:textId="205DD36B" w:rsidR="00AC1678" w:rsidRPr="000D09C3" w:rsidRDefault="00AC1678" w:rsidP="00AC1678">
            <w:pPr>
              <w:autoSpaceDE w:val="0"/>
              <w:autoSpaceDN w:val="0"/>
              <w:adjustRightInd w:val="0"/>
              <w:rPr>
                <w:rFonts w:ascii="Calibri" w:hAnsi="Calibri" w:cs="Calibri"/>
                <w:color w:val="000000"/>
                <w:sz w:val="22"/>
                <w:szCs w:val="22"/>
              </w:rPr>
            </w:pPr>
            <w:r>
              <w:rPr>
                <w:rFonts w:ascii="Calibri" w:hAnsi="Calibri" w:cs="Calibri"/>
                <w:color w:val="000000"/>
                <w:sz w:val="22"/>
                <w:szCs w:val="22"/>
              </w:rPr>
              <w:t>M&amp;O</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52E57BE" w14:textId="284DF5BC" w:rsidR="00AC1678" w:rsidRPr="000D09C3" w:rsidRDefault="00AC1678" w:rsidP="00AC1678">
            <w:pPr>
              <w:autoSpaceDE w:val="0"/>
              <w:autoSpaceDN w:val="0"/>
              <w:adjustRightInd w:val="0"/>
              <w:rPr>
                <w:rFonts w:ascii="Calibri" w:hAnsi="Calibri" w:cs="Calibri"/>
                <w:color w:val="000000"/>
                <w:sz w:val="22"/>
                <w:szCs w:val="22"/>
              </w:rPr>
            </w:pPr>
            <w:r>
              <w:rPr>
                <w:rFonts w:ascii="Calibri" w:hAnsi="Calibri" w:cs="Calibri"/>
                <w:color w:val="000000"/>
                <w:sz w:val="22"/>
                <w:szCs w:val="22"/>
              </w:rPr>
              <w:t>Management and Operating</w:t>
            </w:r>
          </w:p>
        </w:tc>
      </w:tr>
      <w:tr w:rsidR="00AC1678" w14:paraId="1FE34485"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CFE0E7B" w14:textId="77777777" w:rsidR="00AC1678" w:rsidRDefault="00AC1678" w:rsidP="00AC1678">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MFA</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197E5DDA" w14:textId="77777777" w:rsidR="00AC1678" w:rsidRDefault="00AC1678" w:rsidP="00AC1678">
            <w:pPr>
              <w:autoSpaceDE w:val="0"/>
              <w:autoSpaceDN w:val="0"/>
              <w:adjustRightInd w:val="0"/>
              <w:rPr>
                <w:rFonts w:ascii="Calibri" w:hAnsi="Calibri" w:cs="Calibri"/>
                <w:color w:val="000000"/>
                <w:sz w:val="22"/>
                <w:szCs w:val="22"/>
              </w:rPr>
            </w:pPr>
            <w:r w:rsidRPr="00380340">
              <w:rPr>
                <w:color w:val="000000"/>
                <w:sz w:val="22"/>
                <w:szCs w:val="22"/>
              </w:rPr>
              <w:t>Multi-Factor Authentication</w:t>
            </w:r>
          </w:p>
        </w:tc>
      </w:tr>
      <w:tr w:rsidR="0045788C" w14:paraId="20824D54"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51C3DF3" w14:textId="2CF287DC" w:rsidR="0045788C" w:rsidRPr="000D09C3" w:rsidRDefault="0045788C" w:rsidP="0045788C">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MMBTU</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781901B" w14:textId="6F52C7C7" w:rsidR="0045788C" w:rsidRPr="000D09C3" w:rsidRDefault="0045788C" w:rsidP="0045788C">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Million British Thermal Units</w:t>
            </w:r>
          </w:p>
        </w:tc>
      </w:tr>
      <w:tr w:rsidR="0045788C" w14:paraId="2D2BB257"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0EDAFED" w14:textId="0CF9C559"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MPIN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982E22C" w14:textId="3E6A5EB1"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Marketing Partner ID Number </w:t>
            </w:r>
          </w:p>
        </w:tc>
      </w:tr>
      <w:tr w:rsidR="0045788C" w14:paraId="6DAC40D5"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0656CEE" w14:textId="4BBDBBD4" w:rsidR="0045788C" w:rsidRPr="000D09C3" w:rsidRDefault="0045788C" w:rsidP="0045788C">
            <w:pPr>
              <w:autoSpaceDE w:val="0"/>
              <w:autoSpaceDN w:val="0"/>
              <w:adjustRightInd w:val="0"/>
              <w:rPr>
                <w:rFonts w:ascii="Calibri" w:hAnsi="Calibri" w:cs="Calibri"/>
                <w:color w:val="000000"/>
                <w:sz w:val="22"/>
                <w:szCs w:val="22"/>
              </w:rPr>
            </w:pPr>
            <w:r>
              <w:rPr>
                <w:rFonts w:ascii="Calibri" w:hAnsi="Calibri" w:cs="Calibri"/>
                <w:color w:val="000000"/>
                <w:sz w:val="22"/>
                <w:szCs w:val="22"/>
              </w:rPr>
              <w:t>MSI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E109836" w14:textId="48DB9B91" w:rsidR="0045788C" w:rsidRPr="000D09C3" w:rsidRDefault="0045788C" w:rsidP="0045788C">
            <w:pPr>
              <w:autoSpaceDE w:val="0"/>
              <w:autoSpaceDN w:val="0"/>
              <w:adjustRightInd w:val="0"/>
              <w:rPr>
                <w:rFonts w:ascii="Calibri" w:hAnsi="Calibri" w:cs="Calibri"/>
                <w:color w:val="000000"/>
                <w:sz w:val="22"/>
                <w:szCs w:val="22"/>
              </w:rPr>
            </w:pPr>
            <w:r>
              <w:rPr>
                <w:rFonts w:ascii="Calibri" w:hAnsi="Calibri" w:cs="Calibri"/>
                <w:color w:val="000000"/>
                <w:sz w:val="22"/>
                <w:szCs w:val="22"/>
              </w:rPr>
              <w:t>Minority-Serving institution</w:t>
            </w:r>
          </w:p>
        </w:tc>
      </w:tr>
      <w:tr w:rsidR="009D4D82" w14:paraId="28C63133"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82F42DC" w14:textId="6F35029A" w:rsidR="009D4D82" w:rsidRPr="000D09C3" w:rsidRDefault="009D4D82" w:rsidP="009D4D8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MSW</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824D9D9" w14:textId="5FB1CF58" w:rsidR="009D4D82" w:rsidRPr="000D09C3" w:rsidRDefault="009D4D82" w:rsidP="009D4D8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Municipal Solid Waste</w:t>
            </w:r>
          </w:p>
        </w:tc>
      </w:tr>
      <w:tr w:rsidR="0045788C" w14:paraId="2723050D"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5C99F7E" w14:textId="2BEBE491"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MYPP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2F8A01B" w14:textId="13AC4ED1"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Multi-Year Program Plan</w:t>
            </w:r>
          </w:p>
        </w:tc>
      </w:tr>
      <w:tr w:rsidR="0045788C" w14:paraId="5C335CE5"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4402537" w14:textId="5F24611E"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NDA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BE06FF2" w14:textId="11AE9BBC"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Non-Disclosure </w:t>
            </w:r>
            <w:r>
              <w:rPr>
                <w:rFonts w:ascii="Calibri" w:hAnsi="Calibri" w:cs="Calibri"/>
                <w:color w:val="000000"/>
                <w:sz w:val="22"/>
                <w:szCs w:val="22"/>
              </w:rPr>
              <w:t>Acknowledgement</w:t>
            </w:r>
          </w:p>
        </w:tc>
      </w:tr>
      <w:tr w:rsidR="0045788C" w14:paraId="645931A2"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97FB00F" w14:textId="71E00E86"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NEPA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291F461" w14:textId="21277769"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National Environmental Policy Act </w:t>
            </w:r>
          </w:p>
        </w:tc>
      </w:tr>
      <w:tr w:rsidR="0045788C" w14:paraId="5E865C0D"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CD2128E" w14:textId="021CB424"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NNSA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21EB158" w14:textId="0F99ED30" w:rsidR="0045788C" w:rsidRPr="000D09C3" w:rsidRDefault="0045788C" w:rsidP="0045788C">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National Nuclear Security Agency</w:t>
            </w:r>
          </w:p>
        </w:tc>
      </w:tr>
      <w:tr w:rsidR="007B15E7" w14:paraId="6A0E588B"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317DACC" w14:textId="435FEAF8" w:rsidR="00FC0E1D" w:rsidRPr="00380340" w:rsidRDefault="00FC0E1D" w:rsidP="00FC0E1D">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NREL</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7531C6EE" w14:textId="51C60123" w:rsidR="00FC0E1D" w:rsidRPr="006F7D1C" w:rsidRDefault="00FC0E1D" w:rsidP="00FC0E1D">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National Renewable Energy Laboratory</w:t>
            </w:r>
          </w:p>
        </w:tc>
      </w:tr>
      <w:tr w:rsidR="007B15E7" w14:paraId="03AC460E"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54FC5F1" w14:textId="34267BC6" w:rsidR="00FC0E1D" w:rsidRPr="00380340" w:rsidRDefault="00FC0E1D" w:rsidP="00FC0E1D">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NREL-SI</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20698086" w14:textId="43672F86" w:rsidR="00FC0E1D" w:rsidRPr="006F7D1C" w:rsidRDefault="00FC0E1D" w:rsidP="00FC0E1D">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National Renewable Energy Laboratory Systems Integration</w:t>
            </w:r>
          </w:p>
        </w:tc>
      </w:tr>
      <w:tr w:rsidR="00FC0E1D" w14:paraId="44021C8A"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967CC90" w14:textId="77777777" w:rsidR="00FC0E1D" w:rsidRPr="000D09C3" w:rsidRDefault="00FC0E1D" w:rsidP="00FC0E1D">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NSF</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6E1F5B65" w14:textId="77777777" w:rsidR="00FC0E1D" w:rsidRPr="000D09C3" w:rsidRDefault="00FC0E1D" w:rsidP="00FC0E1D">
            <w:pPr>
              <w:autoSpaceDE w:val="0"/>
              <w:autoSpaceDN w:val="0"/>
              <w:adjustRightInd w:val="0"/>
              <w:rPr>
                <w:rFonts w:ascii="Calibri" w:hAnsi="Calibri" w:cs="Calibri"/>
                <w:color w:val="000000"/>
                <w:sz w:val="22"/>
                <w:szCs w:val="22"/>
              </w:rPr>
            </w:pPr>
            <w:r w:rsidRPr="006F7D1C">
              <w:rPr>
                <w:rFonts w:ascii="Calibri" w:hAnsi="Calibri" w:cs="Calibri"/>
                <w:color w:val="000000"/>
                <w:sz w:val="22"/>
                <w:szCs w:val="22"/>
              </w:rPr>
              <w:t>National Science Foundation</w:t>
            </w:r>
          </w:p>
        </w:tc>
      </w:tr>
      <w:tr w:rsidR="00FC0E1D" w14:paraId="7B0529FE"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EA36B82" w14:textId="77777777" w:rsidR="00FC0E1D" w:rsidRPr="000D09C3" w:rsidRDefault="00FC0E1D" w:rsidP="00FC0E1D">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OIG</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6E602F58" w14:textId="77777777" w:rsidR="00FC0E1D" w:rsidRPr="000D09C3" w:rsidRDefault="00FC0E1D" w:rsidP="00FC0E1D">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Office of Inspector General</w:t>
            </w:r>
          </w:p>
        </w:tc>
      </w:tr>
      <w:tr w:rsidR="00FC0E1D" w14:paraId="4A1993D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3864BD1" w14:textId="00BB3EA7" w:rsidR="00FC0E1D" w:rsidRPr="000D09C3" w:rsidRDefault="00FC0E1D" w:rsidP="00FC0E1D">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OMB</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2177CC0" w14:textId="2A5F3E46" w:rsidR="00FC0E1D" w:rsidRPr="000D09C3" w:rsidRDefault="00FC0E1D" w:rsidP="00FC0E1D">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Office of Management and Budget</w:t>
            </w:r>
          </w:p>
        </w:tc>
      </w:tr>
      <w:tr w:rsidR="00C35237" w14:paraId="03BCF681"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014B20F" w14:textId="32AFB20B" w:rsidR="00C35237" w:rsidRPr="000D09C3" w:rsidRDefault="00C35237" w:rsidP="00C35237">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OMI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4FFC889" w14:textId="194E171B" w:rsidR="00C35237" w:rsidRPr="000D09C3" w:rsidRDefault="00C35237" w:rsidP="00C35237">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Other Minority Institutions</w:t>
            </w:r>
          </w:p>
        </w:tc>
      </w:tr>
      <w:tr w:rsidR="00C35237" w14:paraId="42B13D46"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2495A86" w14:textId="22E4C05A" w:rsidR="00C35237" w:rsidRPr="000D09C3" w:rsidRDefault="00C35237" w:rsidP="00C35237">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OSTI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6322A217" w14:textId="74074927" w:rsidR="00C35237" w:rsidRPr="000D09C3" w:rsidRDefault="00C35237" w:rsidP="00C35237">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Office of Scientific and Technical Information</w:t>
            </w:r>
          </w:p>
        </w:tc>
      </w:tr>
      <w:tr w:rsidR="008D27E6" w14:paraId="370E379E"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8B454AE" w14:textId="4BBD4D84" w:rsidR="00E45602" w:rsidRDefault="00E45602" w:rsidP="00E4560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OPEX</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59214883" w14:textId="3853A5BC" w:rsidR="00E45602" w:rsidRDefault="00E45602" w:rsidP="00E4560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Operating Expenses</w:t>
            </w:r>
          </w:p>
        </w:tc>
      </w:tr>
      <w:tr w:rsidR="00E45602" w14:paraId="28CE84AF"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A822956" w14:textId="77777777" w:rsidR="00E45602" w:rsidRPr="000D09C3" w:rsidRDefault="00E45602" w:rsidP="00E45602">
            <w:pPr>
              <w:autoSpaceDE w:val="0"/>
              <w:autoSpaceDN w:val="0"/>
              <w:adjustRightInd w:val="0"/>
              <w:rPr>
                <w:rFonts w:ascii="Calibri" w:hAnsi="Calibri" w:cs="Calibri"/>
                <w:color w:val="000000"/>
                <w:sz w:val="22"/>
                <w:szCs w:val="22"/>
              </w:rPr>
            </w:pPr>
            <w:r>
              <w:rPr>
                <w:rFonts w:ascii="Calibri" w:hAnsi="Calibri" w:cs="Calibri"/>
                <w:color w:val="000000"/>
                <w:sz w:val="22"/>
                <w:szCs w:val="22"/>
              </w:rPr>
              <w:t>OTA</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6E78BBEE" w14:textId="77777777" w:rsidR="00E45602" w:rsidRPr="000D09C3" w:rsidRDefault="00E45602" w:rsidP="00E45602">
            <w:pPr>
              <w:autoSpaceDE w:val="0"/>
              <w:autoSpaceDN w:val="0"/>
              <w:adjustRightInd w:val="0"/>
              <w:rPr>
                <w:rFonts w:ascii="Calibri" w:hAnsi="Calibri" w:cs="Calibri"/>
                <w:color w:val="000000"/>
                <w:sz w:val="22"/>
                <w:szCs w:val="22"/>
              </w:rPr>
            </w:pPr>
            <w:r>
              <w:rPr>
                <w:rFonts w:ascii="Calibri" w:hAnsi="Calibri" w:cs="Calibri"/>
                <w:color w:val="000000"/>
                <w:sz w:val="22"/>
                <w:szCs w:val="22"/>
              </w:rPr>
              <w:t>Other Transactions Authority</w:t>
            </w:r>
          </w:p>
        </w:tc>
      </w:tr>
      <w:tr w:rsidR="00624D73" w14:paraId="21DF73A7"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2013925" w14:textId="17FD2941" w:rsidR="00624D73" w:rsidRPr="000D09C3" w:rsidRDefault="00624D73" w:rsidP="00624D7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P&amp;ID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3FA3C13" w14:textId="66246E37" w:rsidR="00624D73" w:rsidRPr="000D09C3" w:rsidRDefault="00624D73" w:rsidP="00624D7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Piping and Instrumentation Diagram</w:t>
            </w:r>
          </w:p>
        </w:tc>
      </w:tr>
      <w:tr w:rsidR="00624D73" w14:paraId="6513223D"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6FE72AE" w14:textId="1EA51863" w:rsidR="00624D73" w:rsidRPr="000D09C3" w:rsidRDefault="00624D73" w:rsidP="00624D7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PMP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A825567" w14:textId="3EA550BA" w:rsidR="00624D73" w:rsidRPr="000D09C3" w:rsidRDefault="00624D73" w:rsidP="00624D7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Project Management Plan</w:t>
            </w:r>
          </w:p>
        </w:tc>
      </w:tr>
      <w:tr w:rsidR="00624D73" w14:paraId="54808907"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4887601" w14:textId="5CE43937" w:rsidR="00624D73" w:rsidRPr="000D09C3" w:rsidRDefault="00624D73" w:rsidP="00624D73">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PII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2223DA75" w14:textId="213F00BD" w:rsidR="00624D73" w:rsidRPr="000D09C3" w:rsidRDefault="00624D73" w:rsidP="00624D73">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Personal Identifiable Information</w:t>
            </w:r>
          </w:p>
        </w:tc>
      </w:tr>
      <w:tr w:rsidR="00624D73" w14:paraId="631992B3"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215B92B" w14:textId="3944C7DE" w:rsidR="00624D73" w:rsidRPr="000D09C3" w:rsidRDefault="00624D73" w:rsidP="00624D73">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R&amp;D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66D8879" w14:textId="134FC226" w:rsidR="00624D73" w:rsidRPr="000D09C3" w:rsidRDefault="00624D73" w:rsidP="00624D73">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Research and Development</w:t>
            </w:r>
          </w:p>
        </w:tc>
      </w:tr>
      <w:tr w:rsidR="004E2C88" w14:paraId="2AE545FB"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D2DE861" w14:textId="059A245C" w:rsidR="004E2C88" w:rsidRPr="000D09C3" w:rsidRDefault="004E2C88" w:rsidP="004E2C8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RD&amp;D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538B0D9" w14:textId="057189DC" w:rsidR="004E2C88" w:rsidRPr="000D09C3" w:rsidRDefault="004E2C88" w:rsidP="004E2C8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Research, Development and Demonstration</w:t>
            </w:r>
          </w:p>
        </w:tc>
      </w:tr>
      <w:tr w:rsidR="004E2C88" w14:paraId="16ED8117"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4769CC1" w14:textId="6FC26561" w:rsidR="004E2C88" w:rsidRPr="000D09C3" w:rsidRDefault="004E2C88" w:rsidP="004E2C8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RDD&amp;D</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5688CC8" w14:textId="0FB83DBE" w:rsidR="004E2C88" w:rsidRPr="000D09C3" w:rsidRDefault="004E2C88" w:rsidP="004E2C88">
            <w:pPr>
              <w:autoSpaceDE w:val="0"/>
              <w:autoSpaceDN w:val="0"/>
              <w:adjustRightInd w:val="0"/>
              <w:rPr>
                <w:rFonts w:ascii="Calibri" w:hAnsi="Calibri" w:cs="Calibri"/>
                <w:color w:val="000000"/>
                <w:sz w:val="22"/>
                <w:szCs w:val="22"/>
              </w:rPr>
            </w:pPr>
            <w:r w:rsidRPr="00AF2E02">
              <w:rPr>
                <w:rFonts w:ascii="Calibri" w:hAnsi="Calibri"/>
                <w:color w:val="000000"/>
                <w:sz w:val="22"/>
                <w:szCs w:val="22"/>
              </w:rPr>
              <w:t xml:space="preserve">Research, Development, Demonstration and Deployment </w:t>
            </w:r>
          </w:p>
        </w:tc>
      </w:tr>
      <w:tr w:rsidR="004E2C88" w14:paraId="6BAA176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671DC9E5" w14:textId="295D823B" w:rsidR="004E2C88" w:rsidRPr="000D09C3" w:rsidRDefault="004E2C88" w:rsidP="004E2C8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RFI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CD75378" w14:textId="08EEB66F" w:rsidR="004E2C88" w:rsidRPr="000D09C3" w:rsidRDefault="004E2C88" w:rsidP="004E2C8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Request for Information</w:t>
            </w:r>
          </w:p>
        </w:tc>
      </w:tr>
      <w:tr w:rsidR="004E2C88" w14:paraId="12CCF49A"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750D183" w14:textId="118F2EE6" w:rsidR="004E2C88" w:rsidRPr="000D09C3" w:rsidRDefault="004E2C88" w:rsidP="004E2C8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RFP</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2827B9C" w14:textId="3D06E3A8" w:rsidR="004E2C88" w:rsidRPr="000D09C3" w:rsidRDefault="004E2C88" w:rsidP="004E2C8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Request for Proposal</w:t>
            </w:r>
          </w:p>
        </w:tc>
      </w:tr>
      <w:tr w:rsidR="000B53F2" w14:paraId="4465CAF2"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EEB9CD7" w14:textId="46A3CD42" w:rsidR="000B53F2" w:rsidRPr="000D09C3" w:rsidRDefault="000B53F2" w:rsidP="000B53F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RNG</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FECA43E" w14:textId="15062D3A" w:rsidR="000B53F2" w:rsidRPr="000D09C3" w:rsidRDefault="000B53F2" w:rsidP="000B53F2">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Renewable Natural Gas</w:t>
            </w:r>
          </w:p>
        </w:tc>
      </w:tr>
      <w:tr w:rsidR="00C14A98" w14:paraId="370B357A"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E3C1E94" w14:textId="69617EC9" w:rsidR="00C14A98" w:rsidRPr="000D09C3" w:rsidRDefault="00C14A98" w:rsidP="00C14A98">
            <w:pPr>
              <w:autoSpaceDE w:val="0"/>
              <w:autoSpaceDN w:val="0"/>
              <w:adjustRightInd w:val="0"/>
              <w:rPr>
                <w:rFonts w:ascii="Calibri" w:hAnsi="Calibri" w:cs="Calibri"/>
                <w:color w:val="000000"/>
                <w:sz w:val="22"/>
                <w:szCs w:val="22"/>
              </w:rPr>
            </w:pPr>
            <w:r>
              <w:rPr>
                <w:rFonts w:ascii="Calibri" w:hAnsi="Calibri"/>
                <w:color w:val="000000"/>
                <w:sz w:val="22"/>
                <w:szCs w:val="22"/>
              </w:rPr>
              <w:t>SAF</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36DD181" w14:textId="5C49E0A6" w:rsidR="00C14A98" w:rsidRPr="000D09C3" w:rsidRDefault="00C14A98" w:rsidP="00C14A98">
            <w:pPr>
              <w:autoSpaceDE w:val="0"/>
              <w:autoSpaceDN w:val="0"/>
              <w:adjustRightInd w:val="0"/>
              <w:rPr>
                <w:rFonts w:ascii="Calibri" w:hAnsi="Calibri" w:cs="Calibri"/>
                <w:color w:val="000000"/>
                <w:sz w:val="22"/>
                <w:szCs w:val="22"/>
              </w:rPr>
            </w:pPr>
            <w:r>
              <w:rPr>
                <w:rFonts w:ascii="Calibri" w:hAnsi="Calibri"/>
                <w:color w:val="000000"/>
                <w:sz w:val="22"/>
                <w:szCs w:val="22"/>
              </w:rPr>
              <w:t>Sustainable Aviation Fuel</w:t>
            </w:r>
          </w:p>
        </w:tc>
      </w:tr>
      <w:tr w:rsidR="00C14A98" w14:paraId="5A8068A0"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316621F" w14:textId="193C3545" w:rsidR="00C14A98" w:rsidRPr="000D09C3" w:rsidRDefault="00C14A98" w:rsidP="00C14A9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SCF</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CBF1B20" w14:textId="35D4604C" w:rsidR="00C14A98" w:rsidRPr="000D09C3" w:rsidRDefault="00C14A98" w:rsidP="00C14A98">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Standard Cubic Foot</w:t>
            </w:r>
          </w:p>
        </w:tc>
      </w:tr>
      <w:tr w:rsidR="00C14A98" w14:paraId="3BF9EB0F"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5BD08532" w14:textId="71538640" w:rsidR="00C14A98" w:rsidRPr="000D09C3" w:rsidRDefault="00C14A98" w:rsidP="00C14A9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SAM</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6992B36A" w14:textId="2C52489A" w:rsidR="00C14A98" w:rsidRPr="000D09C3" w:rsidRDefault="00C14A98" w:rsidP="00C14A98">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System for Award Management</w:t>
            </w:r>
          </w:p>
        </w:tc>
      </w:tr>
      <w:tr w:rsidR="008D27E6" w:rsidRPr="000D09C3" w14:paraId="49BD1678"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07FB75DF" w14:textId="7983D507" w:rsidR="007A77C0" w:rsidRPr="006858A8" w:rsidRDefault="007A77C0" w:rsidP="007A77C0">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SCF</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54E593DF" w14:textId="51906607" w:rsidR="007A77C0" w:rsidRPr="006858A8" w:rsidRDefault="007A77C0" w:rsidP="007A77C0">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Standard Cubic Foot</w:t>
            </w:r>
          </w:p>
        </w:tc>
      </w:tr>
      <w:tr w:rsidR="007A77C0" w:rsidRPr="000D09C3" w14:paraId="2E5CFBB8"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F1CE69F" w14:textId="77777777" w:rsidR="007A77C0" w:rsidRPr="000D09C3" w:rsidRDefault="007A77C0" w:rsidP="007A77C0">
            <w:pPr>
              <w:autoSpaceDE w:val="0"/>
              <w:autoSpaceDN w:val="0"/>
              <w:adjustRightInd w:val="0"/>
              <w:rPr>
                <w:rFonts w:ascii="Calibri" w:hAnsi="Calibri" w:cs="Calibri"/>
                <w:color w:val="000000"/>
                <w:sz w:val="22"/>
                <w:szCs w:val="22"/>
              </w:rPr>
            </w:pPr>
            <w:r w:rsidRPr="006858A8">
              <w:rPr>
                <w:rFonts w:ascii="Calibri" w:hAnsi="Calibri" w:cs="Calibri"/>
                <w:color w:val="000000"/>
                <w:sz w:val="22"/>
                <w:szCs w:val="22"/>
              </w:rPr>
              <w:t>SciENcv</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12C86F28" w14:textId="77777777" w:rsidR="007A77C0" w:rsidRPr="000D09C3" w:rsidRDefault="007A77C0" w:rsidP="007A77C0">
            <w:pPr>
              <w:autoSpaceDE w:val="0"/>
              <w:autoSpaceDN w:val="0"/>
              <w:adjustRightInd w:val="0"/>
              <w:rPr>
                <w:rFonts w:ascii="Calibri" w:hAnsi="Calibri" w:cs="Calibri"/>
                <w:color w:val="000000"/>
                <w:sz w:val="22"/>
                <w:szCs w:val="22"/>
              </w:rPr>
            </w:pPr>
            <w:r w:rsidRPr="006858A8">
              <w:rPr>
                <w:rFonts w:ascii="Calibri" w:hAnsi="Calibri" w:cs="Calibri"/>
                <w:color w:val="000000"/>
                <w:sz w:val="22"/>
                <w:szCs w:val="22"/>
              </w:rPr>
              <w:t>Science Experts Network Curriculum Vita</w:t>
            </w:r>
          </w:p>
        </w:tc>
      </w:tr>
      <w:tr w:rsidR="007A77C0" w:rsidRPr="000D09C3" w14:paraId="09970B80"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0317F6F" w14:textId="77777777" w:rsidR="007A77C0" w:rsidRPr="000D09C3" w:rsidRDefault="007A77C0" w:rsidP="007A77C0">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SMART</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45F2AB00" w14:textId="77777777" w:rsidR="007A77C0" w:rsidRPr="000D09C3" w:rsidRDefault="007A77C0" w:rsidP="007A77C0">
            <w:pPr>
              <w:autoSpaceDE w:val="0"/>
              <w:autoSpaceDN w:val="0"/>
              <w:adjustRightInd w:val="0"/>
              <w:rPr>
                <w:rFonts w:ascii="Calibri" w:hAnsi="Calibri" w:cs="Calibri"/>
                <w:color w:val="000000"/>
                <w:sz w:val="22"/>
                <w:szCs w:val="22"/>
              </w:rPr>
            </w:pPr>
            <w:r w:rsidRPr="00380340">
              <w:rPr>
                <w:rFonts w:ascii="Calibri" w:eastAsia="Calibri" w:hAnsi="Calibri" w:cs="Calibri"/>
                <w:color w:val="000000" w:themeColor="text1"/>
                <w:sz w:val="22"/>
                <w:szCs w:val="22"/>
              </w:rPr>
              <w:t xml:space="preserve">Specific, Measurable, </w:t>
            </w:r>
            <w:r>
              <w:rPr>
                <w:rFonts w:ascii="Calibri" w:eastAsia="Calibri" w:hAnsi="Calibri" w:cs="Calibri"/>
                <w:color w:val="000000" w:themeColor="text1"/>
                <w:sz w:val="22"/>
                <w:szCs w:val="22"/>
              </w:rPr>
              <w:t>Attainable</w:t>
            </w:r>
            <w:r w:rsidRPr="00380340">
              <w:rPr>
                <w:rFonts w:ascii="Calibri" w:eastAsia="Calibri" w:hAnsi="Calibri" w:cs="Calibri"/>
                <w:color w:val="000000" w:themeColor="text1"/>
                <w:sz w:val="22"/>
                <w:szCs w:val="22"/>
              </w:rPr>
              <w:t xml:space="preserve">, </w:t>
            </w:r>
            <w:r>
              <w:rPr>
                <w:rFonts w:ascii="Calibri" w:eastAsia="Calibri" w:hAnsi="Calibri" w:cs="Calibri"/>
                <w:color w:val="000000" w:themeColor="text1"/>
                <w:sz w:val="22"/>
                <w:szCs w:val="22"/>
              </w:rPr>
              <w:t>Realistic</w:t>
            </w:r>
            <w:r w:rsidRPr="00380340">
              <w:rPr>
                <w:rFonts w:ascii="Calibri" w:eastAsia="Calibri" w:hAnsi="Calibri" w:cs="Calibri"/>
                <w:color w:val="000000" w:themeColor="text1"/>
                <w:sz w:val="22"/>
                <w:szCs w:val="22"/>
              </w:rPr>
              <w:t>, and Timely</w:t>
            </w:r>
          </w:p>
        </w:tc>
      </w:tr>
      <w:tr w:rsidR="007A77C0" w14:paraId="25049FE2"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DBB7A75" w14:textId="1EB6E891" w:rsidR="007A77C0" w:rsidRPr="000D09C3" w:rsidRDefault="007A77C0" w:rsidP="007A77C0">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SOPO</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C55DCCF" w14:textId="6D3CF09A" w:rsidR="007A77C0" w:rsidRPr="000D09C3" w:rsidRDefault="007A77C0" w:rsidP="007A77C0">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Statement of Project Objectives</w:t>
            </w:r>
          </w:p>
        </w:tc>
      </w:tr>
      <w:tr w:rsidR="007A77C0" w14:paraId="336E8E01"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D765ACC" w14:textId="55E7329D" w:rsidR="007A77C0" w:rsidRPr="000D09C3" w:rsidRDefault="007A77C0" w:rsidP="007A77C0">
            <w:pPr>
              <w:autoSpaceDE w:val="0"/>
              <w:autoSpaceDN w:val="0"/>
              <w:adjustRightInd w:val="0"/>
              <w:rPr>
                <w:rFonts w:ascii="Calibri" w:hAnsi="Calibri" w:cs="Calibri"/>
                <w:color w:val="000000"/>
                <w:sz w:val="22"/>
                <w:szCs w:val="22"/>
              </w:rPr>
            </w:pPr>
            <w:r>
              <w:rPr>
                <w:rFonts w:ascii="Calibri" w:hAnsi="Calibri" w:cs="Calibri"/>
                <w:color w:val="000000"/>
                <w:sz w:val="22"/>
                <w:szCs w:val="22"/>
              </w:rPr>
              <w:t>SPOC</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08618B5" w14:textId="4FB9322A" w:rsidR="007A77C0" w:rsidRPr="000D09C3" w:rsidRDefault="007A77C0" w:rsidP="007A77C0">
            <w:pPr>
              <w:autoSpaceDE w:val="0"/>
              <w:autoSpaceDN w:val="0"/>
              <w:adjustRightInd w:val="0"/>
              <w:rPr>
                <w:rFonts w:ascii="Calibri" w:hAnsi="Calibri" w:cs="Calibri"/>
                <w:color w:val="000000"/>
                <w:sz w:val="22"/>
                <w:szCs w:val="22"/>
              </w:rPr>
            </w:pPr>
            <w:r>
              <w:rPr>
                <w:rFonts w:ascii="Calibri" w:hAnsi="Calibri" w:cs="Calibri"/>
                <w:color w:val="000000"/>
                <w:sz w:val="22"/>
                <w:szCs w:val="22"/>
              </w:rPr>
              <w:t>Single Point of Contact</w:t>
            </w:r>
          </w:p>
        </w:tc>
      </w:tr>
      <w:tr w:rsidR="007A77C0" w14:paraId="357DDF67"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34A8353" w14:textId="0EC65ACA" w:rsidR="007A77C0" w:rsidRPr="000D09C3" w:rsidRDefault="007A77C0" w:rsidP="007A77C0">
            <w:pPr>
              <w:autoSpaceDE w:val="0"/>
              <w:autoSpaceDN w:val="0"/>
              <w:adjustRightInd w:val="0"/>
              <w:rPr>
                <w:rFonts w:ascii="Calibri" w:hAnsi="Calibri" w:cs="Calibri"/>
                <w:color w:val="000000"/>
                <w:sz w:val="22"/>
                <w:szCs w:val="22"/>
              </w:rPr>
            </w:pPr>
            <w:r>
              <w:rPr>
                <w:rFonts w:ascii="Calibri" w:hAnsi="Calibri" w:cs="Calibri"/>
                <w:color w:val="000000"/>
                <w:sz w:val="22"/>
                <w:szCs w:val="22"/>
              </w:rPr>
              <w:t>STEM</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4C9CC6A7" w14:textId="64D1030D" w:rsidR="007A77C0" w:rsidRPr="000D09C3" w:rsidRDefault="007A77C0" w:rsidP="007A77C0">
            <w:pPr>
              <w:autoSpaceDE w:val="0"/>
              <w:autoSpaceDN w:val="0"/>
              <w:adjustRightInd w:val="0"/>
              <w:rPr>
                <w:rFonts w:ascii="Calibri" w:hAnsi="Calibri" w:cs="Calibri"/>
                <w:color w:val="000000"/>
                <w:sz w:val="22"/>
                <w:szCs w:val="22"/>
              </w:rPr>
            </w:pPr>
            <w:r>
              <w:rPr>
                <w:rFonts w:ascii="Calibri" w:hAnsi="Calibri" w:cs="Calibri"/>
                <w:color w:val="000000"/>
                <w:sz w:val="22"/>
                <w:szCs w:val="22"/>
              </w:rPr>
              <w:t>Science, Technology, Engineering, and Mathematics</w:t>
            </w:r>
          </w:p>
        </w:tc>
      </w:tr>
      <w:tr w:rsidR="008D27E6" w14:paraId="6E55C0B9"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66C9065" w14:textId="6D568050" w:rsidR="00BC6A9C" w:rsidRPr="00380340" w:rsidRDefault="00BC6A9C" w:rsidP="00BC6A9C">
            <w:pPr>
              <w:autoSpaceDE w:val="0"/>
              <w:autoSpaceDN w:val="0"/>
              <w:adjustRightInd w:val="0"/>
              <w:rPr>
                <w:rFonts w:ascii="Calibri" w:hAnsi="Calibri" w:cs="Calibri"/>
                <w:color w:val="000000"/>
                <w:sz w:val="22"/>
                <w:szCs w:val="22"/>
              </w:rPr>
            </w:pPr>
            <w:r w:rsidRPr="008015FD">
              <w:rPr>
                <w:rFonts w:ascii="Calibri" w:hAnsi="Calibri"/>
                <w:color w:val="000000"/>
                <w:sz w:val="22"/>
                <w:szCs w:val="22"/>
              </w:rPr>
              <w:lastRenderedPageBreak/>
              <w:t>STP</w:t>
            </w:r>
          </w:p>
        </w:tc>
        <w:tc>
          <w:tcPr>
            <w:tcW w:w="5753" w:type="dxa"/>
            <w:gridSpan w:val="3"/>
            <w:tcBorders>
              <w:top w:val="single" w:sz="4" w:space="0" w:color="auto"/>
              <w:left w:val="single" w:sz="4" w:space="0" w:color="auto"/>
              <w:bottom w:val="single" w:sz="4" w:space="0" w:color="auto"/>
              <w:right w:val="single" w:sz="4" w:space="0" w:color="auto"/>
            </w:tcBorders>
            <w:shd w:val="clear" w:color="auto" w:fill="auto"/>
          </w:tcPr>
          <w:p w14:paraId="5DEC2916" w14:textId="2A8575C6" w:rsidR="00BC6A9C" w:rsidRPr="006F7D1C" w:rsidRDefault="00BC6A9C" w:rsidP="00BC6A9C">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Standard Temperature and Pressure</w:t>
            </w:r>
          </w:p>
        </w:tc>
      </w:tr>
      <w:tr w:rsidR="00BC6A9C" w14:paraId="3A1C3BBC" w14:textId="77777777" w:rsidTr="008B0D95">
        <w:trPr>
          <w:gridAfter w:val="1"/>
          <w:wAfter w:w="45" w:type="dxa"/>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35F0C1D" w14:textId="77777777" w:rsidR="00BC6A9C" w:rsidRDefault="00BC6A9C" w:rsidP="00BC6A9C">
            <w:pPr>
              <w:autoSpaceDE w:val="0"/>
              <w:autoSpaceDN w:val="0"/>
              <w:adjustRightInd w:val="0"/>
              <w:rPr>
                <w:rFonts w:ascii="Calibri" w:hAnsi="Calibri" w:cs="Calibri"/>
                <w:color w:val="000000"/>
                <w:sz w:val="22"/>
                <w:szCs w:val="22"/>
              </w:rPr>
            </w:pPr>
            <w:r w:rsidRPr="00380340">
              <w:rPr>
                <w:rFonts w:ascii="Calibri" w:hAnsi="Calibri" w:cs="Calibri"/>
                <w:color w:val="000000"/>
                <w:sz w:val="22"/>
                <w:szCs w:val="22"/>
              </w:rPr>
              <w:t>TAA</w:t>
            </w:r>
          </w:p>
        </w:tc>
        <w:tc>
          <w:tcPr>
            <w:tcW w:w="5753" w:type="dxa"/>
            <w:gridSpan w:val="2"/>
            <w:tcBorders>
              <w:top w:val="single" w:sz="4" w:space="0" w:color="auto"/>
              <w:left w:val="single" w:sz="4" w:space="0" w:color="auto"/>
              <w:bottom w:val="single" w:sz="4" w:space="0" w:color="auto"/>
              <w:right w:val="single" w:sz="4" w:space="0" w:color="auto"/>
            </w:tcBorders>
            <w:shd w:val="clear" w:color="auto" w:fill="auto"/>
          </w:tcPr>
          <w:p w14:paraId="2060BC15" w14:textId="77777777" w:rsidR="00BC6A9C" w:rsidRDefault="00BC6A9C" w:rsidP="00BC6A9C">
            <w:pPr>
              <w:autoSpaceDE w:val="0"/>
              <w:autoSpaceDN w:val="0"/>
              <w:adjustRightInd w:val="0"/>
              <w:rPr>
                <w:rFonts w:ascii="Calibri" w:hAnsi="Calibri" w:cs="Calibri"/>
                <w:color w:val="000000"/>
                <w:sz w:val="22"/>
                <w:szCs w:val="22"/>
              </w:rPr>
            </w:pPr>
            <w:r w:rsidRPr="006F7D1C">
              <w:rPr>
                <w:rFonts w:ascii="Calibri" w:hAnsi="Calibri" w:cs="Calibri"/>
                <w:color w:val="000000"/>
                <w:sz w:val="22"/>
                <w:szCs w:val="22"/>
              </w:rPr>
              <w:t>Technical Assistance Agreement</w:t>
            </w:r>
          </w:p>
        </w:tc>
      </w:tr>
      <w:tr w:rsidR="005D500E" w14:paraId="131C0E2C"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72B655FA" w14:textId="74A7326C" w:rsidR="005D500E" w:rsidRDefault="005D500E" w:rsidP="005D500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TEA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80D58FF" w14:textId="4D464A4D" w:rsidR="005D500E" w:rsidRDefault="005D500E" w:rsidP="005D500E">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Techno-Economic Analysis</w:t>
            </w:r>
          </w:p>
        </w:tc>
      </w:tr>
      <w:tr w:rsidR="005D500E" w14:paraId="20C44BED"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B4326EE" w14:textId="6A528257" w:rsidR="005D500E"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TIA</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A393C20" w14:textId="7A5F339F" w:rsidR="005D500E"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Technology Investment Agreement</w:t>
            </w:r>
          </w:p>
        </w:tc>
      </w:tr>
      <w:tr w:rsidR="005D500E" w14:paraId="56F9AECF"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8F055C6" w14:textId="6BB773A0"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TRL</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77176139" w14:textId="77DBAF7E"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Technology Readiness Level</w:t>
            </w:r>
          </w:p>
        </w:tc>
      </w:tr>
      <w:tr w:rsidR="005D500E" w14:paraId="0D6A373A"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3B412A4" w14:textId="41E8640B"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UCC</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6E3BF671" w14:textId="0B52C9CC"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Uniform Commercial Code</w:t>
            </w:r>
          </w:p>
        </w:tc>
      </w:tr>
      <w:tr w:rsidR="005D500E" w14:paraId="02D0D427"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ED56E62" w14:textId="02145BBF" w:rsidR="005D500E" w:rsidRPr="000D09C3"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UEI</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1CF875ED" w14:textId="6210708C" w:rsidR="005D500E" w:rsidRPr="000D09C3"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Unique Entity Identifier</w:t>
            </w:r>
          </w:p>
        </w:tc>
      </w:tr>
      <w:tr w:rsidR="00702FA3" w14:paraId="1EC78726"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30FFB5F4" w14:textId="3B67D71C" w:rsidR="00702FA3" w:rsidRDefault="00702FA3" w:rsidP="00702FA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VOC</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5CF42F4D" w14:textId="19B40F0A" w:rsidR="00702FA3" w:rsidRDefault="00702FA3" w:rsidP="00702FA3">
            <w:pPr>
              <w:autoSpaceDE w:val="0"/>
              <w:autoSpaceDN w:val="0"/>
              <w:adjustRightInd w:val="0"/>
              <w:rPr>
                <w:rFonts w:ascii="Calibri" w:hAnsi="Calibri" w:cs="Calibri"/>
                <w:color w:val="000000"/>
                <w:sz w:val="22"/>
                <w:szCs w:val="22"/>
              </w:rPr>
            </w:pPr>
            <w:r w:rsidRPr="008015FD">
              <w:rPr>
                <w:rFonts w:ascii="Calibri" w:hAnsi="Calibri"/>
                <w:color w:val="000000"/>
                <w:sz w:val="22"/>
                <w:szCs w:val="22"/>
              </w:rPr>
              <w:t>Volatile Organic Compound</w:t>
            </w:r>
          </w:p>
        </w:tc>
      </w:tr>
      <w:tr w:rsidR="005D500E" w14:paraId="683BA001"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1C3394C6" w14:textId="2BBA939D" w:rsidR="005D500E" w:rsidRPr="000D09C3"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WBS</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01DF2283" w14:textId="2FBDB5F8" w:rsidR="005D500E" w:rsidRPr="000D09C3" w:rsidRDefault="005D500E" w:rsidP="005D500E">
            <w:pPr>
              <w:autoSpaceDE w:val="0"/>
              <w:autoSpaceDN w:val="0"/>
              <w:adjustRightInd w:val="0"/>
              <w:rPr>
                <w:rFonts w:ascii="Calibri" w:hAnsi="Calibri" w:cs="Calibri"/>
                <w:color w:val="000000"/>
                <w:sz w:val="22"/>
                <w:szCs w:val="22"/>
              </w:rPr>
            </w:pPr>
            <w:r>
              <w:rPr>
                <w:rFonts w:ascii="Calibri" w:hAnsi="Calibri" w:cs="Calibri"/>
                <w:color w:val="000000"/>
                <w:sz w:val="22"/>
                <w:szCs w:val="22"/>
              </w:rPr>
              <w:t>Work Breakdown Structure</w:t>
            </w:r>
          </w:p>
        </w:tc>
      </w:tr>
      <w:tr w:rsidR="005D500E" w14:paraId="37501018" w14:textId="77777777" w:rsidTr="008B0D95">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2067817C" w14:textId="1BFAACF5"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WP </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3DDF370F" w14:textId="326A4284" w:rsidR="005D500E" w:rsidRPr="000D09C3" w:rsidRDefault="005D500E" w:rsidP="005D500E">
            <w:pPr>
              <w:autoSpaceDE w:val="0"/>
              <w:autoSpaceDN w:val="0"/>
              <w:adjustRightInd w:val="0"/>
              <w:rPr>
                <w:rFonts w:ascii="Calibri" w:hAnsi="Calibri" w:cs="Calibri"/>
                <w:color w:val="000000"/>
                <w:sz w:val="22"/>
                <w:szCs w:val="22"/>
              </w:rPr>
            </w:pPr>
            <w:r w:rsidRPr="000D09C3">
              <w:rPr>
                <w:rFonts w:ascii="Calibri" w:hAnsi="Calibri" w:cs="Calibri"/>
                <w:color w:val="000000"/>
                <w:sz w:val="22"/>
                <w:szCs w:val="22"/>
              </w:rPr>
              <w:t xml:space="preserve">Work Proposal </w:t>
            </w:r>
          </w:p>
        </w:tc>
      </w:tr>
      <w:tr w:rsidR="00C27FF4" w14:paraId="437FFC4C" w14:textId="77777777" w:rsidTr="00EB30EE">
        <w:trPr>
          <w:trHeight w:val="130"/>
          <w:jc w:val="center"/>
        </w:trPr>
        <w:tc>
          <w:tcPr>
            <w:tcW w:w="1982" w:type="dxa"/>
            <w:tcBorders>
              <w:top w:val="single" w:sz="4" w:space="0" w:color="auto"/>
              <w:left w:val="single" w:sz="4" w:space="0" w:color="auto"/>
              <w:bottom w:val="single" w:sz="4" w:space="0" w:color="auto"/>
              <w:right w:val="single" w:sz="4" w:space="0" w:color="auto"/>
            </w:tcBorders>
            <w:shd w:val="clear" w:color="auto" w:fill="auto"/>
          </w:tcPr>
          <w:p w14:paraId="45A8747E" w14:textId="32E2D92F" w:rsidR="00C27FF4" w:rsidRPr="000D09C3" w:rsidRDefault="00C27FF4" w:rsidP="00C27FF4">
            <w:pPr>
              <w:autoSpaceDE w:val="0"/>
              <w:autoSpaceDN w:val="0"/>
              <w:adjustRightInd w:val="0"/>
              <w:rPr>
                <w:rFonts w:ascii="Calibri" w:hAnsi="Calibri" w:cs="Calibri"/>
                <w:color w:val="000000"/>
                <w:sz w:val="22"/>
                <w:szCs w:val="22"/>
              </w:rPr>
            </w:pPr>
            <w:r>
              <w:rPr>
                <w:rFonts w:ascii="Calibri" w:hAnsi="Calibri" w:cs="Calibri"/>
                <w:color w:val="000000"/>
                <w:sz w:val="22"/>
                <w:szCs w:val="22"/>
              </w:rPr>
              <w:t>WTE</w:t>
            </w:r>
          </w:p>
        </w:tc>
        <w:tc>
          <w:tcPr>
            <w:tcW w:w="5798" w:type="dxa"/>
            <w:gridSpan w:val="3"/>
            <w:tcBorders>
              <w:top w:val="single" w:sz="4" w:space="0" w:color="auto"/>
              <w:left w:val="single" w:sz="4" w:space="0" w:color="auto"/>
              <w:bottom w:val="single" w:sz="4" w:space="0" w:color="auto"/>
              <w:right w:val="single" w:sz="4" w:space="0" w:color="auto"/>
            </w:tcBorders>
            <w:shd w:val="clear" w:color="auto" w:fill="auto"/>
          </w:tcPr>
          <w:p w14:paraId="6A89CCBA" w14:textId="43B2A96E" w:rsidR="00C27FF4" w:rsidRPr="000D09C3" w:rsidRDefault="00C27FF4" w:rsidP="00C27FF4">
            <w:pPr>
              <w:autoSpaceDE w:val="0"/>
              <w:autoSpaceDN w:val="0"/>
              <w:adjustRightInd w:val="0"/>
              <w:rPr>
                <w:rFonts w:ascii="Calibri" w:hAnsi="Calibri" w:cs="Calibri"/>
                <w:color w:val="000000"/>
                <w:sz w:val="22"/>
                <w:szCs w:val="22"/>
              </w:rPr>
            </w:pPr>
            <w:r>
              <w:rPr>
                <w:rFonts w:ascii="Calibri" w:hAnsi="Calibri" w:cs="Calibri"/>
                <w:color w:val="000000"/>
                <w:sz w:val="22"/>
                <w:szCs w:val="22"/>
              </w:rPr>
              <w:t>Waste-to-Energy</w:t>
            </w:r>
          </w:p>
        </w:tc>
      </w:tr>
    </w:tbl>
    <w:p w14:paraId="7D091144" w14:textId="35E48E06" w:rsidR="006A7F92" w:rsidRDefault="006A7F92" w:rsidP="00506904">
      <w:pPr>
        <w:widowControl w:val="0"/>
        <w:autoSpaceDE w:val="0"/>
        <w:autoSpaceDN w:val="0"/>
        <w:spacing w:before="1"/>
        <w:rPr>
          <w:rFonts w:ascii="Calibri" w:eastAsia="Calibri" w:hAnsi="Calibri" w:cs="Calibri"/>
          <w:spacing w:val="-2"/>
          <w:szCs w:val="22"/>
        </w:rPr>
      </w:pPr>
      <w:bookmarkStart w:id="854" w:name="_bookmark251"/>
      <w:bookmarkStart w:id="855" w:name="_bookmark254"/>
      <w:bookmarkEnd w:id="854"/>
      <w:bookmarkEnd w:id="855"/>
    </w:p>
    <w:p w14:paraId="1C295379" w14:textId="77777777" w:rsidR="006A7F92" w:rsidRDefault="006A7F92">
      <w:pPr>
        <w:rPr>
          <w:rFonts w:ascii="Calibri" w:eastAsia="Calibri" w:hAnsi="Calibri" w:cs="Calibri"/>
          <w:spacing w:val="-2"/>
          <w:szCs w:val="22"/>
        </w:rPr>
      </w:pPr>
      <w:r>
        <w:rPr>
          <w:rFonts w:ascii="Calibri" w:eastAsia="Calibri" w:hAnsi="Calibri" w:cs="Calibri"/>
          <w:spacing w:val="-2"/>
          <w:szCs w:val="22"/>
        </w:rPr>
        <w:br w:type="page"/>
      </w:r>
    </w:p>
    <w:p w14:paraId="2D245E86" w14:textId="77777777" w:rsidR="000F305A" w:rsidRDefault="000F305A" w:rsidP="00887519">
      <w:pPr>
        <w:pStyle w:val="AppendixHeading"/>
        <w:outlineLvl w:val="0"/>
      </w:pPr>
      <w:bookmarkStart w:id="856" w:name="_Toc176864560"/>
      <w:r>
        <w:lastRenderedPageBreak/>
        <w:t>Appendix H – Supplemental Content Requirements &amp; Instructions</w:t>
      </w:r>
      <w:bookmarkEnd w:id="856"/>
    </w:p>
    <w:p w14:paraId="10E77850" w14:textId="77777777" w:rsidR="00C2724F" w:rsidRDefault="00C2724F" w:rsidP="00887519">
      <w:pPr>
        <w:pStyle w:val="AppendixHeading"/>
        <w:outlineLvl w:val="0"/>
      </w:pPr>
    </w:p>
    <w:p w14:paraId="68E79332" w14:textId="4FEED867" w:rsidR="00AA057D" w:rsidRPr="008015FD" w:rsidRDefault="00AA057D" w:rsidP="00AA057D">
      <w:pPr>
        <w:numPr>
          <w:ilvl w:val="0"/>
          <w:numId w:val="154"/>
        </w:numPr>
        <w:pBdr>
          <w:top w:val="nil"/>
          <w:left w:val="nil"/>
          <w:bottom w:val="nil"/>
          <w:right w:val="nil"/>
          <w:between w:val="nil"/>
        </w:pBdr>
        <w:ind w:left="810"/>
      </w:pPr>
      <w:r w:rsidRPr="008015FD">
        <w:rPr>
          <w:rFonts w:ascii="Calibri" w:hAnsi="Calibri"/>
          <w:color w:val="000000"/>
        </w:rPr>
        <w:t xml:space="preserve">A Block Flow Diagram and Supplemental Data is required with the application for </w:t>
      </w:r>
      <w:r>
        <w:rPr>
          <w:rFonts w:ascii="Calibri" w:hAnsi="Calibri"/>
          <w:color w:val="000000"/>
        </w:rPr>
        <w:t>Topic Areas 1, 2</w:t>
      </w:r>
      <w:r w:rsidR="00B11E00">
        <w:rPr>
          <w:rFonts w:ascii="Calibri" w:hAnsi="Calibri"/>
          <w:color w:val="000000"/>
        </w:rPr>
        <w:t>, and 3</w:t>
      </w:r>
      <w:r>
        <w:rPr>
          <w:rFonts w:ascii="Calibri" w:hAnsi="Calibri"/>
          <w:color w:val="000000"/>
        </w:rPr>
        <w:t xml:space="preserve">. </w:t>
      </w:r>
      <w:r w:rsidRPr="008015FD">
        <w:rPr>
          <w:rFonts w:ascii="Calibri" w:hAnsi="Calibri"/>
          <w:color w:val="000000"/>
        </w:rPr>
        <w:t xml:space="preserve">Please See </w:t>
      </w:r>
      <w:r w:rsidRPr="008015FD">
        <w:rPr>
          <w:rFonts w:ascii="Calibri" w:hAnsi="Calibri"/>
          <w:b/>
          <w:color w:val="000000"/>
        </w:rPr>
        <w:t xml:space="preserve">Block Flow Diagram Instructions in section i. </w:t>
      </w:r>
      <w:r w:rsidRPr="008015FD">
        <w:rPr>
          <w:rFonts w:ascii="Calibri" w:hAnsi="Calibri"/>
          <w:color w:val="000000"/>
        </w:rPr>
        <w:t>below.</w:t>
      </w:r>
    </w:p>
    <w:p w14:paraId="1706DD80" w14:textId="77777777" w:rsidR="00AA057D" w:rsidRPr="00055BCA" w:rsidRDefault="00AA057D" w:rsidP="00AA057D">
      <w:pPr>
        <w:pBdr>
          <w:top w:val="nil"/>
          <w:left w:val="nil"/>
          <w:bottom w:val="nil"/>
          <w:right w:val="nil"/>
          <w:between w:val="nil"/>
        </w:pBdr>
        <w:ind w:left="810"/>
      </w:pPr>
    </w:p>
    <w:p w14:paraId="7D6C4665" w14:textId="12190C8A" w:rsidR="00AA057D" w:rsidRPr="008015FD" w:rsidRDefault="00AA057D" w:rsidP="00AA057D">
      <w:pPr>
        <w:numPr>
          <w:ilvl w:val="0"/>
          <w:numId w:val="154"/>
        </w:numPr>
        <w:pBdr>
          <w:top w:val="nil"/>
          <w:left w:val="nil"/>
          <w:bottom w:val="nil"/>
          <w:right w:val="nil"/>
          <w:between w:val="nil"/>
        </w:pBdr>
        <w:ind w:left="810"/>
      </w:pPr>
      <w:r w:rsidRPr="008015FD">
        <w:rPr>
          <w:rFonts w:ascii="Calibri" w:hAnsi="Calibri"/>
          <w:color w:val="000000"/>
        </w:rPr>
        <w:t xml:space="preserve">A Proforma Cash Flow Analysis is required with the application for Topic Areas </w:t>
      </w:r>
      <w:r>
        <w:rPr>
          <w:rFonts w:ascii="Calibri" w:hAnsi="Calibri"/>
          <w:color w:val="000000"/>
        </w:rPr>
        <w:t>1</w:t>
      </w:r>
      <w:r w:rsidR="00B11E00">
        <w:rPr>
          <w:rFonts w:ascii="Calibri" w:hAnsi="Calibri"/>
          <w:color w:val="000000"/>
        </w:rPr>
        <w:t>,</w:t>
      </w:r>
      <w:r w:rsidR="001C3552">
        <w:rPr>
          <w:rFonts w:ascii="Calibri" w:hAnsi="Calibri"/>
          <w:color w:val="000000"/>
        </w:rPr>
        <w:t xml:space="preserve"> </w:t>
      </w:r>
      <w:r>
        <w:rPr>
          <w:rFonts w:ascii="Calibri" w:hAnsi="Calibri"/>
          <w:color w:val="000000"/>
        </w:rPr>
        <w:t>2</w:t>
      </w:r>
      <w:r w:rsidR="00B11E00">
        <w:rPr>
          <w:rFonts w:ascii="Calibri" w:hAnsi="Calibri"/>
          <w:color w:val="000000"/>
        </w:rPr>
        <w:t>, and 3</w:t>
      </w:r>
      <w:r w:rsidRPr="008015FD">
        <w:rPr>
          <w:rFonts w:ascii="Calibri" w:hAnsi="Calibri"/>
          <w:color w:val="000000"/>
        </w:rPr>
        <w:t xml:space="preserve">. Please see </w:t>
      </w:r>
      <w:r w:rsidRPr="008015FD">
        <w:rPr>
          <w:rFonts w:ascii="Calibri" w:hAnsi="Calibri"/>
          <w:b/>
          <w:color w:val="000000"/>
        </w:rPr>
        <w:t xml:space="preserve">Proforma Cash Flow Analysis Instructions in section ii. </w:t>
      </w:r>
      <w:r w:rsidRPr="008015FD">
        <w:rPr>
          <w:rFonts w:ascii="Calibri" w:hAnsi="Calibri"/>
          <w:color w:val="000000"/>
        </w:rPr>
        <w:t>below.</w:t>
      </w:r>
    </w:p>
    <w:p w14:paraId="3DD59B29" w14:textId="77777777" w:rsidR="00AA057D" w:rsidRPr="00055BCA" w:rsidRDefault="00AA057D" w:rsidP="00AA057D">
      <w:pPr>
        <w:pBdr>
          <w:top w:val="nil"/>
          <w:left w:val="nil"/>
          <w:bottom w:val="nil"/>
          <w:right w:val="nil"/>
          <w:between w:val="nil"/>
        </w:pBdr>
        <w:ind w:left="810"/>
      </w:pPr>
    </w:p>
    <w:p w14:paraId="46AE4125" w14:textId="12CCC8AB" w:rsidR="00AA057D" w:rsidRPr="008B0D95" w:rsidRDefault="00AA057D" w:rsidP="00AA057D">
      <w:pPr>
        <w:numPr>
          <w:ilvl w:val="0"/>
          <w:numId w:val="154"/>
        </w:numPr>
        <w:pBdr>
          <w:top w:val="nil"/>
          <w:left w:val="nil"/>
          <w:bottom w:val="nil"/>
          <w:right w:val="nil"/>
          <w:between w:val="nil"/>
        </w:pBdr>
        <w:ind w:left="810"/>
      </w:pPr>
      <w:r w:rsidRPr="008015FD">
        <w:rPr>
          <w:rFonts w:ascii="Calibri" w:hAnsi="Calibri"/>
          <w:color w:val="000000"/>
        </w:rPr>
        <w:t xml:space="preserve">Life Cycle Assessment is required with the application for Topic Areas </w:t>
      </w:r>
      <w:r>
        <w:rPr>
          <w:rFonts w:ascii="Calibri" w:hAnsi="Calibri"/>
          <w:color w:val="000000"/>
        </w:rPr>
        <w:t>1</w:t>
      </w:r>
      <w:r w:rsidR="00B11E00">
        <w:rPr>
          <w:rFonts w:ascii="Calibri" w:hAnsi="Calibri"/>
          <w:color w:val="000000"/>
        </w:rPr>
        <w:t>,</w:t>
      </w:r>
      <w:r w:rsidR="001C3552">
        <w:rPr>
          <w:rFonts w:ascii="Calibri" w:hAnsi="Calibri"/>
          <w:color w:val="000000"/>
        </w:rPr>
        <w:t xml:space="preserve"> </w:t>
      </w:r>
      <w:r>
        <w:rPr>
          <w:rFonts w:ascii="Calibri" w:hAnsi="Calibri"/>
          <w:color w:val="000000"/>
        </w:rPr>
        <w:t>2</w:t>
      </w:r>
      <w:r w:rsidR="00B11E00">
        <w:rPr>
          <w:rFonts w:ascii="Calibri" w:hAnsi="Calibri"/>
          <w:color w:val="000000"/>
        </w:rPr>
        <w:t>, and 3</w:t>
      </w:r>
      <w:r w:rsidRPr="008015FD">
        <w:rPr>
          <w:rFonts w:ascii="Calibri" w:hAnsi="Calibri"/>
          <w:color w:val="000000"/>
        </w:rPr>
        <w:t xml:space="preserve">. Please see </w:t>
      </w:r>
      <w:r w:rsidRPr="008015FD">
        <w:rPr>
          <w:rFonts w:ascii="Calibri" w:hAnsi="Calibri"/>
          <w:b/>
          <w:color w:val="000000"/>
        </w:rPr>
        <w:t xml:space="preserve">Life Cycle Assessment Instructions in section iii. </w:t>
      </w:r>
      <w:r w:rsidRPr="008015FD">
        <w:rPr>
          <w:rFonts w:ascii="Calibri" w:hAnsi="Calibri"/>
          <w:color w:val="000000"/>
        </w:rPr>
        <w:t>below.</w:t>
      </w:r>
    </w:p>
    <w:p w14:paraId="08B84476" w14:textId="77777777" w:rsidR="00757ACA" w:rsidRDefault="00757ACA" w:rsidP="008B0D95">
      <w:pPr>
        <w:pStyle w:val="ListParagraph"/>
      </w:pPr>
    </w:p>
    <w:p w14:paraId="6E81E843" w14:textId="007657CC" w:rsidR="00757ACA" w:rsidRPr="008B0D95" w:rsidRDefault="00757ACA" w:rsidP="008B0D95">
      <w:pPr>
        <w:pBdr>
          <w:top w:val="nil"/>
          <w:left w:val="nil"/>
          <w:bottom w:val="nil"/>
          <w:right w:val="nil"/>
          <w:between w:val="nil"/>
        </w:pBdr>
        <w:ind w:left="450"/>
        <w:rPr>
          <w:b/>
          <w:bCs/>
        </w:rPr>
      </w:pPr>
      <w:r w:rsidRPr="008B0D95">
        <w:rPr>
          <w:b/>
          <w:bCs/>
        </w:rPr>
        <w:t>Use of the provided templates is not required, however equivalent data must be submitted with all applications.</w:t>
      </w:r>
    </w:p>
    <w:p w14:paraId="26060CB3" w14:textId="77777777" w:rsidR="00AA057D" w:rsidRPr="008015FD" w:rsidRDefault="00AA057D" w:rsidP="00AA057D">
      <w:pPr>
        <w:ind w:left="180" w:hanging="180"/>
      </w:pPr>
    </w:p>
    <w:p w14:paraId="5121E3DA" w14:textId="77777777" w:rsidR="00AA057D" w:rsidRPr="008015FD" w:rsidRDefault="00AA057D" w:rsidP="00AA057D">
      <w:pPr>
        <w:keepNext/>
        <w:numPr>
          <w:ilvl w:val="0"/>
          <w:numId w:val="155"/>
        </w:numPr>
        <w:pBdr>
          <w:top w:val="nil"/>
          <w:left w:val="nil"/>
          <w:bottom w:val="nil"/>
          <w:right w:val="nil"/>
          <w:between w:val="nil"/>
        </w:pBdr>
      </w:pPr>
      <w:bookmarkStart w:id="857" w:name="_Hlk176853421"/>
      <w:r w:rsidRPr="008015FD">
        <w:rPr>
          <w:rFonts w:ascii="Calibri" w:hAnsi="Calibri"/>
          <w:b/>
          <w:color w:val="000000"/>
          <w:sz w:val="28"/>
          <w:szCs w:val="28"/>
        </w:rPr>
        <w:t>Block Flow Diagram Instructions and Overview:</w:t>
      </w:r>
    </w:p>
    <w:p w14:paraId="1C2EFE36" w14:textId="77777777" w:rsidR="00AA057D" w:rsidRPr="008015FD" w:rsidRDefault="00AA057D" w:rsidP="00AA057D"/>
    <w:p w14:paraId="51DB1331" w14:textId="77777777" w:rsidR="00AA057D" w:rsidRDefault="00AA057D" w:rsidP="00AA057D">
      <w:pPr>
        <w:ind w:left="720"/>
        <w:rPr>
          <w:b/>
        </w:rPr>
      </w:pPr>
      <w:r>
        <w:t>All topic areas</w:t>
      </w:r>
      <w:r w:rsidRPr="008015FD">
        <w:t xml:space="preserve"> will utilize a Block Flow Diagram and Supplemental Data template (BFD &amp; SD). The purpose of the BFD &amp; SD is to assess the merits of the selected technology and the status of the process technology in order to gain an understanding of project risks and the potential viability of the proposed project. Please refer to the </w:t>
      </w:r>
      <w:r>
        <w:t>Word documents</w:t>
      </w:r>
      <w:r w:rsidRPr="008015FD">
        <w:t xml:space="preserve"> titled, “BFD &amp; SD Template”</w:t>
      </w:r>
      <w:r>
        <w:t>, for the respective scale,</w:t>
      </w:r>
      <w:r w:rsidRPr="008015FD">
        <w:t xml:space="preserve"> available for download from EERE Exchange for the Block Flow Diagram and Supplemental Data instructions, overview, and recommended templates. </w:t>
      </w:r>
      <w:r w:rsidRPr="008B0D95">
        <w:rPr>
          <w:b/>
        </w:rPr>
        <w:t>Use of the template is not required, however equivalent data must be submitted with all applications.</w:t>
      </w:r>
    </w:p>
    <w:p w14:paraId="1B98FB1A" w14:textId="77777777" w:rsidR="00B12CD6" w:rsidRDefault="00B12CD6" w:rsidP="00AA057D">
      <w:pPr>
        <w:ind w:left="720"/>
        <w:rPr>
          <w:b/>
        </w:rPr>
      </w:pPr>
    </w:p>
    <w:p w14:paraId="10BA8EF5" w14:textId="77777777" w:rsidR="00B12CD6" w:rsidRDefault="00B12CD6" w:rsidP="00B12CD6">
      <w:pPr>
        <w:tabs>
          <w:tab w:val="left" w:pos="1440"/>
        </w:tabs>
        <w:ind w:left="720"/>
        <w:rPr>
          <w:rFonts w:eastAsia="Calibri" w:cstheme="minorBidi"/>
        </w:rPr>
      </w:pPr>
      <w:r w:rsidRPr="00D54C61">
        <w:rPr>
          <w:rFonts w:eastAsia="Calibri" w:cstheme="minorBidi"/>
        </w:rPr>
        <w:t xml:space="preserve">Save the </w:t>
      </w:r>
      <w:r>
        <w:rPr>
          <w:rFonts w:eastAsia="Calibri" w:cstheme="minorBidi"/>
        </w:rPr>
        <w:t>Block Flow Diagram</w:t>
      </w:r>
      <w:r w:rsidRPr="00D54C61">
        <w:rPr>
          <w:rFonts w:eastAsia="Calibri" w:cstheme="minorBidi"/>
        </w:rPr>
        <w:t xml:space="preserve"> in a single </w:t>
      </w:r>
      <w:r>
        <w:rPr>
          <w:rFonts w:eastAsia="Calibri" w:cstheme="minorBidi"/>
        </w:rPr>
        <w:t>Microsoft Word or PDF</w:t>
      </w:r>
      <w:r w:rsidRPr="00D54C61">
        <w:rPr>
          <w:rFonts w:eastAsia="Calibri" w:cstheme="minorBidi"/>
        </w:rPr>
        <w:t xml:space="preserve"> file using the following convention for the title “ControlNumber_LeadOrganization_</w:t>
      </w:r>
      <w:r>
        <w:rPr>
          <w:rFonts w:eastAsia="Calibri" w:cstheme="minorBidi"/>
        </w:rPr>
        <w:t>BFD</w:t>
      </w:r>
      <w:r w:rsidRPr="00D54C61">
        <w:rPr>
          <w:rFonts w:eastAsia="Calibri" w:cstheme="minorBidi"/>
        </w:rPr>
        <w:t>.”</w:t>
      </w:r>
    </w:p>
    <w:bookmarkEnd w:id="857"/>
    <w:p w14:paraId="5C7C13C5" w14:textId="77777777" w:rsidR="00AA057D" w:rsidRPr="008015FD" w:rsidRDefault="00AA057D" w:rsidP="00AA057D"/>
    <w:p w14:paraId="1F0F45A9" w14:textId="77777777" w:rsidR="00AA057D" w:rsidRPr="008015FD" w:rsidRDefault="00AA057D" w:rsidP="00AA057D">
      <w:pPr>
        <w:keepNext/>
        <w:numPr>
          <w:ilvl w:val="0"/>
          <w:numId w:val="155"/>
        </w:numPr>
        <w:pBdr>
          <w:top w:val="nil"/>
          <w:left w:val="nil"/>
          <w:bottom w:val="nil"/>
          <w:right w:val="nil"/>
          <w:between w:val="nil"/>
        </w:pBdr>
      </w:pPr>
      <w:bookmarkStart w:id="858" w:name="_Hlk176853659"/>
      <w:r w:rsidRPr="008015FD">
        <w:rPr>
          <w:rFonts w:ascii="Calibri" w:hAnsi="Calibri"/>
          <w:b/>
          <w:color w:val="000000"/>
          <w:sz w:val="28"/>
          <w:szCs w:val="28"/>
        </w:rPr>
        <w:t>Proforma Cash Flow Analysis Instructions:</w:t>
      </w:r>
    </w:p>
    <w:p w14:paraId="27F016C0" w14:textId="77777777" w:rsidR="00AA057D" w:rsidRPr="008015FD" w:rsidRDefault="00AA057D" w:rsidP="00AA057D">
      <w:pPr>
        <w:keepNext/>
        <w:pBdr>
          <w:top w:val="nil"/>
          <w:left w:val="nil"/>
          <w:bottom w:val="nil"/>
          <w:right w:val="nil"/>
          <w:between w:val="nil"/>
        </w:pBdr>
        <w:ind w:left="720" w:hanging="360"/>
        <w:rPr>
          <w:rFonts w:ascii="Calibri" w:hAnsi="Calibri"/>
          <w:b/>
          <w:color w:val="000000"/>
          <w:sz w:val="28"/>
          <w:szCs w:val="28"/>
        </w:rPr>
      </w:pPr>
    </w:p>
    <w:p w14:paraId="40A579A0" w14:textId="38302FB2" w:rsidR="00AA057D" w:rsidRDefault="00AA057D" w:rsidP="00AA057D">
      <w:pPr>
        <w:keepNext/>
        <w:pBdr>
          <w:top w:val="nil"/>
          <w:left w:val="nil"/>
          <w:bottom w:val="nil"/>
          <w:right w:val="nil"/>
          <w:between w:val="nil"/>
        </w:pBdr>
        <w:ind w:left="720"/>
        <w:rPr>
          <w:rFonts w:ascii="Calibri" w:hAnsi="Calibri"/>
          <w:color w:val="000000"/>
        </w:rPr>
      </w:pPr>
      <w:r w:rsidRPr="008015FD">
        <w:rPr>
          <w:rFonts w:ascii="Calibri" w:hAnsi="Calibri"/>
          <w:color w:val="000000"/>
        </w:rPr>
        <w:t>Topic Areas will utilize a Proforma Cash Flow Analysis (proforma). A feasible commercial pro forma cash flow analysis showing the expected cash flow of the proposed</w:t>
      </w:r>
      <w:r>
        <w:rPr>
          <w:rFonts w:ascii="Calibri" w:hAnsi="Calibri"/>
          <w:color w:val="000000"/>
        </w:rPr>
        <w:t xml:space="preserve"> integrated biorefinery</w:t>
      </w:r>
      <w:r w:rsidRPr="008015FD">
        <w:rPr>
          <w:rFonts w:ascii="Calibri" w:hAnsi="Calibri"/>
          <w:color w:val="000000"/>
        </w:rPr>
        <w:t xml:space="preserve"> </w:t>
      </w:r>
      <w:r>
        <w:rPr>
          <w:rFonts w:ascii="Calibri" w:hAnsi="Calibri"/>
          <w:color w:val="000000"/>
        </w:rPr>
        <w:t>(</w:t>
      </w:r>
      <w:r w:rsidRPr="008015FD">
        <w:rPr>
          <w:rFonts w:ascii="Calibri" w:hAnsi="Calibri"/>
          <w:color w:val="000000"/>
        </w:rPr>
        <w:t>IBR</w:t>
      </w:r>
      <w:r>
        <w:rPr>
          <w:rFonts w:ascii="Calibri" w:hAnsi="Calibri"/>
          <w:color w:val="000000"/>
        </w:rPr>
        <w:t>)</w:t>
      </w:r>
      <w:r w:rsidRPr="008015FD">
        <w:rPr>
          <w:rFonts w:ascii="Calibri" w:hAnsi="Calibri"/>
          <w:color w:val="000000"/>
        </w:rPr>
        <w:t xml:space="preserve"> under the performance parameters at steady state production.  Include a sensitivity analysis by showing results using a range of reasonable assumptions for such as feedstock cost and market price of products compared to low, reference, and high oil prices cases.  All assumptions regarding product and consumable prices, annual product production, inflation, and other inputs must be clearly delineated.  </w:t>
      </w:r>
      <w:r w:rsidRPr="008B0D95">
        <w:rPr>
          <w:rFonts w:ascii="Calibri" w:hAnsi="Calibri"/>
          <w:b/>
          <w:color w:val="000000"/>
        </w:rPr>
        <w:t>Applicants may use their own model or edit the provided template.</w:t>
      </w:r>
      <w:r w:rsidRPr="008015FD">
        <w:rPr>
          <w:rFonts w:ascii="Calibri" w:hAnsi="Calibri"/>
          <w:color w:val="000000"/>
        </w:rPr>
        <w:t xml:space="preserve">  Please refer to the </w:t>
      </w:r>
      <w:r>
        <w:rPr>
          <w:rFonts w:ascii="Calibri" w:hAnsi="Calibri"/>
          <w:color w:val="000000"/>
        </w:rPr>
        <w:t>MS Excel file</w:t>
      </w:r>
      <w:r w:rsidRPr="008015FD">
        <w:rPr>
          <w:rFonts w:ascii="Calibri" w:hAnsi="Calibri"/>
          <w:color w:val="000000"/>
        </w:rPr>
        <w:t xml:space="preserve"> titled, “Proforma Template” available for download from EERE Exchange for the Proforma Cash Flow Analysis instructions, overview, and recommended templates. Use </w:t>
      </w:r>
      <w:r w:rsidRPr="008015FD">
        <w:rPr>
          <w:rFonts w:ascii="Calibri" w:hAnsi="Calibri"/>
          <w:color w:val="000000"/>
        </w:rPr>
        <w:lastRenderedPageBreak/>
        <w:t xml:space="preserve">of the template is not required, however equivalent data must be submitted with Topic Areas </w:t>
      </w:r>
      <w:r>
        <w:rPr>
          <w:rFonts w:ascii="Calibri" w:hAnsi="Calibri"/>
          <w:color w:val="000000"/>
        </w:rPr>
        <w:t>1</w:t>
      </w:r>
      <w:r w:rsidRPr="008015FD">
        <w:rPr>
          <w:rFonts w:ascii="Calibri" w:hAnsi="Calibri"/>
          <w:color w:val="000000"/>
        </w:rPr>
        <w:t xml:space="preserve"> and </w:t>
      </w:r>
      <w:r>
        <w:rPr>
          <w:rFonts w:ascii="Calibri" w:hAnsi="Calibri"/>
          <w:color w:val="000000"/>
        </w:rPr>
        <w:t>2</w:t>
      </w:r>
      <w:r w:rsidRPr="008015FD">
        <w:rPr>
          <w:rFonts w:ascii="Calibri" w:hAnsi="Calibri"/>
          <w:color w:val="000000"/>
        </w:rPr>
        <w:t xml:space="preserve"> applications.</w:t>
      </w:r>
    </w:p>
    <w:p w14:paraId="533099C5" w14:textId="77777777" w:rsidR="00B12CD6" w:rsidRDefault="00B12CD6" w:rsidP="00AA057D">
      <w:pPr>
        <w:keepNext/>
        <w:pBdr>
          <w:top w:val="nil"/>
          <w:left w:val="nil"/>
          <w:bottom w:val="nil"/>
          <w:right w:val="nil"/>
          <w:between w:val="nil"/>
        </w:pBdr>
        <w:ind w:left="720"/>
        <w:rPr>
          <w:rFonts w:ascii="Calibri" w:hAnsi="Calibri"/>
          <w:color w:val="000000"/>
        </w:rPr>
      </w:pPr>
    </w:p>
    <w:p w14:paraId="550EAC91" w14:textId="77777777" w:rsidR="00B12CD6" w:rsidRDefault="00B12CD6" w:rsidP="00B12CD6">
      <w:pPr>
        <w:ind w:left="720"/>
        <w:rPr>
          <w:rFonts w:eastAsia="Calibri" w:cstheme="minorBidi"/>
        </w:rPr>
      </w:pPr>
      <w:r w:rsidRPr="00D54C61">
        <w:rPr>
          <w:rFonts w:eastAsia="Calibri" w:cstheme="minorBidi"/>
        </w:rPr>
        <w:t xml:space="preserve">Save the </w:t>
      </w:r>
      <w:r>
        <w:rPr>
          <w:rFonts w:eastAsia="Calibri" w:cstheme="minorBidi"/>
        </w:rPr>
        <w:t>Block Flow Diagram</w:t>
      </w:r>
      <w:r w:rsidRPr="00D54C61">
        <w:rPr>
          <w:rFonts w:eastAsia="Calibri" w:cstheme="minorBidi"/>
        </w:rPr>
        <w:t xml:space="preserve"> in a single </w:t>
      </w:r>
      <w:r>
        <w:rPr>
          <w:rFonts w:eastAsia="Calibri" w:cstheme="minorBidi"/>
        </w:rPr>
        <w:t>Microsoft Word, Microsoft Excel, or PDF</w:t>
      </w:r>
      <w:r w:rsidRPr="00D54C61">
        <w:rPr>
          <w:rFonts w:eastAsia="Calibri" w:cstheme="minorBidi"/>
        </w:rPr>
        <w:t xml:space="preserve"> file using the following convention for the title “ControlNumber_LeadOrganization_</w:t>
      </w:r>
      <w:r>
        <w:rPr>
          <w:rFonts w:eastAsia="Calibri" w:cstheme="minorBidi"/>
        </w:rPr>
        <w:t>Proforma</w:t>
      </w:r>
      <w:r w:rsidRPr="00D54C61">
        <w:rPr>
          <w:rFonts w:eastAsia="Calibri" w:cstheme="minorBidi"/>
        </w:rPr>
        <w:t>.”</w:t>
      </w:r>
    </w:p>
    <w:bookmarkEnd w:id="858"/>
    <w:p w14:paraId="2737B99B" w14:textId="77777777" w:rsidR="00AA057D" w:rsidRPr="008015FD" w:rsidRDefault="00AA057D" w:rsidP="001D6622">
      <w:pPr>
        <w:keepNext/>
        <w:pBdr>
          <w:top w:val="nil"/>
          <w:left w:val="nil"/>
          <w:bottom w:val="nil"/>
          <w:right w:val="nil"/>
          <w:between w:val="nil"/>
        </w:pBdr>
        <w:rPr>
          <w:rFonts w:ascii="Calibri" w:hAnsi="Calibri"/>
          <w:b/>
          <w:color w:val="000000"/>
          <w:sz w:val="28"/>
          <w:szCs w:val="28"/>
        </w:rPr>
      </w:pPr>
    </w:p>
    <w:p w14:paraId="1FD837EB" w14:textId="77777777" w:rsidR="00AA057D" w:rsidRPr="008015FD" w:rsidRDefault="00AA057D" w:rsidP="00AA057D">
      <w:pPr>
        <w:keepNext/>
        <w:numPr>
          <w:ilvl w:val="0"/>
          <w:numId w:val="155"/>
        </w:numPr>
        <w:pBdr>
          <w:top w:val="nil"/>
          <w:left w:val="nil"/>
          <w:bottom w:val="nil"/>
          <w:right w:val="nil"/>
          <w:between w:val="nil"/>
        </w:pBdr>
      </w:pPr>
      <w:bookmarkStart w:id="859" w:name="_Hlk176853767"/>
      <w:r w:rsidRPr="008015FD">
        <w:rPr>
          <w:rFonts w:ascii="Calibri" w:hAnsi="Calibri"/>
          <w:b/>
          <w:color w:val="000000"/>
          <w:sz w:val="28"/>
          <w:szCs w:val="28"/>
        </w:rPr>
        <w:t>Life Cycle Analysis Instructions:</w:t>
      </w:r>
    </w:p>
    <w:p w14:paraId="44E5E639" w14:textId="77777777" w:rsidR="00AA057D" w:rsidRPr="008015FD" w:rsidRDefault="00AA057D" w:rsidP="00AA057D">
      <w:pPr>
        <w:keepNext/>
        <w:pBdr>
          <w:top w:val="nil"/>
          <w:left w:val="nil"/>
          <w:bottom w:val="nil"/>
          <w:right w:val="nil"/>
          <w:between w:val="nil"/>
        </w:pBdr>
        <w:ind w:left="720" w:hanging="360"/>
        <w:rPr>
          <w:rFonts w:ascii="Calibri" w:hAnsi="Calibri"/>
          <w:b/>
          <w:color w:val="000000"/>
          <w:sz w:val="28"/>
          <w:szCs w:val="28"/>
        </w:rPr>
      </w:pPr>
    </w:p>
    <w:p w14:paraId="42BDE6DB" w14:textId="2BA28307" w:rsidR="00AA057D" w:rsidRPr="008B0D95" w:rsidRDefault="00AA057D" w:rsidP="00AA057D">
      <w:pPr>
        <w:keepNext/>
        <w:pBdr>
          <w:top w:val="nil"/>
          <w:left w:val="nil"/>
          <w:bottom w:val="nil"/>
          <w:right w:val="nil"/>
          <w:between w:val="nil"/>
        </w:pBdr>
        <w:ind w:left="720"/>
        <w:rPr>
          <w:rFonts w:ascii="Calibri" w:hAnsi="Calibri"/>
          <w:b/>
          <w:color w:val="000000"/>
        </w:rPr>
      </w:pPr>
      <w:r w:rsidRPr="008015FD">
        <w:rPr>
          <w:rFonts w:ascii="Calibri" w:hAnsi="Calibri"/>
          <w:color w:val="000000"/>
        </w:rPr>
        <w:t xml:space="preserve">Topic Areas will utilize Life Cycle Analyses (LCA). The LCA will be utilized to assess the potential GHG reduction and environmental performance of the proposed technology.  </w:t>
      </w:r>
      <w:r>
        <w:rPr>
          <w:rFonts w:ascii="Calibri" w:hAnsi="Calibri"/>
          <w:color w:val="000000"/>
        </w:rPr>
        <w:t>Applicant</w:t>
      </w:r>
      <w:r w:rsidRPr="00055BCA">
        <w:rPr>
          <w:rFonts w:ascii="Calibri" w:hAnsi="Calibri"/>
          <w:color w:val="000000"/>
        </w:rPr>
        <w:t>s may use any standardized approach to calculating life cycle GHG emissions e.g. Argonne National Laboratory GREET model</w:t>
      </w:r>
      <w:r w:rsidRPr="00055BCA">
        <w:rPr>
          <w:rFonts w:ascii="Calibri" w:hAnsi="Calibri"/>
          <w:vertAlign w:val="superscript"/>
        </w:rPr>
        <w:footnoteReference w:id="60"/>
      </w:r>
      <w:r w:rsidRPr="00055BCA">
        <w:rPr>
          <w:rFonts w:ascii="Calibri" w:hAnsi="Calibri"/>
          <w:color w:val="000000"/>
        </w:rPr>
        <w:t xml:space="preserve"> or provide schemes developed the CORSIA (Carbon Offsetting and Reduction Scheme for International Aviation) methodology</w:t>
      </w:r>
      <w:r w:rsidRPr="00055BCA">
        <w:rPr>
          <w:rFonts w:ascii="Calibri" w:hAnsi="Calibri"/>
          <w:vertAlign w:val="superscript"/>
        </w:rPr>
        <w:footnoteReference w:id="61"/>
      </w:r>
      <w:r w:rsidRPr="00055BCA">
        <w:rPr>
          <w:rFonts w:ascii="Calibri" w:hAnsi="Calibri"/>
          <w:color w:val="000000"/>
        </w:rPr>
        <w:t xml:space="preserve"> for calculating life cycle emissions.</w:t>
      </w:r>
      <w:r w:rsidRPr="009322B0" w:rsidDel="00343B20">
        <w:rPr>
          <w:rFonts w:ascii="Calibri" w:hAnsi="Calibri"/>
          <w:color w:val="000000"/>
        </w:rPr>
        <w:t xml:space="preserve"> </w:t>
      </w:r>
      <w:r w:rsidRPr="009322B0">
        <w:rPr>
          <w:rFonts w:ascii="Calibri" w:hAnsi="Calibri"/>
          <w:color w:val="000000"/>
        </w:rPr>
        <w:t xml:space="preserve">Argonne National Laboratory has developed publicly available life-cycle assessment tools that </w:t>
      </w:r>
      <w:r>
        <w:rPr>
          <w:rFonts w:ascii="Calibri" w:hAnsi="Calibri"/>
          <w:color w:val="000000"/>
        </w:rPr>
        <w:t>Applicant</w:t>
      </w:r>
      <w:r w:rsidRPr="009322B0">
        <w:rPr>
          <w:rFonts w:ascii="Calibri" w:hAnsi="Calibri"/>
          <w:color w:val="000000"/>
        </w:rPr>
        <w:t>s may utilize</w:t>
      </w:r>
      <w:r>
        <w:rPr>
          <w:rFonts w:ascii="Calibri" w:hAnsi="Calibri"/>
          <w:color w:val="000000"/>
        </w:rPr>
        <w:t>.</w:t>
      </w:r>
      <w:r w:rsidRPr="009322B0">
        <w:rPr>
          <w:rFonts w:ascii="Calibri" w:hAnsi="Calibri"/>
          <w:color w:val="000000"/>
        </w:rPr>
        <w:t xml:space="preserve"> </w:t>
      </w:r>
      <w:r w:rsidRPr="008B0D95">
        <w:rPr>
          <w:rFonts w:ascii="Calibri" w:hAnsi="Calibri"/>
          <w:b/>
          <w:color w:val="000000"/>
        </w:rPr>
        <w:t>Use of these tools are not required, however equivalent data must be submitted with applications.</w:t>
      </w:r>
    </w:p>
    <w:p w14:paraId="0A4E4AB6" w14:textId="77777777" w:rsidR="00AA057D" w:rsidRDefault="00AA057D" w:rsidP="00AA057D">
      <w:pPr>
        <w:keepNext/>
        <w:pBdr>
          <w:top w:val="nil"/>
          <w:left w:val="nil"/>
          <w:bottom w:val="nil"/>
          <w:right w:val="nil"/>
          <w:between w:val="nil"/>
        </w:pBdr>
        <w:ind w:left="720" w:hanging="360"/>
        <w:rPr>
          <w:rFonts w:ascii="Calibri" w:hAnsi="Calibri"/>
          <w:color w:val="000000"/>
        </w:rPr>
      </w:pPr>
    </w:p>
    <w:p w14:paraId="7894D1D9" w14:textId="77777777" w:rsidR="00AA057D" w:rsidRPr="008015FD" w:rsidRDefault="00AA057D" w:rsidP="00AA057D">
      <w:pPr>
        <w:ind w:left="720"/>
        <w:rPr>
          <w:b/>
        </w:rPr>
      </w:pPr>
      <w:r w:rsidRPr="008015FD">
        <w:rPr>
          <w:b/>
        </w:rPr>
        <w:t>ANL GREET Model Link:</w:t>
      </w:r>
    </w:p>
    <w:p w14:paraId="004378B5" w14:textId="7E745016" w:rsidR="00AA057D" w:rsidRPr="008015FD" w:rsidRDefault="001B6894" w:rsidP="00AA057D">
      <w:pPr>
        <w:ind w:left="720"/>
      </w:pPr>
      <w:hyperlink r:id="rId79" w:history="1">
        <w:r w:rsidR="00AA057D" w:rsidRPr="00D91615">
          <w:rPr>
            <w:rStyle w:val="Hyperlink"/>
          </w:rPr>
          <w:t>https://greet.es.anl.gov/index.php</w:t>
        </w:r>
      </w:hyperlink>
      <w:r w:rsidR="00AA057D" w:rsidRPr="008015FD">
        <w:t xml:space="preserve">  </w:t>
      </w:r>
      <w:r w:rsidR="00AA057D" w:rsidRPr="008015FD">
        <w:tab/>
      </w:r>
    </w:p>
    <w:bookmarkEnd w:id="859"/>
    <w:p w14:paraId="377A696F" w14:textId="77777777" w:rsidR="00AA057D" w:rsidRDefault="00AA057D" w:rsidP="00AA057D">
      <w:pPr>
        <w:pStyle w:val="AppendixHeading"/>
        <w:jc w:val="left"/>
        <w:rPr>
          <w:sz w:val="24"/>
          <w:szCs w:val="24"/>
        </w:rPr>
      </w:pPr>
    </w:p>
    <w:p w14:paraId="370DC8E4" w14:textId="77777777" w:rsidR="00B12CD6" w:rsidRDefault="00B12CD6" w:rsidP="00B12CD6">
      <w:pPr>
        <w:ind w:left="720"/>
        <w:rPr>
          <w:rFonts w:eastAsia="Calibri" w:cstheme="minorBidi"/>
        </w:rPr>
      </w:pPr>
      <w:r w:rsidRPr="00D54C61">
        <w:rPr>
          <w:rFonts w:eastAsia="Calibri" w:cstheme="minorBidi"/>
        </w:rPr>
        <w:t xml:space="preserve">Save the </w:t>
      </w:r>
      <w:r>
        <w:rPr>
          <w:rFonts w:eastAsia="Calibri" w:cstheme="minorBidi"/>
        </w:rPr>
        <w:t>Life Cycle Analysis</w:t>
      </w:r>
      <w:r w:rsidRPr="00D54C61">
        <w:rPr>
          <w:rFonts w:eastAsia="Calibri" w:cstheme="minorBidi"/>
        </w:rPr>
        <w:t xml:space="preserve"> in a single </w:t>
      </w:r>
      <w:r>
        <w:rPr>
          <w:rFonts w:eastAsia="Calibri" w:cstheme="minorBidi"/>
        </w:rPr>
        <w:t>Microsoft Word or PDF</w:t>
      </w:r>
      <w:r w:rsidRPr="00D54C61">
        <w:rPr>
          <w:rFonts w:eastAsia="Calibri" w:cstheme="minorBidi"/>
        </w:rPr>
        <w:t xml:space="preserve"> file using the following convention for the title “ControlNumber_LeadOrganization_</w:t>
      </w:r>
      <w:r>
        <w:rPr>
          <w:rFonts w:eastAsia="Calibri" w:cstheme="minorBidi"/>
        </w:rPr>
        <w:t>LCA</w:t>
      </w:r>
      <w:r w:rsidRPr="00D54C61">
        <w:rPr>
          <w:rFonts w:eastAsia="Calibri" w:cstheme="minorBidi"/>
        </w:rPr>
        <w:t>.”</w:t>
      </w:r>
    </w:p>
    <w:p w14:paraId="4E9499FE" w14:textId="0C01799C" w:rsidR="00AA057D" w:rsidRDefault="00AA057D">
      <w:pPr>
        <w:rPr>
          <w:rFonts w:ascii="Calibri" w:eastAsiaTheme="minorHAnsi" w:hAnsi="Calibri" w:cstheme="minorBidi"/>
          <w:b/>
          <w:smallCaps/>
          <w:sz w:val="36"/>
          <w:szCs w:val="40"/>
        </w:rPr>
      </w:pPr>
      <w:r>
        <w:br w:type="page"/>
      </w:r>
    </w:p>
    <w:p w14:paraId="7C12F5E4" w14:textId="200D1F75" w:rsidR="001416A7" w:rsidRDefault="001416A7" w:rsidP="00887519">
      <w:pPr>
        <w:pStyle w:val="AppendixHeading"/>
        <w:outlineLvl w:val="0"/>
      </w:pPr>
      <w:bookmarkStart w:id="860" w:name="_Toc176864561"/>
      <w:r>
        <w:lastRenderedPageBreak/>
        <w:t xml:space="preserve">Appendix </w:t>
      </w:r>
      <w:r w:rsidR="00887519">
        <w:t>I</w:t>
      </w:r>
      <w:r>
        <w:t xml:space="preserve"> – Preliminary Design Requirements</w:t>
      </w:r>
      <w:bookmarkEnd w:id="860"/>
    </w:p>
    <w:p w14:paraId="6C4822A2" w14:textId="77777777" w:rsidR="003B327A" w:rsidRDefault="003B327A" w:rsidP="00887519">
      <w:pPr>
        <w:pStyle w:val="AppendixHeading"/>
        <w:outlineLvl w:val="0"/>
      </w:pPr>
    </w:p>
    <w:p w14:paraId="5C959F24" w14:textId="6A766592" w:rsidR="000F1FEB" w:rsidRDefault="000F1FEB" w:rsidP="000F1FEB">
      <w:pPr>
        <w:spacing w:line="256" w:lineRule="auto"/>
        <w:ind w:left="1260"/>
        <w:rPr>
          <w:rFonts w:ascii="Calibri" w:hAnsi="Calibri"/>
        </w:rPr>
      </w:pPr>
      <w:r>
        <w:t>For projects to move from Phase 1 (</w:t>
      </w:r>
      <w:r w:rsidRPr="003765CF">
        <w:t>Verification &amp; Design Basis Definition</w:t>
      </w:r>
      <w:r>
        <w:t>)</w:t>
      </w:r>
      <w:r w:rsidRPr="003765CF">
        <w:t xml:space="preserve"> </w:t>
      </w:r>
      <w:r>
        <w:t>into Phase 2 (</w:t>
      </w:r>
      <w:r w:rsidRPr="003765CF">
        <w:t>Design, Construction, Operation</w:t>
      </w:r>
      <w:r>
        <w:t>))</w:t>
      </w:r>
      <w:r w:rsidR="00455E88">
        <w:t xml:space="preserve">, Recipients will be required to provide </w:t>
      </w:r>
      <w:r>
        <w:t>k</w:t>
      </w:r>
      <w:r w:rsidRPr="00AF2E02">
        <w:t>ey</w:t>
      </w:r>
      <w:r w:rsidRPr="00AF2E02">
        <w:rPr>
          <w:rFonts w:ascii="Calibri" w:hAnsi="Calibri"/>
        </w:rPr>
        <w:t xml:space="preserve"> deliverables to</w:t>
      </w:r>
      <w:r w:rsidR="0088057F">
        <w:rPr>
          <w:rFonts w:ascii="Calibri" w:hAnsi="Calibri"/>
        </w:rPr>
        <w:t xml:space="preserve"> DOE</w:t>
      </w:r>
      <w:r>
        <w:rPr>
          <w:rFonts w:ascii="Calibri" w:hAnsi="Calibri"/>
        </w:rPr>
        <w:t xml:space="preserve"> for review in order to show project readiness prior to moving into Phase 2.</w:t>
      </w:r>
      <w:r w:rsidRPr="00AF2E02">
        <w:rPr>
          <w:rFonts w:ascii="Calibri" w:hAnsi="Calibri"/>
        </w:rPr>
        <w:t xml:space="preserve"> </w:t>
      </w:r>
      <w:r>
        <w:rPr>
          <w:rFonts w:ascii="Calibri" w:hAnsi="Calibri"/>
        </w:rPr>
        <w:t xml:space="preserve"> These deliverables </w:t>
      </w:r>
      <w:r w:rsidRPr="00AF2E02">
        <w:rPr>
          <w:rFonts w:ascii="Calibri" w:hAnsi="Calibri"/>
        </w:rPr>
        <w:t>include, but are not limited to:</w:t>
      </w:r>
    </w:p>
    <w:p w14:paraId="73071A31" w14:textId="77777777" w:rsidR="000F1FEB" w:rsidRPr="00AF2E02" w:rsidRDefault="000F1FEB" w:rsidP="000F1FEB">
      <w:pPr>
        <w:spacing w:line="256" w:lineRule="auto"/>
        <w:ind w:left="1260"/>
        <w:rPr>
          <w:rFonts w:ascii="Calibri" w:hAnsi="Calibri"/>
        </w:rPr>
      </w:pPr>
    </w:p>
    <w:p w14:paraId="7284BC23" w14:textId="77777777" w:rsidR="000F1FEB" w:rsidRPr="00AF2E02"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AF2E02">
        <w:rPr>
          <w:rFonts w:ascii="Calibri" w:hAnsi="Calibri"/>
          <w:color w:val="000000"/>
        </w:rPr>
        <w:t xml:space="preserve">Independent Engineers (IE) verification of work at prior scale to confirm that the proposed </w:t>
      </w:r>
      <w:r>
        <w:rPr>
          <w:rFonts w:ascii="Calibri" w:hAnsi="Calibri"/>
          <w:color w:val="000000"/>
        </w:rPr>
        <w:t>integrated biorefinery (</w:t>
      </w:r>
      <w:r w:rsidRPr="00AF2E02">
        <w:rPr>
          <w:rFonts w:ascii="Calibri" w:hAnsi="Calibri"/>
          <w:color w:val="000000"/>
        </w:rPr>
        <w:t>IBR</w:t>
      </w:r>
      <w:r>
        <w:rPr>
          <w:rFonts w:ascii="Calibri" w:hAnsi="Calibri"/>
          <w:color w:val="000000"/>
        </w:rPr>
        <w:t>)</w:t>
      </w:r>
      <w:r w:rsidRPr="00AF2E02">
        <w:rPr>
          <w:rFonts w:ascii="Calibri" w:hAnsi="Calibri"/>
          <w:color w:val="000000"/>
        </w:rPr>
        <w:t xml:space="preserve"> meets </w:t>
      </w:r>
      <w:r>
        <w:rPr>
          <w:rFonts w:ascii="Calibri" w:hAnsi="Calibri"/>
          <w:color w:val="000000"/>
        </w:rPr>
        <w:t xml:space="preserve">the appropriate </w:t>
      </w:r>
      <w:r w:rsidRPr="00AF2E02">
        <w:rPr>
          <w:rFonts w:ascii="Calibri" w:hAnsi="Calibri"/>
          <w:color w:val="000000"/>
        </w:rPr>
        <w:t>TRL.  The IE will be retained by DOE to verify the accuracy of application data, observe the reproduction of process experimental data, and prepare an Independent Engineers Report (IER) with an assessment of technology readiness to proceed to Phase 2;</w:t>
      </w:r>
    </w:p>
    <w:p w14:paraId="6932921C" w14:textId="77777777" w:rsidR="000F1FEB" w:rsidRPr="00172BA4"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172BA4">
        <w:rPr>
          <w:rFonts w:ascii="Calibri" w:hAnsi="Calibri"/>
          <w:color w:val="000000"/>
        </w:rPr>
        <w:t>Successful completion of the Go/No-Go review at the conclusion of the Independent Engineer verification of work at prior scale;</w:t>
      </w:r>
    </w:p>
    <w:p w14:paraId="3B8E86C6" w14:textId="008ECA40" w:rsidR="00592529" w:rsidRDefault="00592529" w:rsidP="000F1FEB">
      <w:pPr>
        <w:numPr>
          <w:ilvl w:val="0"/>
          <w:numId w:val="156"/>
        </w:numPr>
        <w:pBdr>
          <w:top w:val="nil"/>
          <w:left w:val="nil"/>
          <w:bottom w:val="nil"/>
          <w:right w:val="nil"/>
          <w:between w:val="nil"/>
        </w:pBdr>
        <w:ind w:left="1800"/>
        <w:rPr>
          <w:rFonts w:ascii="Calibri" w:hAnsi="Calibri"/>
          <w:color w:val="000000"/>
        </w:rPr>
      </w:pPr>
      <w:r>
        <w:rPr>
          <w:rFonts w:ascii="Calibri" w:hAnsi="Calibri"/>
          <w:color w:val="000000"/>
        </w:rPr>
        <w:t>FEED Study/</w:t>
      </w:r>
      <w:r w:rsidR="000F1FEB" w:rsidRPr="008015FD">
        <w:rPr>
          <w:rFonts w:ascii="Calibri" w:hAnsi="Calibri"/>
          <w:color w:val="000000"/>
        </w:rPr>
        <w:t xml:space="preserve">Front-End Loaded – 3 (FEL-3) Engineering Design package including but not limited to a </w:t>
      </w:r>
      <w:r>
        <w:rPr>
          <w:rFonts w:ascii="Calibri" w:hAnsi="Calibri"/>
          <w:color w:val="000000"/>
        </w:rPr>
        <w:t xml:space="preserve">Project Background and Scope, </w:t>
      </w:r>
      <w:r w:rsidR="000F1FEB" w:rsidRPr="008015FD">
        <w:rPr>
          <w:rFonts w:ascii="Calibri" w:hAnsi="Calibri"/>
          <w:color w:val="000000"/>
        </w:rPr>
        <w:t>Pro</w:t>
      </w:r>
      <w:r>
        <w:rPr>
          <w:rFonts w:ascii="Calibri" w:hAnsi="Calibri"/>
          <w:color w:val="000000"/>
        </w:rPr>
        <w:t>ject</w:t>
      </w:r>
      <w:r w:rsidR="000F1FEB" w:rsidRPr="008015FD">
        <w:rPr>
          <w:rFonts w:ascii="Calibri" w:hAnsi="Calibri"/>
          <w:color w:val="000000"/>
        </w:rPr>
        <w:t xml:space="preserve"> Design Basis,</w:t>
      </w:r>
      <w:r>
        <w:rPr>
          <w:rFonts w:ascii="Calibri" w:hAnsi="Calibri"/>
          <w:color w:val="000000"/>
        </w:rPr>
        <w:t xml:space="preserve"> Contracting and Purchasing Strategy, Process Engineering ( BFD, PFD, P&amp;ID, Steam and Power requirements, Process Simulation out and </w:t>
      </w:r>
      <w:r w:rsidR="000F1FEB" w:rsidRPr="008015FD">
        <w:rPr>
          <w:rFonts w:ascii="Calibri" w:hAnsi="Calibri"/>
          <w:color w:val="000000"/>
        </w:rPr>
        <w:t>Refined Mass and Energy Balances, Equipment Lists,</w:t>
      </w:r>
      <w:r>
        <w:rPr>
          <w:rFonts w:ascii="Calibri" w:hAnsi="Calibri"/>
          <w:color w:val="000000"/>
        </w:rPr>
        <w:t xml:space="preserve"> Equipment vendor drawings, </w:t>
      </w:r>
      <w:r w:rsidR="000F1FEB" w:rsidRPr="008015FD">
        <w:rPr>
          <w:rFonts w:ascii="Calibri" w:hAnsi="Calibri"/>
          <w:color w:val="000000"/>
        </w:rPr>
        <w:t xml:space="preserve"> </w:t>
      </w:r>
      <w:r>
        <w:rPr>
          <w:rFonts w:ascii="Calibri" w:hAnsi="Calibri"/>
          <w:color w:val="000000"/>
        </w:rPr>
        <w:t>HAZOP</w:t>
      </w:r>
      <w:r w:rsidR="000F1FEB" w:rsidRPr="008015FD">
        <w:rPr>
          <w:rFonts w:ascii="Calibri" w:hAnsi="Calibri"/>
          <w:color w:val="000000"/>
        </w:rPr>
        <w:t>,</w:t>
      </w:r>
      <w:r>
        <w:rPr>
          <w:rFonts w:ascii="Calibri" w:hAnsi="Calibri"/>
          <w:color w:val="000000"/>
        </w:rPr>
        <w:t xml:space="preserve"> Cause and Effect Diagrams), Civil Engineering, Structural Engineering, Mechanical Engineering (Site layout, 3-D model, Piping Isometrics / layout drawings), Electrical Engineering (Load lists, One-Line diagram, Major Equipment specifications), Instrumentation &amp; Controls Engineering ( Instrument lists, control system architecture), Fire Protection Engineering, Facilities Engineering, Project Security (Physical and Cyber), Transportation &amp; Logistics Study, Constructability.</w:t>
      </w:r>
      <w:r w:rsidR="000F1FEB" w:rsidRPr="008015FD">
        <w:rPr>
          <w:rFonts w:ascii="Calibri" w:hAnsi="Calibri"/>
          <w:color w:val="000000"/>
        </w:rPr>
        <w:t xml:space="preserve"> </w:t>
      </w:r>
    </w:p>
    <w:p w14:paraId="0783226B" w14:textId="50E11FBC" w:rsidR="00F25F4B" w:rsidRDefault="00F25F4B" w:rsidP="00F25F4B">
      <w:pPr>
        <w:numPr>
          <w:ilvl w:val="0"/>
          <w:numId w:val="156"/>
        </w:numPr>
        <w:pBdr>
          <w:top w:val="nil"/>
          <w:left w:val="nil"/>
          <w:bottom w:val="nil"/>
          <w:right w:val="nil"/>
          <w:between w:val="nil"/>
        </w:pBdr>
        <w:ind w:left="1800"/>
        <w:rPr>
          <w:rFonts w:ascii="Calibri" w:hAnsi="Calibri"/>
          <w:color w:val="000000"/>
        </w:rPr>
      </w:pPr>
      <w:r>
        <w:rPr>
          <w:rFonts w:ascii="Calibri" w:hAnsi="Calibri"/>
          <w:color w:val="000000"/>
        </w:rPr>
        <w:t>Project Cost Estimate (AACE Class 3)</w:t>
      </w:r>
      <w:r w:rsidR="0060535E">
        <w:rPr>
          <w:rFonts w:ascii="Calibri" w:hAnsi="Calibri"/>
          <w:color w:val="000000"/>
        </w:rPr>
        <w:t xml:space="preserve"> </w:t>
      </w:r>
      <w:r w:rsidR="00006923">
        <w:rPr>
          <w:rFonts w:ascii="Calibri" w:hAnsi="Calibri"/>
          <w:color w:val="000000"/>
        </w:rPr>
        <w:t xml:space="preserve">-20% / </w:t>
      </w:r>
      <w:r>
        <w:rPr>
          <w:rFonts w:ascii="Calibri" w:hAnsi="Calibri"/>
          <w:color w:val="000000"/>
        </w:rPr>
        <w:t>+30</w:t>
      </w:r>
      <w:r w:rsidR="0060535E">
        <w:rPr>
          <w:rFonts w:ascii="Calibri" w:hAnsi="Calibri"/>
          <w:color w:val="000000"/>
        </w:rPr>
        <w:t>%.</w:t>
      </w:r>
    </w:p>
    <w:p w14:paraId="7E450DEB" w14:textId="77777777" w:rsidR="00F25F4B" w:rsidRPr="00F25F4B" w:rsidRDefault="00F25F4B" w:rsidP="00F25F4B">
      <w:pPr>
        <w:numPr>
          <w:ilvl w:val="2"/>
          <w:numId w:val="156"/>
        </w:numPr>
        <w:pBdr>
          <w:top w:val="nil"/>
          <w:left w:val="nil"/>
          <w:bottom w:val="nil"/>
          <w:right w:val="nil"/>
          <w:between w:val="nil"/>
        </w:pBdr>
        <w:rPr>
          <w:rFonts w:ascii="Calibri" w:hAnsi="Calibri"/>
          <w:color w:val="000000"/>
        </w:rPr>
      </w:pPr>
      <w:r w:rsidRPr="00F25F4B">
        <w:rPr>
          <w:rFonts w:ascii="Calibri" w:hAnsi="Calibri" w:cs="Calibri"/>
          <w:color w:val="000000"/>
          <w:sz w:val="23"/>
          <w:szCs w:val="23"/>
        </w:rPr>
        <w:t>Individual component capital cost, including quantity (weight, lengths, numbers, etc.), unit rate, process equipment cost, material cost, labor cost including unit labor rate for individual line items, and man-hours required to complete individual line item tasks. Details regarding what is included in the capital cost estimate (labor, materials, equipment, contingency, engineering fees, delivery, etc.) need to be provided.</w:t>
      </w:r>
    </w:p>
    <w:p w14:paraId="7074002C" w14:textId="77777777" w:rsidR="00F25F4B" w:rsidRPr="00F25F4B" w:rsidRDefault="00F25F4B" w:rsidP="00F25F4B">
      <w:pPr>
        <w:numPr>
          <w:ilvl w:val="2"/>
          <w:numId w:val="156"/>
        </w:numPr>
        <w:pBdr>
          <w:top w:val="nil"/>
          <w:left w:val="nil"/>
          <w:bottom w:val="nil"/>
          <w:right w:val="nil"/>
          <w:between w:val="nil"/>
        </w:pBdr>
        <w:rPr>
          <w:rFonts w:ascii="Calibri" w:hAnsi="Calibri"/>
          <w:color w:val="000000"/>
        </w:rPr>
      </w:pPr>
      <w:r>
        <w:rPr>
          <w:rFonts w:ascii="Calibri" w:hAnsi="Calibri" w:cs="Calibri"/>
          <w:color w:val="000000"/>
          <w:sz w:val="23"/>
          <w:szCs w:val="23"/>
        </w:rPr>
        <w:t>Breakdown of variable operating costs</w:t>
      </w:r>
    </w:p>
    <w:p w14:paraId="4B725217" w14:textId="6F35E1AC" w:rsidR="00F25F4B" w:rsidRPr="00F25F4B" w:rsidRDefault="00F25F4B" w:rsidP="00F25F4B">
      <w:pPr>
        <w:numPr>
          <w:ilvl w:val="2"/>
          <w:numId w:val="156"/>
        </w:numPr>
        <w:pBdr>
          <w:top w:val="nil"/>
          <w:left w:val="nil"/>
          <w:bottom w:val="nil"/>
          <w:right w:val="nil"/>
          <w:between w:val="nil"/>
        </w:pBdr>
        <w:rPr>
          <w:rFonts w:ascii="Calibri" w:hAnsi="Calibri"/>
          <w:color w:val="000000"/>
        </w:rPr>
      </w:pPr>
      <w:r>
        <w:rPr>
          <w:rFonts w:ascii="Calibri" w:hAnsi="Calibri" w:cs="Calibri"/>
          <w:color w:val="000000"/>
          <w:sz w:val="23"/>
          <w:szCs w:val="23"/>
        </w:rPr>
        <w:t>Detailed accounting of fixed costs</w:t>
      </w:r>
    </w:p>
    <w:p w14:paraId="2FD276DB" w14:textId="2B10DD45" w:rsidR="00F25F4B" w:rsidRDefault="00F25F4B" w:rsidP="00F25F4B">
      <w:pPr>
        <w:numPr>
          <w:ilvl w:val="1"/>
          <w:numId w:val="156"/>
        </w:numPr>
        <w:pBdr>
          <w:top w:val="nil"/>
          <w:left w:val="nil"/>
          <w:bottom w:val="nil"/>
          <w:right w:val="nil"/>
          <w:between w:val="nil"/>
        </w:pBdr>
        <w:ind w:left="1800"/>
        <w:rPr>
          <w:rFonts w:ascii="Calibri" w:hAnsi="Calibri"/>
          <w:color w:val="000000"/>
        </w:rPr>
      </w:pPr>
      <w:r>
        <w:rPr>
          <w:rFonts w:ascii="Calibri" w:hAnsi="Calibri"/>
          <w:color w:val="000000"/>
        </w:rPr>
        <w:t>Integrated Project Schedule</w:t>
      </w:r>
    </w:p>
    <w:p w14:paraId="2721F7BD" w14:textId="6B349519" w:rsidR="00F25F4B" w:rsidRDefault="00F25F4B" w:rsidP="00F25F4B">
      <w:pPr>
        <w:numPr>
          <w:ilvl w:val="2"/>
          <w:numId w:val="156"/>
        </w:numPr>
        <w:pBdr>
          <w:top w:val="nil"/>
          <w:left w:val="nil"/>
          <w:bottom w:val="nil"/>
          <w:right w:val="nil"/>
          <w:between w:val="nil"/>
        </w:pBdr>
        <w:rPr>
          <w:rFonts w:ascii="Calibri" w:hAnsi="Calibri"/>
          <w:color w:val="000000"/>
        </w:rPr>
      </w:pPr>
      <w:r>
        <w:rPr>
          <w:rFonts w:ascii="Calibri" w:hAnsi="Calibri"/>
          <w:color w:val="000000"/>
        </w:rPr>
        <w:t>A level 3 schedule identifying milestones and critical path</w:t>
      </w:r>
    </w:p>
    <w:p w14:paraId="10BD80B6" w14:textId="79B18298" w:rsidR="00F25F4B" w:rsidRDefault="00F25F4B" w:rsidP="00F25F4B">
      <w:pPr>
        <w:numPr>
          <w:ilvl w:val="2"/>
          <w:numId w:val="156"/>
        </w:numPr>
        <w:pBdr>
          <w:top w:val="nil"/>
          <w:left w:val="nil"/>
          <w:bottom w:val="nil"/>
          <w:right w:val="nil"/>
          <w:between w:val="nil"/>
        </w:pBdr>
        <w:rPr>
          <w:rFonts w:ascii="Calibri" w:hAnsi="Calibri"/>
          <w:color w:val="000000"/>
        </w:rPr>
      </w:pPr>
      <w:r>
        <w:rPr>
          <w:rFonts w:ascii="Calibri" w:hAnsi="Calibri"/>
          <w:color w:val="000000"/>
        </w:rPr>
        <w:t>Strategy for tracking schedule performance</w:t>
      </w:r>
    </w:p>
    <w:p w14:paraId="08E09971" w14:textId="0AD0F6ED" w:rsidR="00F25F4B" w:rsidRPr="00F25F4B" w:rsidRDefault="00F25F4B" w:rsidP="00F25F4B">
      <w:pPr>
        <w:pBdr>
          <w:top w:val="nil"/>
          <w:left w:val="nil"/>
          <w:bottom w:val="nil"/>
          <w:right w:val="nil"/>
          <w:between w:val="nil"/>
        </w:pBdr>
        <w:ind w:left="2205"/>
        <w:rPr>
          <w:rFonts w:ascii="Calibri" w:hAnsi="Calibri"/>
          <w:color w:val="000000"/>
        </w:rPr>
      </w:pPr>
    </w:p>
    <w:p w14:paraId="67C1C11E" w14:textId="77777777" w:rsidR="00592529" w:rsidRPr="00592529" w:rsidRDefault="00592529" w:rsidP="00592529">
      <w:pPr>
        <w:pBdr>
          <w:top w:val="nil"/>
          <w:left w:val="nil"/>
          <w:bottom w:val="nil"/>
          <w:right w:val="nil"/>
          <w:between w:val="nil"/>
        </w:pBdr>
        <w:rPr>
          <w:rFonts w:ascii="Calibri" w:hAnsi="Calibri"/>
          <w:color w:val="000000"/>
        </w:rPr>
      </w:pPr>
    </w:p>
    <w:p w14:paraId="55D2B3C2" w14:textId="77777777" w:rsidR="000F1FEB" w:rsidRPr="00AF2E02"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Pr>
          <w:rFonts w:ascii="Calibri" w:hAnsi="Calibri"/>
          <w:color w:val="000000"/>
        </w:rPr>
        <w:t>An appropriate NEPA Determination;</w:t>
      </w:r>
    </w:p>
    <w:p w14:paraId="0F47078D" w14:textId="77777777" w:rsidR="000F1FEB" w:rsidRPr="008015FD"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AF2E02">
        <w:rPr>
          <w:rFonts w:ascii="Calibri" w:hAnsi="Calibri"/>
          <w:color w:val="000000"/>
        </w:rPr>
        <w:t>A Project Management Plan (PMP) and Risk Mitigation Plan (RMP) that clearly demonstrate sufficient project</w:t>
      </w:r>
      <w:r w:rsidRPr="008015FD">
        <w:rPr>
          <w:rFonts w:ascii="Calibri" w:hAnsi="Calibri"/>
          <w:color w:val="000000"/>
        </w:rPr>
        <w:t xml:space="preserve"> controls are in place and that the </w:t>
      </w:r>
      <w:r>
        <w:rPr>
          <w:rFonts w:ascii="Calibri" w:hAnsi="Calibri"/>
          <w:color w:val="000000"/>
        </w:rPr>
        <w:t>R</w:t>
      </w:r>
      <w:r w:rsidRPr="008015FD">
        <w:rPr>
          <w:rFonts w:ascii="Calibri" w:hAnsi="Calibri"/>
          <w:color w:val="000000"/>
        </w:rPr>
        <w:t>ecipient is ready to execute Phase 2;</w:t>
      </w:r>
    </w:p>
    <w:p w14:paraId="32F9592E" w14:textId="77777777" w:rsidR="000F1FEB" w:rsidRPr="008015FD"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A strategy to qualify for or obtain any necessary regulatory approvals to ensure that the biofuel(s) and bioproduct(s) are acceptable for sale into commerce;</w:t>
      </w:r>
    </w:p>
    <w:p w14:paraId="22DF12F4" w14:textId="77777777" w:rsidR="000F1FEB" w:rsidRPr="008015FD"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An updated Life Cycle Analysis (LCA) showing that the biofuel(s) and bioproducts(s) meet or exceed the 70% GHG reduction requirement and describe how the proposed project presents a significant LCA improvement over competing technologies;</w:t>
      </w:r>
    </w:p>
    <w:p w14:paraId="62E6DAED" w14:textId="77777777" w:rsidR="000F1FEB" w:rsidRPr="008015FD" w:rsidRDefault="000F1FEB" w:rsidP="000F1FEB">
      <w:pPr>
        <w:numPr>
          <w:ilvl w:val="2"/>
          <w:numId w:val="156"/>
        </w:numPr>
        <w:pBdr>
          <w:top w:val="nil"/>
          <w:left w:val="nil"/>
          <w:bottom w:val="nil"/>
          <w:right w:val="nil"/>
          <w:between w:val="nil"/>
        </w:pBdr>
        <w:spacing w:line="259" w:lineRule="auto"/>
        <w:rPr>
          <w:rFonts w:ascii="Calibri" w:hAnsi="Calibri"/>
          <w:color w:val="000000"/>
        </w:rPr>
      </w:pPr>
      <w:r>
        <w:rPr>
          <w:color w:val="000000"/>
        </w:rPr>
        <w:t>Applicants may use any standardized approach to calculating life cycle GHG emissions e.g. Argonne National Laboratory GREET model</w:t>
      </w:r>
      <w:r>
        <w:rPr>
          <w:rStyle w:val="FootnoteReference"/>
          <w:color w:val="000000"/>
        </w:rPr>
        <w:footnoteReference w:id="62"/>
      </w:r>
      <w:r>
        <w:rPr>
          <w:color w:val="000000"/>
        </w:rPr>
        <w:t xml:space="preserve"> or</w:t>
      </w:r>
      <w:r w:rsidRPr="00D54D83">
        <w:rPr>
          <w:color w:val="000000"/>
        </w:rPr>
        <w:t xml:space="preserve"> </w:t>
      </w:r>
      <w:r>
        <w:rPr>
          <w:color w:val="000000"/>
        </w:rPr>
        <w:t>provide schemes developed through the CORSIA methodology</w:t>
      </w:r>
      <w:r>
        <w:rPr>
          <w:rStyle w:val="FootnoteReference"/>
          <w:color w:val="000000"/>
        </w:rPr>
        <w:footnoteReference w:id="63"/>
      </w:r>
      <w:r>
        <w:rPr>
          <w:color w:val="000000"/>
        </w:rPr>
        <w:t xml:space="preserve"> for calculating life cycle emissions</w:t>
      </w:r>
      <w:r w:rsidRPr="008015FD">
        <w:rPr>
          <w:rFonts w:ascii="Calibri" w:hAnsi="Calibri"/>
          <w:color w:val="000000"/>
        </w:rPr>
        <w:t xml:space="preserve">; </w:t>
      </w:r>
    </w:p>
    <w:p w14:paraId="7F197FC7" w14:textId="77777777" w:rsidR="000F1FEB" w:rsidRPr="008015FD"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An updated Project Pro-Forma Cash Flow Analysis;</w:t>
      </w:r>
    </w:p>
    <w:p w14:paraId="1047E397" w14:textId="7384C65F" w:rsidR="000F1FEB" w:rsidRPr="008015FD" w:rsidRDefault="000F1FEB" w:rsidP="000F1FEB">
      <w:pPr>
        <w:numPr>
          <w:ilvl w:val="2"/>
          <w:numId w:val="156"/>
        </w:numPr>
        <w:pBdr>
          <w:top w:val="nil"/>
          <w:left w:val="nil"/>
          <w:bottom w:val="nil"/>
          <w:right w:val="nil"/>
          <w:between w:val="nil"/>
        </w:pBdr>
        <w:spacing w:line="259" w:lineRule="auto"/>
        <w:rPr>
          <w:rFonts w:ascii="Calibri" w:hAnsi="Calibri"/>
          <w:color w:val="000000"/>
        </w:rPr>
      </w:pPr>
      <w:r w:rsidRPr="008015FD">
        <w:rPr>
          <w:rFonts w:ascii="Calibri" w:hAnsi="Calibri"/>
          <w:color w:val="000000"/>
        </w:rPr>
        <w:t xml:space="preserve">A feasible commercial </w:t>
      </w:r>
      <w:r w:rsidR="00F25F4B">
        <w:rPr>
          <w:rFonts w:ascii="Calibri" w:hAnsi="Calibri"/>
          <w:color w:val="000000"/>
        </w:rPr>
        <w:t xml:space="preserve">(nth plant) </w:t>
      </w:r>
      <w:r w:rsidRPr="008015FD">
        <w:rPr>
          <w:rFonts w:ascii="Calibri" w:hAnsi="Calibri"/>
          <w:color w:val="000000"/>
        </w:rPr>
        <w:t xml:space="preserve">pro-forma cash flow analysis of the expected cash flow of the proposed IBR under the performance parameters at steady state production.  A sensitivity analysis by showing results using a range of reasonable assumptions such as feedstock cost and market price of products compared to low, reference, and high oil prices cases should be included.  All assumptions regarding product and consumable prices, annual product production, inflation, and other inputs must be clearly delineated.  </w:t>
      </w:r>
      <w:r>
        <w:rPr>
          <w:rFonts w:ascii="Calibri" w:hAnsi="Calibri"/>
          <w:color w:val="000000"/>
        </w:rPr>
        <w:t>Applicant</w:t>
      </w:r>
      <w:r w:rsidRPr="008015FD">
        <w:rPr>
          <w:rFonts w:ascii="Calibri" w:hAnsi="Calibri"/>
          <w:color w:val="000000"/>
        </w:rPr>
        <w:t xml:space="preserve">s may use their own model or edit the provided Cash Flow pro forma.xls as detailed in </w:t>
      </w:r>
      <w:r w:rsidRPr="00AB292C">
        <w:rPr>
          <w:rFonts w:ascii="Calibri" w:hAnsi="Calibri"/>
          <w:color w:val="000000"/>
        </w:rPr>
        <w:t>Appendix H.</w:t>
      </w:r>
    </w:p>
    <w:p w14:paraId="30F2D9B8" w14:textId="77777777" w:rsidR="000F1FEB" w:rsidRPr="008015FD"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 xml:space="preserve">A business plan that clearly shows the </w:t>
      </w:r>
      <w:r>
        <w:rPr>
          <w:rFonts w:ascii="Calibri" w:hAnsi="Calibri"/>
          <w:color w:val="000000"/>
        </w:rPr>
        <w:t>R</w:t>
      </w:r>
      <w:r w:rsidRPr="008015FD">
        <w:rPr>
          <w:rFonts w:ascii="Calibri" w:hAnsi="Calibri"/>
          <w:color w:val="000000"/>
        </w:rPr>
        <w:t>ecipient has:</w:t>
      </w:r>
    </w:p>
    <w:p w14:paraId="6F9734B8"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secured the rights to practice all necessary intellectual property to construct and operate the proposed IBR facility;</w:t>
      </w:r>
    </w:p>
    <w:p w14:paraId="16CE5E9F" w14:textId="338187FA"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 xml:space="preserve">a firm written commitment for the project site, including all </w:t>
      </w:r>
      <w:r w:rsidR="00F25F4B">
        <w:rPr>
          <w:rFonts w:ascii="Calibri" w:hAnsi="Calibri"/>
          <w:color w:val="000000"/>
        </w:rPr>
        <w:t>key</w:t>
      </w:r>
      <w:r w:rsidRPr="008015FD">
        <w:rPr>
          <w:rFonts w:ascii="Calibri" w:hAnsi="Calibri"/>
          <w:color w:val="000000"/>
        </w:rPr>
        <w:t xml:space="preserve"> permits</w:t>
      </w:r>
      <w:r w:rsidR="00F25F4B">
        <w:rPr>
          <w:rFonts w:ascii="Calibri" w:hAnsi="Calibri"/>
          <w:color w:val="000000"/>
        </w:rPr>
        <w:t>, contracts and agreements</w:t>
      </w:r>
      <w:r w:rsidRPr="008015FD">
        <w:rPr>
          <w:rFonts w:ascii="Calibri" w:hAnsi="Calibri"/>
          <w:color w:val="000000"/>
        </w:rPr>
        <w:t>;</w:t>
      </w:r>
    </w:p>
    <w:p w14:paraId="0610C345" w14:textId="678B620C"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the appropriately</w:t>
      </w:r>
      <w:r w:rsidR="00BB0D88">
        <w:rPr>
          <w:rFonts w:ascii="Calibri" w:hAnsi="Calibri"/>
          <w:color w:val="000000"/>
        </w:rPr>
        <w:t xml:space="preserve"> </w:t>
      </w:r>
      <w:r w:rsidRPr="008015FD">
        <w:rPr>
          <w:rFonts w:ascii="Calibri" w:hAnsi="Calibri"/>
          <w:color w:val="000000"/>
        </w:rPr>
        <w:t>skilled team to execute the project to completion;</w:t>
      </w:r>
    </w:p>
    <w:p w14:paraId="4C1FE8CF"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 xml:space="preserve">the financial and project management capabilities to complete the project from construction through commissioning, startup, and operations; </w:t>
      </w:r>
    </w:p>
    <w:p w14:paraId="7F33369F"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a scale-up analysis that clearly addresses the scale-up factors and risks associated with each of the process units;</w:t>
      </w:r>
    </w:p>
    <w:p w14:paraId="6AC36167"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lastRenderedPageBreak/>
        <w:t>feedstock purchase contracts for sufficient quantities of material to execute the proposed project;</w:t>
      </w:r>
    </w:p>
    <w:p w14:paraId="647C9F22"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any necessary utility supply, interconnect, or export agreements indicating sufficient power, water, or similar services will be available to the facility;</w:t>
      </w:r>
    </w:p>
    <w:p w14:paraId="1BF1B8B7"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off-take agreements for any product(s) that will be produced from the facility;</w:t>
      </w:r>
    </w:p>
    <w:p w14:paraId="23480465" w14:textId="77777777" w:rsidR="000F1FEB" w:rsidRPr="008015FD" w:rsidRDefault="000F1FEB" w:rsidP="000F1FEB">
      <w:pPr>
        <w:numPr>
          <w:ilvl w:val="1"/>
          <w:numId w:val="153"/>
        </w:numPr>
        <w:pBdr>
          <w:top w:val="nil"/>
          <w:left w:val="nil"/>
          <w:bottom w:val="nil"/>
          <w:right w:val="nil"/>
          <w:between w:val="nil"/>
        </w:pBdr>
        <w:rPr>
          <w:rFonts w:ascii="Calibri" w:hAnsi="Calibri"/>
          <w:color w:val="000000"/>
        </w:rPr>
      </w:pPr>
      <w:r w:rsidRPr="008015FD">
        <w:rPr>
          <w:rFonts w:ascii="Calibri" w:hAnsi="Calibri"/>
          <w:color w:val="000000"/>
        </w:rPr>
        <w:t>market analysis of all major facility inputs and outputs at initial (first facility), transitional, and mature (10 or more facilities) market share points considering any planned transitions in the fuel to products ratio as market share and number of plants increase in the U.S.</w:t>
      </w:r>
    </w:p>
    <w:p w14:paraId="1CDD6E36" w14:textId="77777777" w:rsidR="000F1FEB"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A Techno-Economic Analysis (TEA) that clearly shows how the pioneer (1</w:t>
      </w:r>
      <w:r w:rsidRPr="008015FD">
        <w:rPr>
          <w:rFonts w:ascii="Calibri" w:hAnsi="Calibri"/>
          <w:color w:val="000000"/>
          <w:vertAlign w:val="superscript"/>
        </w:rPr>
        <w:t>st</w:t>
      </w:r>
      <w:r w:rsidRPr="008015FD">
        <w:rPr>
          <w:rFonts w:ascii="Calibri" w:hAnsi="Calibri"/>
          <w:color w:val="000000"/>
        </w:rPr>
        <w:t xml:space="preserve"> commercial scale) and follow-on mature commercial facilities, should they become operational, would result in substantive and measurable reductions in the cost of producing drop-in hydrocarbon biofuels and bioproducts;</w:t>
      </w:r>
    </w:p>
    <w:p w14:paraId="75D9C716" w14:textId="77777777" w:rsidR="000F1FEB" w:rsidRDefault="000F1FEB" w:rsidP="000F1FEB">
      <w:pPr>
        <w:numPr>
          <w:ilvl w:val="1"/>
          <w:numId w:val="156"/>
        </w:numPr>
        <w:pBdr>
          <w:top w:val="nil"/>
          <w:left w:val="nil"/>
          <w:bottom w:val="nil"/>
          <w:right w:val="nil"/>
          <w:between w:val="nil"/>
        </w:pBdr>
        <w:spacing w:line="259" w:lineRule="auto"/>
        <w:ind w:left="2160"/>
        <w:rPr>
          <w:rFonts w:ascii="Calibri" w:hAnsi="Calibri"/>
          <w:color w:val="000000"/>
        </w:rPr>
      </w:pPr>
      <w:r w:rsidRPr="008015FD">
        <w:rPr>
          <w:rFonts w:ascii="Calibri" w:hAnsi="Calibri"/>
          <w:color w:val="000000"/>
        </w:rPr>
        <w:t>Additional factors to be incorporated into the required TEA include, but are not limited to:</w:t>
      </w:r>
    </w:p>
    <w:p w14:paraId="3EB77D0C" w14:textId="77777777" w:rsidR="000F1FEB" w:rsidRDefault="000F1FEB" w:rsidP="000F1FEB">
      <w:pPr>
        <w:numPr>
          <w:ilvl w:val="3"/>
          <w:numId w:val="156"/>
        </w:numPr>
        <w:pBdr>
          <w:top w:val="nil"/>
          <w:left w:val="nil"/>
          <w:bottom w:val="nil"/>
          <w:right w:val="nil"/>
          <w:between w:val="nil"/>
        </w:pBdr>
        <w:spacing w:line="259" w:lineRule="auto"/>
        <w:rPr>
          <w:rFonts w:ascii="Calibri" w:hAnsi="Calibri"/>
          <w:color w:val="000000"/>
        </w:rPr>
      </w:pPr>
      <w:r w:rsidRPr="00AB292C">
        <w:rPr>
          <w:rFonts w:ascii="Calibri" w:hAnsi="Calibri"/>
          <w:color w:val="000000"/>
        </w:rPr>
        <w:t xml:space="preserve">Economic competitiveness of proposed solutions compared to existing alternatives, with and without incentives or subsidies; </w:t>
      </w:r>
    </w:p>
    <w:p w14:paraId="2044F81F" w14:textId="77777777" w:rsidR="000F1FEB" w:rsidRDefault="000F1FEB" w:rsidP="000F1FEB">
      <w:pPr>
        <w:numPr>
          <w:ilvl w:val="3"/>
          <w:numId w:val="156"/>
        </w:numPr>
        <w:pBdr>
          <w:top w:val="nil"/>
          <w:left w:val="nil"/>
          <w:bottom w:val="nil"/>
          <w:right w:val="nil"/>
          <w:between w:val="nil"/>
        </w:pBdr>
        <w:spacing w:line="259" w:lineRule="auto"/>
        <w:rPr>
          <w:rFonts w:ascii="Calibri" w:hAnsi="Calibri"/>
          <w:color w:val="000000"/>
        </w:rPr>
      </w:pPr>
      <w:r w:rsidRPr="00AB292C">
        <w:rPr>
          <w:rFonts w:ascii="Calibri" w:hAnsi="Calibri"/>
          <w:color w:val="000000"/>
        </w:rPr>
        <w:t xml:space="preserve">Avoided costs when compared to alternative solutions, such as biosolids disposal costs; and </w:t>
      </w:r>
    </w:p>
    <w:p w14:paraId="10EF9109" w14:textId="77777777" w:rsidR="000F1FEB" w:rsidRPr="00172BA4" w:rsidRDefault="000F1FEB" w:rsidP="000F1FEB">
      <w:pPr>
        <w:numPr>
          <w:ilvl w:val="3"/>
          <w:numId w:val="156"/>
        </w:numPr>
        <w:pBdr>
          <w:top w:val="nil"/>
          <w:left w:val="nil"/>
          <w:bottom w:val="nil"/>
          <w:right w:val="nil"/>
          <w:between w:val="nil"/>
        </w:pBdr>
        <w:spacing w:line="259" w:lineRule="auto"/>
        <w:rPr>
          <w:rFonts w:ascii="Calibri" w:hAnsi="Calibri"/>
          <w:color w:val="000000"/>
        </w:rPr>
      </w:pPr>
      <w:r w:rsidRPr="00AB292C">
        <w:rPr>
          <w:rFonts w:ascii="Calibri" w:hAnsi="Calibri"/>
          <w:color w:val="000000"/>
        </w:rPr>
        <w:t>Production of any co-products</w:t>
      </w:r>
    </w:p>
    <w:p w14:paraId="519BBC98" w14:textId="0B16DB7E" w:rsidR="000F1FEB" w:rsidRDefault="000F1FEB" w:rsidP="000F1FEB">
      <w:pPr>
        <w:numPr>
          <w:ilvl w:val="0"/>
          <w:numId w:val="156"/>
        </w:numPr>
        <w:pBdr>
          <w:top w:val="nil"/>
          <w:left w:val="nil"/>
          <w:bottom w:val="nil"/>
          <w:right w:val="nil"/>
          <w:between w:val="nil"/>
        </w:pBdr>
        <w:spacing w:line="259" w:lineRule="auto"/>
        <w:ind w:left="1800"/>
        <w:rPr>
          <w:rFonts w:ascii="Calibri" w:hAnsi="Calibri"/>
          <w:color w:val="000000"/>
        </w:rPr>
      </w:pPr>
      <w:r w:rsidRPr="00AB292C">
        <w:rPr>
          <w:rFonts w:ascii="Calibri" w:hAnsi="Calibri"/>
          <w:color w:val="000000"/>
        </w:rPr>
        <w:t>Sufficient cost share in the form of allowable and readily available resources to complete Phase 2</w:t>
      </w:r>
      <w:r w:rsidR="00B34F6D">
        <w:rPr>
          <w:rFonts w:ascii="Calibri" w:hAnsi="Calibri"/>
          <w:color w:val="000000"/>
        </w:rPr>
        <w:t>.</w:t>
      </w:r>
      <w:r w:rsidR="00175CB2">
        <w:rPr>
          <w:rFonts w:ascii="Calibri" w:hAnsi="Calibri"/>
          <w:color w:val="000000"/>
        </w:rPr>
        <w:t xml:space="preserve"> </w:t>
      </w:r>
      <w:r w:rsidRPr="00AB292C">
        <w:rPr>
          <w:rFonts w:ascii="Calibri" w:hAnsi="Calibri"/>
          <w:color w:val="000000"/>
        </w:rPr>
        <w:t xml:space="preserve">All cost share </w:t>
      </w:r>
      <w:r>
        <w:rPr>
          <w:rFonts w:ascii="Calibri" w:hAnsi="Calibri"/>
          <w:color w:val="000000"/>
        </w:rPr>
        <w:t>must</w:t>
      </w:r>
      <w:r w:rsidRPr="00AB292C">
        <w:rPr>
          <w:rFonts w:ascii="Calibri" w:hAnsi="Calibri"/>
          <w:color w:val="000000"/>
        </w:rPr>
        <w:t xml:space="preserve"> be available prior to start of construction.</w:t>
      </w:r>
    </w:p>
    <w:p w14:paraId="2FA3118A" w14:textId="2B250A9E" w:rsidR="00406E53" w:rsidRPr="00A34C9A" w:rsidRDefault="000F1FEB" w:rsidP="00A34C9A">
      <w:pPr>
        <w:numPr>
          <w:ilvl w:val="0"/>
          <w:numId w:val="156"/>
        </w:numPr>
        <w:pBdr>
          <w:top w:val="nil"/>
          <w:left w:val="nil"/>
          <w:bottom w:val="nil"/>
          <w:right w:val="nil"/>
          <w:between w:val="nil"/>
        </w:pBdr>
        <w:spacing w:line="259" w:lineRule="auto"/>
        <w:ind w:left="1800"/>
        <w:rPr>
          <w:rFonts w:ascii="Calibri" w:hAnsi="Calibri"/>
          <w:color w:val="000000"/>
        </w:rPr>
      </w:pPr>
      <w:r w:rsidRPr="008015FD">
        <w:rPr>
          <w:rFonts w:ascii="Calibri" w:hAnsi="Calibri"/>
          <w:color w:val="000000"/>
        </w:rPr>
        <w:t xml:space="preserve">The continuation application for Phase 2 must include documentation showing that the </w:t>
      </w:r>
      <w:r>
        <w:rPr>
          <w:rFonts w:ascii="Calibri" w:hAnsi="Calibri"/>
          <w:color w:val="000000"/>
        </w:rPr>
        <w:t>R</w:t>
      </w:r>
      <w:r w:rsidRPr="008015FD">
        <w:rPr>
          <w:rFonts w:ascii="Calibri" w:hAnsi="Calibri"/>
          <w:color w:val="000000"/>
        </w:rPr>
        <w:t xml:space="preserve">ecipient has access to </w:t>
      </w:r>
      <w:r>
        <w:rPr>
          <w:rFonts w:ascii="Calibri" w:hAnsi="Calibri"/>
          <w:color w:val="000000"/>
        </w:rPr>
        <w:t>the</w:t>
      </w:r>
      <w:r w:rsidRPr="008015FD">
        <w:rPr>
          <w:rFonts w:ascii="Calibri" w:hAnsi="Calibri"/>
          <w:color w:val="000000"/>
        </w:rPr>
        <w:t xml:space="preserve"> minimum 25% required contingency</w:t>
      </w:r>
      <w:r w:rsidR="00331B55">
        <w:rPr>
          <w:rFonts w:ascii="Calibri" w:hAnsi="Calibri"/>
          <w:color w:val="000000"/>
        </w:rPr>
        <w:t xml:space="preserve"> reserve funds</w:t>
      </w:r>
      <w:r>
        <w:rPr>
          <w:rFonts w:ascii="Calibri" w:hAnsi="Calibri"/>
          <w:color w:val="000000"/>
        </w:rPr>
        <w:t xml:space="preserve"> based on Total Project Cost.  </w:t>
      </w:r>
      <w:r w:rsidRPr="008015FD">
        <w:rPr>
          <w:rFonts w:ascii="Calibri" w:hAnsi="Calibri"/>
          <w:color w:val="000000"/>
        </w:rPr>
        <w:t xml:space="preserve">Contingency </w:t>
      </w:r>
      <w:r w:rsidR="00331B55">
        <w:rPr>
          <w:rFonts w:ascii="Calibri" w:hAnsi="Calibri"/>
          <w:color w:val="000000"/>
        </w:rPr>
        <w:t xml:space="preserve">reserve </w:t>
      </w:r>
      <w:r w:rsidRPr="008015FD">
        <w:rPr>
          <w:rFonts w:ascii="Calibri" w:hAnsi="Calibri"/>
          <w:color w:val="000000"/>
        </w:rPr>
        <w:t xml:space="preserve">funds must be: (a) liquid, (b) immediately available, and (c) unrestricted funds dedicated exclusively to the project for the purpose of mitigating project performance baseline risk.  The contingency reserve </w:t>
      </w:r>
      <w:r w:rsidR="00747302">
        <w:rPr>
          <w:rFonts w:ascii="Calibri" w:hAnsi="Calibri"/>
          <w:color w:val="000000"/>
        </w:rPr>
        <w:t xml:space="preserve">fund </w:t>
      </w:r>
      <w:r w:rsidRPr="008015FD">
        <w:rPr>
          <w:rFonts w:ascii="Calibri" w:hAnsi="Calibri"/>
          <w:color w:val="000000"/>
        </w:rPr>
        <w:t xml:space="preserve">is in addition to Total Project Costs and cannot count towards cost share, until expended.  If expended, the contingency will not result in reimbursement by DOE above the total federal share approved in the award.  DOE </w:t>
      </w:r>
      <w:r w:rsidR="005F4841">
        <w:rPr>
          <w:rFonts w:ascii="Calibri" w:hAnsi="Calibri"/>
          <w:color w:val="000000"/>
        </w:rPr>
        <w:t xml:space="preserve">highly </w:t>
      </w:r>
      <w:r w:rsidRPr="008015FD">
        <w:rPr>
          <w:rFonts w:ascii="Calibri" w:hAnsi="Calibri"/>
          <w:color w:val="000000"/>
        </w:rPr>
        <w:t xml:space="preserve">discourages </w:t>
      </w:r>
      <w:r>
        <w:rPr>
          <w:rFonts w:ascii="Calibri" w:hAnsi="Calibri"/>
          <w:color w:val="000000"/>
        </w:rPr>
        <w:t>r</w:t>
      </w:r>
      <w:r w:rsidRPr="008015FD">
        <w:rPr>
          <w:rFonts w:ascii="Calibri" w:hAnsi="Calibri"/>
          <w:color w:val="000000"/>
        </w:rPr>
        <w:t xml:space="preserve">ecipients from reducing </w:t>
      </w:r>
      <w:r w:rsidR="005F4841">
        <w:rPr>
          <w:rFonts w:ascii="Calibri" w:hAnsi="Calibri"/>
          <w:color w:val="000000"/>
        </w:rPr>
        <w:t xml:space="preserve">total project </w:t>
      </w:r>
      <w:r w:rsidRPr="008015FD">
        <w:rPr>
          <w:rFonts w:ascii="Calibri" w:hAnsi="Calibri"/>
          <w:color w:val="000000"/>
        </w:rPr>
        <w:t xml:space="preserve">scope to comply with the contingency reserve </w:t>
      </w:r>
      <w:r w:rsidR="00747302">
        <w:rPr>
          <w:rFonts w:ascii="Calibri" w:hAnsi="Calibri"/>
          <w:color w:val="000000"/>
        </w:rPr>
        <w:t xml:space="preserve">funds </w:t>
      </w:r>
      <w:r w:rsidRPr="008015FD">
        <w:rPr>
          <w:rFonts w:ascii="Calibri" w:hAnsi="Calibri"/>
          <w:color w:val="000000"/>
        </w:rPr>
        <w:t>requirement.</w:t>
      </w:r>
      <w:r w:rsidR="00406E53">
        <w:br w:type="page"/>
      </w:r>
    </w:p>
    <w:p w14:paraId="24737843" w14:textId="77777777" w:rsidR="005D560D" w:rsidRDefault="005D560D" w:rsidP="00887519">
      <w:pPr>
        <w:pStyle w:val="AppendixHeading"/>
        <w:outlineLvl w:val="0"/>
      </w:pPr>
      <w:bookmarkStart w:id="861" w:name="_Toc176864562"/>
      <w:r>
        <w:lastRenderedPageBreak/>
        <w:t>Appendix J – Glossary</w:t>
      </w:r>
      <w:bookmarkEnd w:id="861"/>
    </w:p>
    <w:p w14:paraId="794B213D" w14:textId="77777777" w:rsidR="00574460" w:rsidRPr="00573809" w:rsidRDefault="00574460" w:rsidP="00574460">
      <w:pPr>
        <w:pStyle w:val="FootnoteText"/>
        <w:numPr>
          <w:ilvl w:val="0"/>
          <w:numId w:val="157"/>
        </w:numPr>
        <w:ind w:left="1710" w:hanging="270"/>
        <w:rPr>
          <w:rFonts w:ascii="Calibri" w:hAnsi="Calibri"/>
          <w:b/>
          <w:bCs/>
          <w:color w:val="000000"/>
          <w:sz w:val="28"/>
          <w:szCs w:val="22"/>
        </w:rPr>
      </w:pPr>
      <w:r w:rsidRPr="00573809">
        <w:rPr>
          <w:rFonts w:ascii="Calibri" w:hAnsi="Calibri"/>
          <w:b/>
          <w:bCs/>
          <w:color w:val="000000"/>
          <w:sz w:val="28"/>
          <w:szCs w:val="22"/>
        </w:rPr>
        <w:t>Technology Specific Definitions</w:t>
      </w:r>
    </w:p>
    <w:p w14:paraId="524716CC" w14:textId="77777777" w:rsidR="00574460" w:rsidRDefault="00574460" w:rsidP="00574460">
      <w:pPr>
        <w:pStyle w:val="FootnoteText"/>
        <w:rPr>
          <w:rFonts w:ascii="Calibri" w:hAnsi="Calibri"/>
          <w:b/>
          <w:bCs/>
          <w:color w:val="000000"/>
          <w:sz w:val="24"/>
        </w:rPr>
      </w:pPr>
    </w:p>
    <w:p w14:paraId="0C4270D8" w14:textId="77777777" w:rsidR="00574460" w:rsidRPr="008015FD" w:rsidRDefault="00574460" w:rsidP="00574460">
      <w:pPr>
        <w:rPr>
          <w:rFonts w:ascii="Calibri" w:hAnsi="Calibri"/>
        </w:rPr>
      </w:pPr>
      <w:r w:rsidRPr="008015FD">
        <w:rPr>
          <w:rFonts w:ascii="Calibri" w:hAnsi="Calibri"/>
          <w:b/>
        </w:rPr>
        <w:t>“Algae”</w:t>
      </w:r>
      <w:r w:rsidRPr="008015FD">
        <w:rPr>
          <w:rFonts w:ascii="Calibri" w:hAnsi="Calibri"/>
        </w:rPr>
        <w:t xml:space="preserve"> for the purpose of this FOA, as included in the definition of “biomass” above is defined as eukaryotic microalgae, macroalgae (seaweed), and cyanobacteria.</w:t>
      </w:r>
    </w:p>
    <w:p w14:paraId="6BEFD50D" w14:textId="77777777" w:rsidR="00574460" w:rsidRDefault="00574460" w:rsidP="00574460">
      <w:pPr>
        <w:rPr>
          <w:b/>
          <w:bCs/>
          <w:szCs w:val="24"/>
        </w:rPr>
      </w:pPr>
    </w:p>
    <w:p w14:paraId="6ACD319B" w14:textId="77777777" w:rsidR="00574460" w:rsidRDefault="00574460" w:rsidP="00574460">
      <w:pPr>
        <w:rPr>
          <w:rFonts w:ascii="Calibri" w:hAnsi="Calibri" w:cs="Calibri"/>
          <w:color w:val="000000"/>
          <w:szCs w:val="24"/>
        </w:rPr>
      </w:pPr>
      <w:r w:rsidRPr="005A3482">
        <w:rPr>
          <w:b/>
          <w:bCs/>
          <w:szCs w:val="24"/>
        </w:rPr>
        <w:t>“Biodiesel”</w:t>
      </w:r>
      <w:r>
        <w:rPr>
          <w:rFonts w:ascii="Calibri" w:hAnsi="Calibri"/>
          <w:b/>
          <w:color w:val="000000"/>
          <w:sz w:val="28"/>
          <w:szCs w:val="28"/>
        </w:rPr>
        <w:t xml:space="preserve"> </w:t>
      </w:r>
      <w:r w:rsidRPr="005A3482">
        <w:rPr>
          <w:rFonts w:ascii="Calibri" w:hAnsi="Calibri"/>
          <w:color w:val="000000"/>
          <w:szCs w:val="24"/>
        </w:rPr>
        <w:t xml:space="preserve">as defined by the </w:t>
      </w:r>
      <w:r w:rsidRPr="005A3482">
        <w:rPr>
          <w:rFonts w:ascii="Calibri" w:hAnsi="Calibri"/>
          <w:color w:val="000000"/>
        </w:rPr>
        <w:t>U.S. Energy Information Administration</w:t>
      </w:r>
      <w:r>
        <w:rPr>
          <w:rFonts w:ascii="Calibri" w:hAnsi="Calibri"/>
          <w:color w:val="000000"/>
        </w:rPr>
        <w:t>, is a</w:t>
      </w:r>
      <w:r w:rsidRPr="005A3482">
        <w:rPr>
          <w:rFonts w:ascii="Calibri" w:hAnsi="Calibri" w:cs="Calibri"/>
          <w:color w:val="000000"/>
          <w:szCs w:val="24"/>
        </w:rPr>
        <w:t xml:space="preserve"> fuel typically made from soybean, canola, or other vegetable oils; animal fats; and recycled grease. It can serve as a substitute for petroleum-derived diesel or distillate fuel. For EIA reporting, it is a fuel composed of mono-alkyl esters of long chain fatty acids derived from vegetable oils or animal fats, designated B100, and meeting the requirements of ASTM (American Society for Testing materials) D 6751.</w:t>
      </w:r>
    </w:p>
    <w:p w14:paraId="5CF4F813" w14:textId="77777777" w:rsidR="00574460" w:rsidRDefault="00574460" w:rsidP="00574460">
      <w:pPr>
        <w:rPr>
          <w:rFonts w:ascii="Calibri" w:hAnsi="Calibri"/>
          <w:color w:val="000000"/>
        </w:rPr>
      </w:pPr>
    </w:p>
    <w:p w14:paraId="3CDDD8FA" w14:textId="77777777" w:rsidR="00574460" w:rsidRPr="008015FD" w:rsidRDefault="00574460" w:rsidP="00574460">
      <w:r w:rsidRPr="008015FD">
        <w:rPr>
          <w:b/>
        </w:rPr>
        <w:t>“Biogas”</w:t>
      </w:r>
      <w:r w:rsidRPr="008015FD">
        <w:t xml:space="preserve"> for the purpose of this FOA, refers to the mixture of gases produced by the breakdown of organic matter in the absence of oxygen, primarily consisting of methane and carbon dioxide. </w:t>
      </w:r>
    </w:p>
    <w:p w14:paraId="25D9D420" w14:textId="77777777" w:rsidR="00574460" w:rsidRDefault="00574460" w:rsidP="00574460">
      <w:pPr>
        <w:rPr>
          <w:rFonts w:ascii="Calibri" w:hAnsi="Calibri"/>
          <w:b/>
        </w:rPr>
      </w:pPr>
    </w:p>
    <w:p w14:paraId="30AB9948" w14:textId="77777777" w:rsidR="00574460" w:rsidRPr="008015FD" w:rsidRDefault="00574460" w:rsidP="00574460">
      <w:pPr>
        <w:rPr>
          <w:rFonts w:ascii="Calibri" w:hAnsi="Calibri"/>
        </w:rPr>
      </w:pPr>
      <w:r w:rsidRPr="008015FD">
        <w:rPr>
          <w:rFonts w:ascii="Calibri" w:hAnsi="Calibri"/>
          <w:b/>
        </w:rPr>
        <w:t>“Biomass”</w:t>
      </w:r>
      <w:r w:rsidRPr="008015FD">
        <w:rPr>
          <w:rFonts w:ascii="Calibri" w:hAnsi="Calibri"/>
        </w:rPr>
        <w:t xml:space="preserve"> is defined generally in the authorizing language of EPAct 2005, §932 (reproduced below). More specifically for the purposes of this FOA, biomass includes agricultural residues, forest resources, perennial grasses, woody energy crops, algae, organic wet waste (e.g., biosolids), sorted municipal solid waste, food waste, and biogas.  </w:t>
      </w:r>
    </w:p>
    <w:p w14:paraId="422427D6" w14:textId="77777777" w:rsidR="00574460" w:rsidRDefault="00574460" w:rsidP="00574460">
      <w:pPr>
        <w:rPr>
          <w:rFonts w:ascii="Calibri" w:hAnsi="Calibri"/>
          <w:b/>
          <w:bCs/>
        </w:rPr>
      </w:pPr>
    </w:p>
    <w:p w14:paraId="00191DEE" w14:textId="77777777" w:rsidR="00574460" w:rsidRDefault="00574460" w:rsidP="00574460">
      <w:pPr>
        <w:rPr>
          <w:rFonts w:ascii="Calibri" w:hAnsi="Calibri"/>
          <w:szCs w:val="24"/>
        </w:rPr>
      </w:pPr>
      <w:r w:rsidRPr="005A3482">
        <w:rPr>
          <w:rFonts w:ascii="Calibri" w:hAnsi="Calibri"/>
          <w:b/>
          <w:bCs/>
        </w:rPr>
        <w:t>“Carbon Dioxide by Direct Air Capture”</w:t>
      </w:r>
      <w:r>
        <w:rPr>
          <w:rFonts w:ascii="Calibri" w:hAnsi="Calibri"/>
        </w:rPr>
        <w:t xml:space="preserve"> for the purposes of this FOA, refers to </w:t>
      </w:r>
      <w:r w:rsidRPr="008015FD">
        <w:rPr>
          <w:rFonts w:ascii="Calibri" w:hAnsi="Calibri"/>
        </w:rPr>
        <w:t xml:space="preserve">carbon dioxide </w:t>
      </w:r>
      <w:r>
        <w:rPr>
          <w:rFonts w:ascii="Calibri" w:hAnsi="Calibri"/>
        </w:rPr>
        <w:t>(</w:t>
      </w:r>
      <w:r w:rsidRPr="005A3482">
        <w:rPr>
          <w:rFonts w:ascii="Calibri" w:hAnsi="Calibri"/>
          <w:szCs w:val="24"/>
        </w:rPr>
        <w:t>CO</w:t>
      </w:r>
      <w:r w:rsidRPr="005A3482">
        <w:rPr>
          <w:rFonts w:ascii="Calibri" w:hAnsi="Calibri"/>
          <w:szCs w:val="24"/>
          <w:vertAlign w:val="subscript"/>
        </w:rPr>
        <w:t>2</w:t>
      </w:r>
      <w:r w:rsidRPr="005A3482">
        <w:rPr>
          <w:rFonts w:ascii="Calibri" w:hAnsi="Calibri"/>
          <w:szCs w:val="24"/>
        </w:rPr>
        <w:t xml:space="preserve">) from the ambient air, which has been either captured in Direct Air Capture (DAC) machines and delivered to algal systems or captured through chemically, biologically, or </w:t>
      </w:r>
      <w:r w:rsidRPr="005A3482">
        <w:rPr>
          <w:rFonts w:ascii="Calibri" w:hAnsi="Calibri"/>
        </w:rPr>
        <w:t>mechanically assisted</w:t>
      </w:r>
      <w:r w:rsidRPr="005A3482">
        <w:rPr>
          <w:rFonts w:ascii="Calibri" w:hAnsi="Calibri"/>
          <w:szCs w:val="24"/>
        </w:rPr>
        <w:t xml:space="preserve"> accelerated diffusion of air into algal system growth media.</w:t>
      </w:r>
    </w:p>
    <w:p w14:paraId="5E9DD720" w14:textId="77777777" w:rsidR="00574460" w:rsidRDefault="00574460" w:rsidP="00574460">
      <w:pPr>
        <w:rPr>
          <w:rFonts w:ascii="Calibri" w:hAnsi="Calibri"/>
          <w:szCs w:val="24"/>
        </w:rPr>
      </w:pPr>
    </w:p>
    <w:p w14:paraId="6852D225" w14:textId="77777777" w:rsidR="00574460" w:rsidRPr="00D35BF4" w:rsidRDefault="00574460" w:rsidP="00574460">
      <w:pPr>
        <w:rPr>
          <w:rFonts w:ascii="Calibri" w:hAnsi="Calibri"/>
          <w:szCs w:val="24"/>
        </w:rPr>
      </w:pPr>
      <w:r w:rsidRPr="00D35BF4">
        <w:rPr>
          <w:rFonts w:ascii="Calibri" w:hAnsi="Calibri"/>
          <w:b/>
          <w:bCs/>
          <w:szCs w:val="24"/>
        </w:rPr>
        <w:t>“Construction and Demolition Waste”</w:t>
      </w:r>
      <w:r w:rsidRPr="00602856">
        <w:rPr>
          <w:rFonts w:ascii="Calibri" w:hAnsi="Calibri"/>
          <w:b/>
          <w:bCs/>
          <w:szCs w:val="24"/>
        </w:rPr>
        <w:t xml:space="preserve"> or</w:t>
      </w:r>
      <w:r>
        <w:rPr>
          <w:rFonts w:ascii="Calibri" w:hAnsi="Calibri"/>
          <w:b/>
          <w:bCs/>
          <w:szCs w:val="24"/>
        </w:rPr>
        <w:t xml:space="preserve"> “C&amp;D Waste”</w:t>
      </w:r>
      <w:r>
        <w:rPr>
          <w:rFonts w:ascii="Calibri" w:hAnsi="Calibri"/>
          <w:szCs w:val="24"/>
        </w:rPr>
        <w:t xml:space="preserve"> for the purposes of this FOA, refers to </w:t>
      </w:r>
      <w:r w:rsidRPr="00602856">
        <w:rPr>
          <w:rFonts w:ascii="Calibri" w:hAnsi="Calibri"/>
          <w:szCs w:val="24"/>
        </w:rPr>
        <w:t>a type of waste that is not included in municipal solid waste (MSW). Materials included in the C&amp;D debris generation estimates are steel, wood products, drywall and plaster, brick and clay tile, asphalt shingles, concrete, and asphalt concrete. These materials are used in buildings, roads and bridges, and other sectors.</w:t>
      </w:r>
    </w:p>
    <w:p w14:paraId="4C54D605" w14:textId="77777777" w:rsidR="00574460" w:rsidRDefault="00574460" w:rsidP="00574460">
      <w:pPr>
        <w:rPr>
          <w:rFonts w:ascii="Calibri" w:hAnsi="Calibri"/>
          <w:color w:val="000000"/>
        </w:rPr>
      </w:pPr>
    </w:p>
    <w:p w14:paraId="6DA34BF7" w14:textId="77777777" w:rsidR="00574460" w:rsidRPr="008015FD" w:rsidRDefault="00574460" w:rsidP="00574460">
      <w:r w:rsidRPr="008015FD">
        <w:rPr>
          <w:b/>
        </w:rPr>
        <w:t>“Food Waste”</w:t>
      </w:r>
      <w:r w:rsidRPr="008015FD">
        <w:t xml:space="preserve"> for the purposes of this FOA, is defined as food from industrial, commercial, and residential sources that is no longer suitable for human consumption which would have otherwise entered an anaerobic digester, landfill or other post consumer disposition.</w:t>
      </w:r>
    </w:p>
    <w:p w14:paraId="2CA62DE1" w14:textId="77777777" w:rsidR="00574460" w:rsidRPr="008015FD" w:rsidRDefault="00574460" w:rsidP="00574460">
      <w:pPr>
        <w:rPr>
          <w:rFonts w:ascii="Calibri" w:hAnsi="Calibri"/>
        </w:rPr>
      </w:pPr>
    </w:p>
    <w:p w14:paraId="7E3AE0FC" w14:textId="77777777" w:rsidR="00574460" w:rsidRDefault="00574460" w:rsidP="00574460">
      <w:pPr>
        <w:rPr>
          <w:rFonts w:ascii="Calibri" w:hAnsi="Calibri"/>
        </w:rPr>
      </w:pPr>
      <w:r w:rsidRPr="008015FD">
        <w:rPr>
          <w:b/>
        </w:rPr>
        <w:t>“Grain Starch”</w:t>
      </w:r>
      <w:r w:rsidRPr="008015FD">
        <w:t xml:space="preserve"> for the purposes of this FOA, refers to commercially available starch derived yellow dent feed corn, wheat and grain sorghum/milo.  </w:t>
      </w:r>
      <w:r w:rsidRPr="008015FD">
        <w:rPr>
          <w:rFonts w:ascii="Calibri" w:hAnsi="Calibri"/>
        </w:rPr>
        <w:t xml:space="preserve">Please note that Greenhouse Gas reductions of at least 70% must be met if utilizing </w:t>
      </w:r>
      <w:r>
        <w:rPr>
          <w:rFonts w:ascii="Calibri" w:hAnsi="Calibri"/>
        </w:rPr>
        <w:t>grain starch</w:t>
      </w:r>
      <w:r w:rsidRPr="008015FD">
        <w:rPr>
          <w:rFonts w:ascii="Calibri" w:hAnsi="Calibri"/>
        </w:rPr>
        <w:t>.</w:t>
      </w:r>
    </w:p>
    <w:p w14:paraId="2278A028" w14:textId="77777777" w:rsidR="00DD7580" w:rsidRDefault="00DD7580" w:rsidP="00574460">
      <w:pPr>
        <w:rPr>
          <w:rFonts w:ascii="Calibri" w:hAnsi="Calibri"/>
        </w:rPr>
      </w:pPr>
    </w:p>
    <w:p w14:paraId="49B9417C" w14:textId="01BE6DC5" w:rsidR="00DD7580" w:rsidRDefault="00DD7580" w:rsidP="00574460">
      <w:pPr>
        <w:rPr>
          <w:rFonts w:ascii="Calibri" w:hAnsi="Calibri"/>
        </w:rPr>
      </w:pPr>
      <w:r w:rsidRPr="008015FD">
        <w:rPr>
          <w:b/>
        </w:rPr>
        <w:lastRenderedPageBreak/>
        <w:t>“</w:t>
      </w:r>
      <w:r>
        <w:rPr>
          <w:b/>
        </w:rPr>
        <w:t xml:space="preserve">Heavy-duty </w:t>
      </w:r>
      <w:r w:rsidR="00466C0F">
        <w:rPr>
          <w:b/>
        </w:rPr>
        <w:t>Truck</w:t>
      </w:r>
      <w:r w:rsidRPr="008015FD">
        <w:rPr>
          <w:b/>
        </w:rPr>
        <w:t>”</w:t>
      </w:r>
      <w:r w:rsidRPr="008015FD">
        <w:t xml:space="preserve"> for the purposes of this FOA,</w:t>
      </w:r>
      <w:r w:rsidR="00856839">
        <w:t xml:space="preserve"> are Class 7 or higher multi-axle vehicles as </w:t>
      </w:r>
      <w:r w:rsidR="00850047">
        <w:t>classified</w:t>
      </w:r>
      <w:r w:rsidR="00856839">
        <w:t xml:space="preserve"> by the Federal Highway Administration with gross average vehicle weights</w:t>
      </w:r>
      <w:r w:rsidR="00850047">
        <w:t xml:space="preserve"> above 26,000 pounds.</w:t>
      </w:r>
    </w:p>
    <w:p w14:paraId="47150C02" w14:textId="77777777" w:rsidR="00991695" w:rsidRDefault="00991695" w:rsidP="00574460">
      <w:pPr>
        <w:rPr>
          <w:rFonts w:ascii="Calibri" w:hAnsi="Calibri"/>
        </w:rPr>
      </w:pPr>
    </w:p>
    <w:p w14:paraId="33D611FE" w14:textId="217CF8A7" w:rsidR="00574460" w:rsidRDefault="00574460" w:rsidP="00574460">
      <w:pPr>
        <w:rPr>
          <w:rFonts w:ascii="Calibri" w:hAnsi="Calibri"/>
        </w:rPr>
      </w:pPr>
      <w:r w:rsidRPr="008015FD">
        <w:rPr>
          <w:b/>
        </w:rPr>
        <w:t>“Lignocellulosic Feedstocks”</w:t>
      </w:r>
      <w:r w:rsidRPr="008015FD">
        <w:t xml:space="preserve"> </w:t>
      </w:r>
      <w:r w:rsidRPr="008015FD">
        <w:rPr>
          <w:rFonts w:ascii="Calibri" w:hAnsi="Calibri"/>
        </w:rPr>
        <w:t>are defined generally in the authorizing language of EPAct 2005, §932 (reproduced below). More specifically</w:t>
      </w:r>
      <w:r w:rsidRPr="008015FD">
        <w:t xml:space="preserve"> for the purposes of this FOA, are defined as </w:t>
      </w:r>
      <w:r w:rsidRPr="008015FD">
        <w:rPr>
          <w:rFonts w:ascii="Calibri" w:hAnsi="Calibri"/>
        </w:rPr>
        <w:t>any portion of a plant or coproduct from conversion, including crops, trees, forest residues, and agricultural residues not specifically grown for food, [emphasis added] including from barley grain, grape seed, rice bran, rice hulls, rice straw, soybean matter, and sugarcane bagasse.</w:t>
      </w:r>
    </w:p>
    <w:p w14:paraId="019AEBCA" w14:textId="2169F351" w:rsidR="00037E41" w:rsidRDefault="00037E41" w:rsidP="00574460"/>
    <w:p w14:paraId="438F0B13" w14:textId="77777777" w:rsidR="00B84974" w:rsidRDefault="00B84974" w:rsidP="00B84974">
      <w:pPr>
        <w:rPr>
          <w:rFonts w:ascii="Aptos" w:hAnsi="Aptos"/>
          <w:sz w:val="22"/>
        </w:rPr>
      </w:pPr>
      <w:r>
        <w:t>“</w:t>
      </w:r>
      <w:r w:rsidRPr="008B0D95">
        <w:rPr>
          <w:b/>
          <w:bCs/>
        </w:rPr>
        <w:t>Off-road vehicle</w:t>
      </w:r>
      <w:r>
        <w:t>” for the purpose of this FOA means equipment that is primarily designed to operate away from existing roadways. This category contains a disparate and diverse set of vehicles and use cases, including construction and mining equipment, industrial equipment, agriculture equipment, lawn and garden equipment, and recreational vehicles. Diesel accounts for the majority of off-road fuel use with gasoline, liquified petroleum gas, and compressed natural gas making up the remaining fuel consumption.</w:t>
      </w:r>
    </w:p>
    <w:p w14:paraId="110A066A" w14:textId="77777777" w:rsidR="00B84974" w:rsidRPr="008015FD" w:rsidRDefault="00B84974" w:rsidP="00574460"/>
    <w:p w14:paraId="76711646" w14:textId="77777777" w:rsidR="00574460" w:rsidRDefault="00574460" w:rsidP="00574460">
      <w:pPr>
        <w:rPr>
          <w:rFonts w:ascii="Calibri" w:hAnsi="Calibri"/>
        </w:rPr>
      </w:pPr>
      <w:r w:rsidRPr="00AF2E02">
        <w:rPr>
          <w:rFonts w:ascii="Calibri" w:hAnsi="Calibri"/>
          <w:b/>
          <w:bCs/>
        </w:rPr>
        <w:t>“Oilseed Crops”</w:t>
      </w:r>
      <w:r w:rsidRPr="008015FD">
        <w:rPr>
          <w:rFonts w:ascii="Calibri" w:hAnsi="Calibri"/>
        </w:rPr>
        <w:t xml:space="preserve"> for the purposes of this FOA, refers to US</w:t>
      </w:r>
      <w:r w:rsidRPr="00AF2E02">
        <w:rPr>
          <w:rFonts w:ascii="Calibri" w:hAnsi="Calibri"/>
        </w:rPr>
        <w:t>-</w:t>
      </w:r>
      <w:r w:rsidRPr="008015FD">
        <w:rPr>
          <w:rFonts w:ascii="Calibri" w:hAnsi="Calibri"/>
        </w:rPr>
        <w:t>produced</w:t>
      </w:r>
      <w:r w:rsidRPr="00AF2E02">
        <w:rPr>
          <w:rFonts w:ascii="Calibri" w:hAnsi="Calibri"/>
        </w:rPr>
        <w:t>,</w:t>
      </w:r>
      <w:r w:rsidRPr="008015FD">
        <w:rPr>
          <w:rFonts w:ascii="Calibri" w:hAnsi="Calibri"/>
        </w:rPr>
        <w:t xml:space="preserve"> oil producing </w:t>
      </w:r>
      <w:r w:rsidRPr="00AF2E02">
        <w:rPr>
          <w:rFonts w:ascii="Calibri" w:hAnsi="Calibri"/>
        </w:rPr>
        <w:t>crops including, but not limited to</w:t>
      </w:r>
      <w:r w:rsidRPr="008015FD">
        <w:rPr>
          <w:rFonts w:ascii="Calibri" w:hAnsi="Calibri"/>
        </w:rPr>
        <w:t xml:space="preserve"> soybeans, cottonseed, sunflower</w:t>
      </w:r>
      <w:r>
        <w:rPr>
          <w:rFonts w:ascii="Calibri" w:hAnsi="Calibri"/>
        </w:rPr>
        <w:t xml:space="preserve"> </w:t>
      </w:r>
      <w:r w:rsidRPr="008015FD">
        <w:rPr>
          <w:rFonts w:ascii="Calibri" w:hAnsi="Calibri"/>
        </w:rPr>
        <w:t>seed, canola, rapeseed, peanuts</w:t>
      </w:r>
      <w:r w:rsidRPr="00AF2E02">
        <w:rPr>
          <w:rFonts w:ascii="Calibri" w:hAnsi="Calibri"/>
        </w:rPr>
        <w:t xml:space="preserve">, </w:t>
      </w:r>
      <w:r w:rsidRPr="008015FD">
        <w:rPr>
          <w:rFonts w:ascii="Calibri" w:hAnsi="Calibri"/>
        </w:rPr>
        <w:t>camelina</w:t>
      </w:r>
      <w:r w:rsidRPr="00AF2E02">
        <w:rPr>
          <w:rFonts w:ascii="Calibri" w:hAnsi="Calibri"/>
        </w:rPr>
        <w:t>,</w:t>
      </w:r>
      <w:r w:rsidRPr="00D449C1">
        <w:rPr>
          <w:rFonts w:ascii="Calibri" w:hAnsi="Calibri"/>
        </w:rPr>
        <w:t xml:space="preserve"> </w:t>
      </w:r>
      <w:r>
        <w:rPr>
          <w:rFonts w:ascii="Calibri" w:hAnsi="Calibri"/>
        </w:rPr>
        <w:t xml:space="preserve">carinata, pennycress, </w:t>
      </w:r>
      <w:r w:rsidRPr="00AF2E02">
        <w:rPr>
          <w:rFonts w:ascii="Calibri" w:hAnsi="Calibri"/>
        </w:rPr>
        <w:t xml:space="preserve"> and </w:t>
      </w:r>
      <w:r w:rsidRPr="008015FD">
        <w:rPr>
          <w:rFonts w:ascii="Calibri" w:hAnsi="Calibri"/>
        </w:rPr>
        <w:t xml:space="preserve">oil </w:t>
      </w:r>
      <w:r w:rsidRPr="00AF2E02">
        <w:rPr>
          <w:rFonts w:ascii="Calibri" w:hAnsi="Calibri"/>
        </w:rPr>
        <w:t>producing</w:t>
      </w:r>
      <w:r w:rsidRPr="008015FD">
        <w:rPr>
          <w:rFonts w:ascii="Calibri" w:hAnsi="Calibri"/>
        </w:rPr>
        <w:t xml:space="preserve"> annual cover</w:t>
      </w:r>
      <w:r>
        <w:rPr>
          <w:rFonts w:ascii="Calibri" w:hAnsi="Calibri"/>
        </w:rPr>
        <w:t xml:space="preserve"> </w:t>
      </w:r>
      <w:r w:rsidRPr="008015FD">
        <w:rPr>
          <w:rFonts w:ascii="Calibri" w:hAnsi="Calibri"/>
        </w:rPr>
        <w:t>crops</w:t>
      </w:r>
      <w:r w:rsidRPr="008015FD">
        <w:rPr>
          <w:rStyle w:val="FootnoteReference"/>
          <w:rFonts w:ascii="Calibri" w:hAnsi="Calibri"/>
        </w:rPr>
        <w:footnoteReference w:id="64"/>
      </w:r>
      <w:r w:rsidRPr="00AF2E02">
        <w:rPr>
          <w:rStyle w:val="FootnoteReference"/>
          <w:rFonts w:ascii="Calibri" w:hAnsi="Calibri"/>
        </w:rPr>
        <w:footnoteReference w:id="65"/>
      </w:r>
      <w:r w:rsidRPr="008015FD">
        <w:rPr>
          <w:rFonts w:ascii="Calibri" w:hAnsi="Calibri"/>
        </w:rPr>
        <w:t>. Please note that Greenhouse Gas reductions of at least 70% must be met if utilizing an oil seed crop(s).</w:t>
      </w:r>
    </w:p>
    <w:p w14:paraId="6B708213" w14:textId="77777777" w:rsidR="00574460" w:rsidRDefault="00574460" w:rsidP="00574460">
      <w:pPr>
        <w:pStyle w:val="FootnoteText"/>
        <w:rPr>
          <w:sz w:val="24"/>
        </w:rPr>
      </w:pPr>
    </w:p>
    <w:p w14:paraId="563AFC7A" w14:textId="77777777" w:rsidR="00574460" w:rsidRPr="008015FD" w:rsidRDefault="00574460" w:rsidP="00574460">
      <w:r w:rsidRPr="008015FD">
        <w:rPr>
          <w:b/>
        </w:rPr>
        <w:t>“Organic Wet Waste”</w:t>
      </w:r>
      <w:r w:rsidRPr="008015FD">
        <w:t xml:space="preserve"> for the purpose of this FOA, “wet waste” refers to the following: primary, secondary, tertiary, and post-anaerobic digestion sludge (i.e., biosolids) from municipal wastewater treatment systems; food wastes from industrial, commercial, and residential sources; organic-rich wastewaters from industrial and commercial operations; manure slurries from animal husbandry operations.</w:t>
      </w:r>
    </w:p>
    <w:p w14:paraId="2FF4AB9D" w14:textId="77777777" w:rsidR="00574460" w:rsidRDefault="00574460" w:rsidP="00574460">
      <w:pPr>
        <w:pStyle w:val="FootnoteText"/>
        <w:rPr>
          <w:sz w:val="24"/>
        </w:rPr>
      </w:pPr>
    </w:p>
    <w:p w14:paraId="586870F6" w14:textId="77777777" w:rsidR="00574460" w:rsidRDefault="00574460" w:rsidP="00574460">
      <w:pPr>
        <w:pStyle w:val="FootnoteText"/>
        <w:rPr>
          <w:sz w:val="24"/>
        </w:rPr>
      </w:pPr>
      <w:r w:rsidRPr="00C626B9">
        <w:rPr>
          <w:sz w:val="24"/>
        </w:rPr>
        <w:t>“</w:t>
      </w:r>
      <w:r w:rsidRPr="00C626B9">
        <w:rPr>
          <w:b/>
          <w:bCs/>
          <w:sz w:val="24"/>
        </w:rPr>
        <w:t>Renewable Diesel”</w:t>
      </w:r>
      <w:r w:rsidRPr="00C626B9">
        <w:rPr>
          <w:sz w:val="24"/>
        </w:rPr>
        <w:t xml:space="preserve"> as defined by the U.S. Energy Information Administration, is a biofuel that is chemically the same as petroleum diesel fuel. Renewable diesel meets the American Society for Testing and Materials (ASTM) specification ASTM D975 for petroleum diesel and may be used in existing petroleum pipelines, storage tanks, and diesel engines. It can be produced from cellulosic biomass materials such as crop residues, wood and sawdust, and switchgrass, and it qualifies as an advanced biofuel under the Renewable Fuel Standard (RFS) Program.</w:t>
      </w:r>
    </w:p>
    <w:p w14:paraId="39C27FC9" w14:textId="77777777" w:rsidR="00574460" w:rsidRDefault="00574460" w:rsidP="00574460"/>
    <w:p w14:paraId="75AD0381" w14:textId="77777777" w:rsidR="00574460" w:rsidRPr="002F3024" w:rsidRDefault="00574460" w:rsidP="00574460">
      <w:pPr>
        <w:rPr>
          <w:b/>
          <w:bCs/>
        </w:rPr>
      </w:pPr>
      <w:r w:rsidRPr="00D35BF4">
        <w:rPr>
          <w:b/>
          <w:bCs/>
        </w:rPr>
        <w:t>"Scale-up Factor”</w:t>
      </w:r>
      <w:r w:rsidRPr="002F3024">
        <w:rPr>
          <w:b/>
          <w:bCs/>
        </w:rPr>
        <w:t xml:space="preserve"> </w:t>
      </w:r>
      <w:r w:rsidRPr="00D35BF4">
        <w:t>for the purposes of this FOA, are the ratio of the proposed scale to the previous scale on a unit operation basis.</w:t>
      </w:r>
    </w:p>
    <w:p w14:paraId="096C62A1" w14:textId="77777777" w:rsidR="00574460" w:rsidRPr="008015FD" w:rsidRDefault="00574460" w:rsidP="00574460"/>
    <w:p w14:paraId="1E106A38" w14:textId="32EFE465" w:rsidR="00574460" w:rsidRPr="008015FD" w:rsidRDefault="00574460" w:rsidP="00574460">
      <w:r w:rsidRPr="008015FD">
        <w:rPr>
          <w:b/>
        </w:rPr>
        <w:t>“Sorted Municipal Solid Waste”</w:t>
      </w:r>
      <w:r w:rsidRPr="008015FD">
        <w:t xml:space="preserve"> for the for the purposes of this FOA, is defined as the organic and plastic constituents of the MSW stream going to the landfill (typically known as municipal garbage). See chapter 2 in the Resource Conservation and Recovery Act Orientation Manual 2014 - </w:t>
      </w:r>
      <w:hyperlink r:id="rId80">
        <w:r w:rsidRPr="008015FD">
          <w:rPr>
            <w:color w:val="0000FF"/>
            <w:u w:val="single"/>
          </w:rPr>
          <w:t>https://www.epa.gov/sites/production/files/2015-07/documents/rom.pdf</w:t>
        </w:r>
      </w:hyperlink>
      <w:r w:rsidRPr="008015FD">
        <w:t xml:space="preserve"> </w:t>
      </w:r>
    </w:p>
    <w:p w14:paraId="76C7B4DE" w14:textId="77777777" w:rsidR="00574460" w:rsidRDefault="00574460" w:rsidP="00574460">
      <w:pPr>
        <w:pStyle w:val="FootnoteText"/>
        <w:rPr>
          <w:rFonts w:ascii="Calibri" w:hAnsi="Calibri"/>
          <w:b/>
          <w:bCs/>
          <w:color w:val="000000"/>
          <w:sz w:val="24"/>
        </w:rPr>
      </w:pPr>
    </w:p>
    <w:p w14:paraId="66729046" w14:textId="77777777" w:rsidR="00574460" w:rsidRDefault="00574460" w:rsidP="00574460">
      <w:pPr>
        <w:pStyle w:val="FootnoteText"/>
        <w:rPr>
          <w:rFonts w:ascii="Calibri" w:hAnsi="Calibri"/>
          <w:color w:val="000000"/>
          <w:sz w:val="24"/>
        </w:rPr>
      </w:pPr>
      <w:r w:rsidRPr="00C626B9">
        <w:rPr>
          <w:rFonts w:ascii="Calibri" w:hAnsi="Calibri"/>
          <w:b/>
          <w:bCs/>
          <w:color w:val="000000"/>
          <w:sz w:val="24"/>
        </w:rPr>
        <w:t>“Sustainable Aviation Fuel”</w:t>
      </w:r>
      <w:r w:rsidRPr="00C626B9">
        <w:rPr>
          <w:rFonts w:ascii="Calibri" w:hAnsi="Calibri"/>
          <w:color w:val="000000"/>
          <w:sz w:val="24"/>
        </w:rPr>
        <w:t xml:space="preserve"> or SAF</w:t>
      </w:r>
      <w:r w:rsidRPr="00054696">
        <w:rPr>
          <w:rFonts w:ascii="Calibri" w:hAnsi="Calibri"/>
          <w:color w:val="000000"/>
          <w:sz w:val="24"/>
        </w:rPr>
        <w:t xml:space="preserve"> is defined as a renewable or waste derived aviation fuel that achieves net greenhouse gas emissions reductions and other sustainability criteria for aviation fuel on a life cycle basis. SAF must be approved through the ASTM D4054 process</w:t>
      </w:r>
      <w:r w:rsidRPr="00A436DE">
        <w:rPr>
          <w:rFonts w:ascii="Calibri" w:hAnsi="Calibri"/>
          <w:color w:val="000000"/>
          <w:sz w:val="24"/>
        </w:rPr>
        <w:t xml:space="preserve"> </w:t>
      </w:r>
      <w:r>
        <w:rPr>
          <w:rFonts w:ascii="Calibri" w:hAnsi="Calibri"/>
          <w:color w:val="000000"/>
          <w:sz w:val="24"/>
        </w:rPr>
        <w:t>and produced to meet the ASTM D7566 standard specification for aviation turbine fuel containing synthesized hydrocarbons.</w:t>
      </w:r>
      <w:r w:rsidRPr="00054696" w:rsidDel="00054696">
        <w:rPr>
          <w:rFonts w:ascii="Calibri" w:hAnsi="Calibri"/>
          <w:color w:val="000000"/>
          <w:sz w:val="24"/>
        </w:rPr>
        <w:t xml:space="preserve">  </w:t>
      </w:r>
    </w:p>
    <w:p w14:paraId="614C897A" w14:textId="77777777" w:rsidR="00FC1F0E" w:rsidRPr="00C626B9" w:rsidRDefault="00FC1F0E" w:rsidP="00574460">
      <w:pPr>
        <w:pStyle w:val="FootnoteText"/>
        <w:rPr>
          <w:sz w:val="24"/>
        </w:rPr>
      </w:pPr>
    </w:p>
    <w:p w14:paraId="5415AF5C" w14:textId="77777777" w:rsidR="00574460" w:rsidRDefault="00574460" w:rsidP="00574460">
      <w:r>
        <w:t>“</w:t>
      </w:r>
      <w:r>
        <w:rPr>
          <w:b/>
          <w:bCs/>
        </w:rPr>
        <w:t>Sustainable</w:t>
      </w:r>
      <w:r w:rsidRPr="00C626B9">
        <w:rPr>
          <w:b/>
          <w:bCs/>
        </w:rPr>
        <w:t xml:space="preserve"> Marine Fuel”</w:t>
      </w:r>
      <w:r w:rsidRPr="00C626B9">
        <w:t xml:space="preserve"> </w:t>
      </w:r>
      <w:r>
        <w:t xml:space="preserve">(SMF) </w:t>
      </w:r>
      <w:r w:rsidRPr="00C626B9">
        <w:t xml:space="preserve">for the purposes of this FOA, </w:t>
      </w:r>
      <w:r>
        <w:rPr>
          <w:rStyle w:val="normaltextrun"/>
          <w:color w:val="000000"/>
          <w:shd w:val="clear" w:color="auto" w:fill="FFFFFF"/>
        </w:rPr>
        <w:t>is any sustainable low-carbon fuel employed to power a ship or boat while providing at least a 70% life cycle GHG emissions compared to conventional heavy fuel oil (HFO) (96 g</w:t>
      </w:r>
      <w:r>
        <w:rPr>
          <w:rStyle w:val="findhit"/>
          <w:color w:val="000000"/>
        </w:rPr>
        <w:t>CO2e</w:t>
      </w:r>
      <w:r>
        <w:rPr>
          <w:rStyle w:val="normaltextrun"/>
          <w:color w:val="000000"/>
          <w:shd w:val="clear" w:color="auto" w:fill="FFFFFF"/>
        </w:rPr>
        <w:t xml:space="preserve">/MJ). </w:t>
      </w:r>
      <w:r>
        <w:rPr>
          <w:rStyle w:val="normaltextrun"/>
          <w:color w:val="000000"/>
          <w:bdr w:val="none" w:sz="0" w:space="0" w:color="auto" w:frame="1"/>
        </w:rPr>
        <w:t>Depending on the feedstock and technologies used to produce it, SMF can reduce life cycle GHG emissions dramatically compared to HFO and other petroleum-based fuels and can even result in net negative carbon emissions</w:t>
      </w:r>
      <w:r w:rsidRPr="001F08D7">
        <w:rPr>
          <w:rStyle w:val="normaltextrun"/>
          <w:color w:val="000000"/>
          <w:bdr w:val="none" w:sz="0" w:space="0" w:color="auto" w:frame="1"/>
        </w:rPr>
        <w:t xml:space="preserve">. For the purposes of this FOA SMF fuels must result from an allowable biomass feedstock (see Appendix </w:t>
      </w:r>
      <w:r>
        <w:rPr>
          <w:rStyle w:val="normaltextrun"/>
          <w:color w:val="000000"/>
          <w:bdr w:val="none" w:sz="0" w:space="0" w:color="auto" w:frame="1"/>
        </w:rPr>
        <w:t>E</w:t>
      </w:r>
      <w:r w:rsidRPr="001F08D7">
        <w:rPr>
          <w:rStyle w:val="normaltextrun"/>
          <w:color w:val="000000"/>
          <w:bdr w:val="none" w:sz="0" w:space="0" w:color="auto" w:frame="1"/>
        </w:rPr>
        <w:t>) and must result in a carbon based fuel, specifically ammonia and hydrogen are not allowable SMFs under this FOA as these potential fuels have been funded through HFTO.</w:t>
      </w:r>
    </w:p>
    <w:p w14:paraId="5EF545C5" w14:textId="77777777" w:rsidR="00574460" w:rsidRDefault="00574460" w:rsidP="00574460">
      <w:pPr>
        <w:rPr>
          <w:rFonts w:ascii="Calibri" w:hAnsi="Calibri"/>
          <w:color w:val="000000"/>
        </w:rPr>
      </w:pPr>
    </w:p>
    <w:p w14:paraId="02827F3F" w14:textId="77777777" w:rsidR="00574460" w:rsidRDefault="00574460" w:rsidP="00574460">
      <w:pPr>
        <w:rPr>
          <w:rFonts w:ascii="Calibri" w:hAnsi="Calibri"/>
          <w:sz w:val="22"/>
        </w:rPr>
      </w:pPr>
      <w:r>
        <w:t>“</w:t>
      </w:r>
      <w:r>
        <w:rPr>
          <w:b/>
          <w:bCs/>
        </w:rPr>
        <w:t>Sustainable</w:t>
      </w:r>
      <w:r w:rsidRPr="00C626B9">
        <w:rPr>
          <w:b/>
          <w:bCs/>
        </w:rPr>
        <w:t xml:space="preserve"> </w:t>
      </w:r>
      <w:r>
        <w:rPr>
          <w:b/>
          <w:bCs/>
        </w:rPr>
        <w:t>Rail</w:t>
      </w:r>
      <w:r w:rsidRPr="00C626B9">
        <w:rPr>
          <w:b/>
          <w:bCs/>
        </w:rPr>
        <w:t xml:space="preserve"> Fuel”</w:t>
      </w:r>
      <w:r>
        <w:t xml:space="preserve"> </w:t>
      </w:r>
      <w:r w:rsidRPr="00C626B9">
        <w:t xml:space="preserve">for the purposes of this FOA, </w:t>
      </w:r>
      <w:r>
        <w:t xml:space="preserve">, is defined as a </w:t>
      </w:r>
      <w:r>
        <w:rPr>
          <w:color w:val="000000"/>
        </w:rPr>
        <w:t xml:space="preserve">renewable or waste </w:t>
      </w:r>
      <w:r w:rsidRPr="000A585E">
        <w:t xml:space="preserve">derived liquid </w:t>
      </w:r>
      <w:r>
        <w:rPr>
          <w:color w:val="000000"/>
        </w:rPr>
        <w:t>fuel</w:t>
      </w:r>
      <w:r>
        <w:t xml:space="preserve"> </w:t>
      </w:r>
      <w:r w:rsidRPr="000A585E">
        <w:t xml:space="preserve">(at standard temperature and pressure) </w:t>
      </w:r>
      <w:r>
        <w:rPr>
          <w:color w:val="000000"/>
        </w:rPr>
        <w:t>that achieves net greenhouse gas emissions reductions of at least 70% on a life cycle basis when compared to traditional off-road diesel (as defined by ASTM D975)</w:t>
      </w:r>
      <w:r>
        <w:t xml:space="preserve"> </w:t>
      </w:r>
      <w:r w:rsidRPr="000A585E">
        <w:t>with a carbon intensity of 92 CO2e/MJ</w:t>
      </w:r>
      <w:r>
        <w:rPr>
          <w:color w:val="000000"/>
        </w:rPr>
        <w:t>. Please note that this FOA will exclude</w:t>
      </w:r>
      <w:r>
        <w:t xml:space="preserve"> biodiesels, straight vegetable oil, and any other commercially produced fuel as sustainable rail fuels.</w:t>
      </w:r>
    </w:p>
    <w:p w14:paraId="63583DD8" w14:textId="77777777" w:rsidR="00574460" w:rsidRPr="00602DFA" w:rsidRDefault="00574460" w:rsidP="00574460"/>
    <w:p w14:paraId="4B497CE2" w14:textId="77777777" w:rsidR="00574460" w:rsidRPr="002F3024" w:rsidRDefault="00574460" w:rsidP="00574460">
      <w:pPr>
        <w:rPr>
          <w:rFonts w:ascii="Calibri" w:hAnsi="Calibri"/>
          <w:b/>
          <w:bCs/>
          <w:color w:val="000000"/>
        </w:rPr>
      </w:pPr>
      <w:r w:rsidRPr="00D35BF4">
        <w:rPr>
          <w:rFonts w:ascii="Calibri" w:hAnsi="Calibri"/>
          <w:b/>
          <w:bCs/>
          <w:color w:val="000000"/>
        </w:rPr>
        <w:t>“Unit Operation”</w:t>
      </w:r>
      <w:r>
        <w:rPr>
          <w:rFonts w:ascii="Calibri" w:hAnsi="Calibri"/>
          <w:b/>
          <w:bCs/>
          <w:color w:val="000000"/>
        </w:rPr>
        <w:t xml:space="preserve"> </w:t>
      </w:r>
      <w:r w:rsidRPr="00D35BF4">
        <w:rPr>
          <w:rFonts w:ascii="Calibri" w:hAnsi="Calibri"/>
          <w:color w:val="000000"/>
        </w:rPr>
        <w:t>for the purposes of this FOA, is a basic process operations</w:t>
      </w:r>
      <w:r>
        <w:rPr>
          <w:rFonts w:ascii="Calibri" w:hAnsi="Calibri"/>
          <w:color w:val="000000"/>
        </w:rPr>
        <w:t xml:space="preserve"> </w:t>
      </w:r>
      <w:r w:rsidRPr="00D35BF4">
        <w:rPr>
          <w:rFonts w:ascii="Calibri" w:hAnsi="Calibri"/>
          <w:color w:val="000000"/>
        </w:rPr>
        <w:t>involving a physical or chemical transformation.</w:t>
      </w:r>
    </w:p>
    <w:p w14:paraId="5D48CCC8" w14:textId="77777777" w:rsidR="00574460" w:rsidRDefault="00574460" w:rsidP="00574460">
      <w:pPr>
        <w:rPr>
          <w:rFonts w:ascii="Calibri" w:hAnsi="Calibri"/>
          <w:color w:val="000000"/>
        </w:rPr>
      </w:pPr>
    </w:p>
    <w:p w14:paraId="4CE4F6F6" w14:textId="77777777" w:rsidR="00574460" w:rsidRDefault="00574460" w:rsidP="00574460">
      <w:pPr>
        <w:rPr>
          <w:rFonts w:ascii="Calibri" w:hAnsi="Calibri"/>
          <w:color w:val="000000"/>
        </w:rPr>
      </w:pPr>
      <w:r w:rsidRPr="005A3482">
        <w:rPr>
          <w:rFonts w:ascii="Calibri" w:hAnsi="Calibri"/>
          <w:b/>
          <w:bCs/>
          <w:color w:val="000000"/>
        </w:rPr>
        <w:t>“Utilizable Biogenic Carbon”</w:t>
      </w:r>
      <w:r w:rsidRPr="00E05363">
        <w:rPr>
          <w:rFonts w:ascii="Calibri" w:hAnsi="Calibri"/>
          <w:color w:val="000000"/>
        </w:rPr>
        <w:t xml:space="preserve"> </w:t>
      </w:r>
      <w:r>
        <w:rPr>
          <w:rFonts w:ascii="Calibri" w:hAnsi="Calibri"/>
          <w:color w:val="000000"/>
        </w:rPr>
        <w:t xml:space="preserve">or </w:t>
      </w:r>
      <w:r w:rsidRPr="005A3482">
        <w:rPr>
          <w:rFonts w:ascii="Calibri" w:hAnsi="Calibri"/>
          <w:b/>
          <w:bCs/>
          <w:color w:val="000000"/>
        </w:rPr>
        <w:t>“Utilizable Carbon”</w:t>
      </w:r>
      <w:r>
        <w:rPr>
          <w:rFonts w:ascii="Calibri" w:hAnsi="Calibri"/>
          <w:color w:val="000000"/>
        </w:rPr>
        <w:t xml:space="preserve"> for the purposes of this FOA, is define as </w:t>
      </w:r>
      <w:r w:rsidRPr="00E05363">
        <w:rPr>
          <w:rFonts w:ascii="Calibri" w:hAnsi="Calibri"/>
          <w:color w:val="000000"/>
        </w:rPr>
        <w:t xml:space="preserve">the carbon contained in all the biofuels and </w:t>
      </w:r>
      <w:r>
        <w:rPr>
          <w:rFonts w:ascii="Calibri" w:hAnsi="Calibri"/>
          <w:color w:val="000000"/>
        </w:rPr>
        <w:t>co</w:t>
      </w:r>
      <w:r w:rsidRPr="00E05363">
        <w:rPr>
          <w:rFonts w:ascii="Calibri" w:hAnsi="Calibri"/>
          <w:color w:val="000000"/>
        </w:rPr>
        <w:t xml:space="preserve">products generated from a process. </w:t>
      </w:r>
      <w:r w:rsidRPr="002660B0">
        <w:t>C</w:t>
      </w:r>
      <w:r w:rsidRPr="002660B0">
        <w:rPr>
          <w:color w:val="000000"/>
        </w:rPr>
        <w:t xml:space="preserve">arbon </w:t>
      </w:r>
      <w:r w:rsidRPr="002660B0">
        <w:t>found in waste streams, or streams consumed as a part of the production process, is not included in this calculation.</w:t>
      </w:r>
      <w:r w:rsidRPr="00B423F2">
        <w:t xml:space="preserve"> </w:t>
      </w:r>
    </w:p>
    <w:p w14:paraId="06E32133" w14:textId="77777777" w:rsidR="00574460" w:rsidRPr="008015FD" w:rsidRDefault="00574460" w:rsidP="00574460">
      <w:pPr>
        <w:rPr>
          <w:rFonts w:ascii="Calibri" w:hAnsi="Calibri"/>
        </w:rPr>
      </w:pPr>
    </w:p>
    <w:p w14:paraId="527D4F3C" w14:textId="77777777" w:rsidR="00574460" w:rsidRDefault="00574460" w:rsidP="00574460">
      <w:pPr>
        <w:rPr>
          <w:rFonts w:ascii="Calibri" w:hAnsi="Calibri"/>
        </w:rPr>
      </w:pPr>
      <w:r w:rsidRPr="008015FD">
        <w:rPr>
          <w:rFonts w:ascii="Calibri" w:hAnsi="Calibri"/>
          <w:b/>
        </w:rPr>
        <w:t>“Waste Carbon Dioxide”</w:t>
      </w:r>
      <w:r w:rsidRPr="008015FD">
        <w:rPr>
          <w:rFonts w:ascii="Calibri" w:hAnsi="Calibri"/>
        </w:rPr>
        <w:t xml:space="preserve"> for the purpose of this FOA, refers to any waste carbon dioxide (CO</w:t>
      </w:r>
      <w:r w:rsidRPr="008015FD">
        <w:rPr>
          <w:rFonts w:ascii="Calibri" w:hAnsi="Calibri"/>
          <w:vertAlign w:val="subscript"/>
        </w:rPr>
        <w:t>2</w:t>
      </w:r>
      <w:r w:rsidRPr="008015FD">
        <w:rPr>
          <w:rFonts w:ascii="Calibri" w:hAnsi="Calibri"/>
        </w:rPr>
        <w:t xml:space="preserve">) produced as a byproduct from fermentation or the combustion of biomass or other biopower processes. </w:t>
      </w:r>
    </w:p>
    <w:p w14:paraId="2C5582FF" w14:textId="77777777" w:rsidR="00574460" w:rsidRDefault="00574460" w:rsidP="00574460">
      <w:pPr>
        <w:rPr>
          <w:szCs w:val="24"/>
        </w:rPr>
      </w:pPr>
    </w:p>
    <w:p w14:paraId="1675EDCD" w14:textId="77777777" w:rsidR="001D6622" w:rsidRDefault="001D6622" w:rsidP="00574460">
      <w:pPr>
        <w:rPr>
          <w:szCs w:val="24"/>
        </w:rPr>
      </w:pPr>
    </w:p>
    <w:p w14:paraId="678F2E13" w14:textId="77777777" w:rsidR="00574460" w:rsidRPr="00573809" w:rsidRDefault="00574460" w:rsidP="00574460">
      <w:pPr>
        <w:pStyle w:val="ListParagraph"/>
        <w:numPr>
          <w:ilvl w:val="0"/>
          <w:numId w:val="157"/>
        </w:numPr>
        <w:rPr>
          <w:rFonts w:ascii="Calibri" w:hAnsi="Calibri"/>
          <w:b/>
          <w:bCs/>
          <w:color w:val="000000"/>
          <w:sz w:val="28"/>
          <w:szCs w:val="22"/>
        </w:rPr>
      </w:pPr>
      <w:r w:rsidRPr="00573809">
        <w:rPr>
          <w:rFonts w:ascii="Calibri" w:hAnsi="Calibri"/>
          <w:b/>
          <w:bCs/>
          <w:color w:val="000000"/>
          <w:sz w:val="28"/>
          <w:szCs w:val="22"/>
        </w:rPr>
        <w:lastRenderedPageBreak/>
        <w:t>General FOA Definitions</w:t>
      </w:r>
    </w:p>
    <w:p w14:paraId="7AE78D01" w14:textId="77777777" w:rsidR="00574460" w:rsidRDefault="00574460" w:rsidP="00574460"/>
    <w:p w14:paraId="2019541B" w14:textId="77777777" w:rsidR="00574460" w:rsidRPr="008A16FA" w:rsidRDefault="00574460" w:rsidP="00574460">
      <w:r w:rsidRPr="008A16FA">
        <w:t>Applicant – The lead organization submitting an application under the FOA.</w:t>
      </w:r>
    </w:p>
    <w:p w14:paraId="06BC434A" w14:textId="77777777" w:rsidR="00574460" w:rsidRPr="008A16FA" w:rsidRDefault="00574460" w:rsidP="00574460"/>
    <w:p w14:paraId="7F6E1930" w14:textId="77777777" w:rsidR="00574460" w:rsidRPr="009079A7" w:rsidRDefault="00574460" w:rsidP="00574460">
      <w:r>
        <w:t xml:space="preserve">Continuation application – </w:t>
      </w:r>
      <w:r w:rsidRPr="009079A7">
        <w:t>A non-competitive application for an additional budget period within a previously approved project period.</w:t>
      </w:r>
      <w:r>
        <w:t xml:space="preserve"> </w:t>
      </w:r>
      <w:r w:rsidRPr="009079A7">
        <w:t xml:space="preserve">At least </w:t>
      </w:r>
      <w:r w:rsidRPr="00EB7AC8">
        <w:t xml:space="preserve">ninety </w:t>
      </w:r>
      <w:r w:rsidRPr="00F4062C">
        <w:t xml:space="preserve">(90) </w:t>
      </w:r>
      <w:r w:rsidRPr="00EB7AC8">
        <w:t>days</w:t>
      </w:r>
      <w:r w:rsidRPr="009079A7">
        <w:t xml:space="preserve"> before the end of each budget period, the Recipient must submit to </w:t>
      </w:r>
      <w:r>
        <w:t xml:space="preserve">EERE </w:t>
      </w:r>
      <w:r w:rsidRPr="009079A7">
        <w:t>its continuation application, which includes the following information:</w:t>
      </w:r>
    </w:p>
    <w:p w14:paraId="3DC94631" w14:textId="77777777" w:rsidR="00574460" w:rsidRPr="009079A7" w:rsidRDefault="00574460" w:rsidP="00574460"/>
    <w:p w14:paraId="6D969419" w14:textId="77777777" w:rsidR="00574460" w:rsidRPr="009079A7" w:rsidRDefault="00574460" w:rsidP="00574460">
      <w:pPr>
        <w:numPr>
          <w:ilvl w:val="2"/>
          <w:numId w:val="51"/>
        </w:numPr>
        <w:ind w:left="900"/>
      </w:pPr>
      <w:r w:rsidRPr="009079A7">
        <w:t>A report on the Recipient’s progress towards meeting the objectives of the project, including any significant findings, conclusions, or developments, and an estimate of any unobligated balances remaining at the end of the budget period.</w:t>
      </w:r>
      <w:r>
        <w:t xml:space="preserve"> </w:t>
      </w:r>
      <w:r w:rsidRPr="009079A7">
        <w:t>If the remaining unobligated balance is estimated to exceed 20 percent of the funds available for the budget period, explain why the excess funds have not been obligated and how they will be used in the next budget period.</w:t>
      </w:r>
    </w:p>
    <w:p w14:paraId="44BC7C2B" w14:textId="77777777" w:rsidR="00574460" w:rsidRPr="009079A7" w:rsidRDefault="00574460" w:rsidP="00574460"/>
    <w:p w14:paraId="0DF4457B" w14:textId="77777777" w:rsidR="00574460" w:rsidRPr="009079A7" w:rsidRDefault="00574460" w:rsidP="00574460">
      <w:pPr>
        <w:numPr>
          <w:ilvl w:val="2"/>
          <w:numId w:val="51"/>
        </w:numPr>
        <w:ind w:left="900"/>
      </w:pPr>
      <w:r w:rsidRPr="009079A7">
        <w:t xml:space="preserve">A detailed budget and supporting justification if there are changes to the negotiated budget, or a budget for the upcoming budget period was not approved at the time of award. </w:t>
      </w:r>
    </w:p>
    <w:p w14:paraId="6F1A3A93" w14:textId="77777777" w:rsidR="00574460" w:rsidRPr="009079A7" w:rsidRDefault="00574460" w:rsidP="00574460"/>
    <w:p w14:paraId="5C4610C3" w14:textId="77777777" w:rsidR="00574460" w:rsidRDefault="00574460" w:rsidP="00574460">
      <w:pPr>
        <w:numPr>
          <w:ilvl w:val="2"/>
          <w:numId w:val="51"/>
        </w:numPr>
        <w:tabs>
          <w:tab w:val="left" w:pos="990"/>
        </w:tabs>
        <w:ind w:left="900"/>
      </w:pPr>
      <w:r w:rsidRPr="009079A7">
        <w:t>A description of any planned changes from the negotiated Statement of Project Objectives and/or Milestone Summary Table.</w:t>
      </w:r>
    </w:p>
    <w:p w14:paraId="06FDF052" w14:textId="77777777" w:rsidR="00574460" w:rsidRDefault="00574460" w:rsidP="00574460"/>
    <w:p w14:paraId="56F92758" w14:textId="4D8D8F2D" w:rsidR="00574460" w:rsidRDefault="00574460" w:rsidP="00574460">
      <w:pPr>
        <w:rPr>
          <w:rStyle w:val="Hyperlink"/>
        </w:rPr>
      </w:pPr>
      <w:r w:rsidRPr="008A16FA">
        <w:t xml:space="preserve">Cooperative Research and Development Agreement (CRADA) – a contractual agreement between a national laboratory contractor and a private company or university to work together on research and development. For more information, see </w:t>
      </w:r>
      <w:hyperlink r:id="rId81" w:history="1">
        <w:r w:rsidRPr="008A16FA">
          <w:rPr>
            <w:rStyle w:val="Hyperlink"/>
          </w:rPr>
          <w:t>https://www.energy.gov/gc/downloads/doe-cooperative-research-and-development-agreements</w:t>
        </w:r>
      </w:hyperlink>
    </w:p>
    <w:p w14:paraId="2F674598" w14:textId="77777777" w:rsidR="00574460" w:rsidRDefault="00574460" w:rsidP="00574460"/>
    <w:p w14:paraId="27E59DE7" w14:textId="7509B91C" w:rsidR="00574460" w:rsidRPr="008A16FA" w:rsidRDefault="00574460" w:rsidP="00574460">
      <w:r w:rsidRPr="00A45FCD">
        <w:t>Federally Funded Research and Development Centers (FFRDC)</w:t>
      </w:r>
      <w:r>
        <w:t xml:space="preserve"> - FFRDCs </w:t>
      </w:r>
      <w:r w:rsidRPr="00A45FCD">
        <w:t xml:space="preserve">are public-private partnerships which conduct </w:t>
      </w:r>
      <w:r>
        <w:t>research for the United States g</w:t>
      </w:r>
      <w:r w:rsidRPr="00A45FCD">
        <w:t>overnment.</w:t>
      </w:r>
      <w:r>
        <w:t xml:space="preserve"> A </w:t>
      </w:r>
      <w:r w:rsidRPr="009120F7">
        <w:t>list</w:t>
      </w:r>
      <w:r>
        <w:t>ing</w:t>
      </w:r>
      <w:r w:rsidRPr="009120F7">
        <w:t xml:space="preserve"> </w:t>
      </w:r>
      <w:r>
        <w:t xml:space="preserve">of FFRDCs </w:t>
      </w:r>
      <w:r w:rsidRPr="009120F7">
        <w:t xml:space="preserve">can be found at </w:t>
      </w:r>
      <w:hyperlink r:id="rId82" w:history="1">
        <w:r w:rsidRPr="00BD46BF">
          <w:rPr>
            <w:rStyle w:val="Hyperlink"/>
          </w:rPr>
          <w:t>http://www.nsf.gov/statistics/ffrdclist/</w:t>
        </w:r>
      </w:hyperlink>
      <w:r>
        <w:t xml:space="preserve">. </w:t>
      </w:r>
    </w:p>
    <w:p w14:paraId="2EE77DE9" w14:textId="77777777" w:rsidR="00574460" w:rsidRPr="00020CBE" w:rsidRDefault="00574460" w:rsidP="00574460"/>
    <w:p w14:paraId="01D62911" w14:textId="77777777" w:rsidR="00574460" w:rsidRDefault="00574460" w:rsidP="00574460">
      <w:pPr>
        <w:rPr>
          <w:rFonts w:ascii="Calibri" w:hAnsi="Calibri"/>
          <w:color w:val="000000"/>
          <w:sz w:val="22"/>
        </w:rPr>
      </w:pPr>
      <w:r>
        <w:t xml:space="preserve">Go/No-Go Decision Points: – A </w:t>
      </w:r>
      <w:r>
        <w:rPr>
          <w:color w:val="000000"/>
        </w:rPr>
        <w:t>decision point at the end of a budget period that defines the overall objectives, milestones and deliverables to be achieved by the recipient in that budget period. As of a result of EERE’s review, EERE may take one of the following actions: 1) authorize federal funding for the next budget period; 2) recommend redirection of work; 3) discontinue providing federal funding beyond the current budget period; or 4) place a hold on federal funding pending further supporting data.</w:t>
      </w:r>
    </w:p>
    <w:p w14:paraId="0FF2275A" w14:textId="77777777" w:rsidR="00574460" w:rsidRPr="008A16FA" w:rsidRDefault="00574460" w:rsidP="00574460"/>
    <w:p w14:paraId="57DC67AF" w14:textId="77777777" w:rsidR="00574460" w:rsidRPr="008A16FA" w:rsidRDefault="00574460" w:rsidP="00574460">
      <w:r w:rsidRPr="008A16FA">
        <w:t xml:space="preserve">Project – The entire scope of the cooperative agreement which is contained in the recipient’s Statement of Project Objectives. </w:t>
      </w:r>
    </w:p>
    <w:p w14:paraId="3D829A10" w14:textId="77777777" w:rsidR="00574460" w:rsidRPr="008A16FA" w:rsidRDefault="00574460" w:rsidP="00574460"/>
    <w:p w14:paraId="565D2A75" w14:textId="77777777" w:rsidR="00574460" w:rsidRPr="008A16FA" w:rsidRDefault="00574460" w:rsidP="00574460">
      <w:r w:rsidRPr="008A16FA">
        <w:t>Recipie</w:t>
      </w:r>
      <w:r>
        <w:t>nt or “Prime Recipient” – A non-f</w:t>
      </w:r>
      <w:r w:rsidRPr="008A16FA">
        <w:t xml:space="preserve">ederal entity that receives a </w:t>
      </w:r>
      <w:r>
        <w:t>f</w:t>
      </w:r>
      <w:r w:rsidRPr="008A16FA">
        <w:t xml:space="preserve">ederal award directly from a </w:t>
      </w:r>
      <w:r>
        <w:t>f</w:t>
      </w:r>
      <w:r w:rsidRPr="008A16FA">
        <w:t xml:space="preserve">ederal awarding agency to carry out an activity under a </w:t>
      </w:r>
      <w:r>
        <w:t>f</w:t>
      </w:r>
      <w:r w:rsidRPr="008A16FA">
        <w:t>ederal program. The term recipient does not include subrecipients.</w:t>
      </w:r>
    </w:p>
    <w:p w14:paraId="4F32B1C1" w14:textId="77777777" w:rsidR="00574460" w:rsidRPr="008A16FA" w:rsidRDefault="00574460" w:rsidP="00574460"/>
    <w:p w14:paraId="434AB0CE" w14:textId="43699FD2" w:rsidR="006F7D1C" w:rsidRPr="00A34C9A" w:rsidRDefault="00574460" w:rsidP="00A34C9A">
      <w:r>
        <w:t>Subrecipient – A non-f</w:t>
      </w:r>
      <w:r w:rsidRPr="008A16FA">
        <w:t>ederal entity that receives a subaward from a pass-through</w:t>
      </w:r>
      <w:r>
        <w:t xml:space="preserve"> entity to carry out part of a f</w:t>
      </w:r>
      <w:r w:rsidRPr="008A16FA">
        <w:t>ederal program; but does not include an individual that is a beneficiary of such program. A subrecipient ma</w:t>
      </w:r>
      <w:r>
        <w:t>y also be a recipient of other f</w:t>
      </w:r>
      <w:r w:rsidRPr="008A16FA">
        <w:t xml:space="preserve">ederal awards directly from a </w:t>
      </w:r>
      <w:r>
        <w:t>f</w:t>
      </w:r>
      <w:r w:rsidRPr="008A16FA">
        <w:t>ederal awarding agency.</w:t>
      </w:r>
      <w:r>
        <w:t xml:space="preserve"> Also, a </w:t>
      </w:r>
      <w:r w:rsidRPr="008A16FA">
        <w:t>DOE/NNSA and non-DOE/NN</w:t>
      </w:r>
      <w:r>
        <w:t>SA FFRDC may be proposed as a s</w:t>
      </w:r>
      <w:r w:rsidRPr="008A16FA">
        <w:t>ubrecipient on another entity’s application</w:t>
      </w:r>
      <w:r>
        <w:t xml:space="preserve">. See section III.E.ii. </w:t>
      </w:r>
    </w:p>
    <w:sectPr w:rsidR="006F7D1C" w:rsidRPr="00A34C9A" w:rsidSect="002B6C14">
      <w:type w:val="continuous"/>
      <w:pgSz w:w="12240" w:h="15840" w:code="1"/>
      <w:pgMar w:top="1728"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9F1B6" w14:textId="77777777" w:rsidR="00F541C4" w:rsidRDefault="00F541C4">
      <w:r>
        <w:separator/>
      </w:r>
    </w:p>
  </w:endnote>
  <w:endnote w:type="continuationSeparator" w:id="0">
    <w:p w14:paraId="18CD1B90" w14:textId="77777777" w:rsidR="00F541C4" w:rsidRDefault="00F541C4">
      <w:r>
        <w:continuationSeparator/>
      </w:r>
    </w:p>
  </w:endnote>
  <w:endnote w:type="continuationNotice" w:id="1">
    <w:p w14:paraId="171C80D3" w14:textId="77777777" w:rsidR="00F541C4" w:rsidRDefault="00F54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Times New Roman"/>
    <w:panose1 w:val="00000000000000000000"/>
    <w:charset w:val="00"/>
    <w:family w:val="roman"/>
    <w:notTrueType/>
    <w:pitch w:val="default"/>
  </w:font>
  <w:font w:name="TT13Et00">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600E7" w14:textId="3BDE0798" w:rsidR="000A0B55" w:rsidRDefault="000A0B55" w:rsidP="009F07F7">
    <w:pPr>
      <w:pStyle w:val="Footer"/>
      <w:jc w:val="center"/>
      <w:rPr>
        <w:i/>
        <w:sz w:val="20"/>
      </w:rPr>
    </w:pPr>
    <w:r w:rsidRPr="00187415">
      <w:rPr>
        <w:i/>
        <w:sz w:val="20"/>
      </w:rPr>
      <w:t xml:space="preserve">Questions about this FOA? </w:t>
    </w:r>
    <w:r w:rsidR="00EC689A">
      <w:rPr>
        <w:i/>
        <w:sz w:val="20"/>
      </w:rPr>
      <w:t>FY24BETO</w:t>
    </w:r>
    <w:r w:rsidR="00986C15">
      <w:rPr>
        <w:i/>
        <w:sz w:val="20"/>
      </w:rPr>
      <w:t>SCALE-UP</w:t>
    </w:r>
    <w:r w:rsidR="00EC689A">
      <w:rPr>
        <w:i/>
        <w:sz w:val="20"/>
      </w:rPr>
      <w:t>@ee.doe.gov</w:t>
    </w:r>
    <w:r w:rsidR="00EC689A" w:rsidRPr="009F07F7" w:rsidDel="00EC689A">
      <w:rPr>
        <w:i/>
        <w:sz w:val="20"/>
        <w:highlight w:val="yellow"/>
      </w:rPr>
      <w:t xml:space="preserve"> </w:t>
    </w:r>
  </w:p>
  <w:p w14:paraId="52D68AFD" w14:textId="2CBA097C" w:rsidR="000A0B55" w:rsidRDefault="000A0B55" w:rsidP="009F07F7">
    <w:pPr>
      <w:pStyle w:val="Footer"/>
      <w:jc w:val="center"/>
    </w:pPr>
    <w:r w:rsidRPr="00187415">
      <w:rPr>
        <w:i/>
        <w:sz w:val="20"/>
      </w:rPr>
      <w:t xml:space="preserve">Problems with EERE Exchange? Email </w:t>
    </w:r>
    <w:hyperlink r:id="rId1" w:history="1">
      <w:r w:rsidRPr="00187415">
        <w:rPr>
          <w:rStyle w:val="Hyperlink"/>
          <w:i/>
          <w:sz w:val="20"/>
        </w:rPr>
        <w:t>EERE-ExchangeSupport@hq.doe.gov</w:t>
      </w:r>
    </w:hyperlink>
    <w:r w:rsidRPr="00187415">
      <w:rPr>
        <w:i/>
        <w:sz w:val="20"/>
      </w:rPr>
      <w:t xml:space="preserve"> Include FOA name and number in subject line.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B024A" w14:textId="25CD80A3" w:rsidR="000A0B55" w:rsidRPr="00A53BBC" w:rsidRDefault="000A0B55" w:rsidP="00F2386A">
    <w:pPr>
      <w:pStyle w:val="Footer"/>
      <w:jc w:val="center"/>
      <w:rPr>
        <w:b/>
        <w:color w:val="0000CC"/>
        <w:sz w:val="40"/>
        <w:szCs w:val="40"/>
      </w:rPr>
    </w:pPr>
    <w:r>
      <w:rPr>
        <w:noProof/>
      </w:rPr>
      <mc:AlternateContent>
        <mc:Choice Requires="wps">
          <w:drawing>
            <wp:anchor distT="0" distB="0" distL="114300" distR="114300" simplePos="0" relativeHeight="251658246" behindDoc="1" locked="0" layoutInCell="1" allowOverlap="1" wp14:anchorId="57CCAB41" wp14:editId="11040B81">
              <wp:simplePos x="0" y="0"/>
              <wp:positionH relativeFrom="column">
                <wp:posOffset>-457200</wp:posOffset>
              </wp:positionH>
              <wp:positionV relativeFrom="page">
                <wp:posOffset>9477375</wp:posOffset>
              </wp:positionV>
              <wp:extent cx="6583680" cy="54610"/>
              <wp:effectExtent l="0" t="0" r="7620" b="2540"/>
              <wp:wrapTight wrapText="bothSides">
                <wp:wrapPolygon edited="0">
                  <wp:start x="0" y="0"/>
                  <wp:lineTo x="0" y="15070"/>
                  <wp:lineTo x="21563" y="15070"/>
                  <wp:lineTo x="21563" y="0"/>
                  <wp:lineTo x="0"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7934"/>
                      </a:solid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BA7F0" id="Rectangle 2" o:spid="_x0000_s1026" style="position:absolute;margin-left:-36pt;margin-top:746.25pt;width:518.4pt;height:4.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" fillcolor="#007934" stroked="f">
              <v:textbox inset=",7.2pt,,7.2pt"/>
              <w10:wrap type="tight" anchory="page"/>
            </v:rect>
          </w:pict>
        </mc:Fallback>
      </mc:AlternateContent>
    </w:r>
    <w:r w:rsidRPr="00A53BBC">
      <w:rPr>
        <w:noProof/>
        <w:color w:val="0000CC"/>
      </w:rPr>
      <mc:AlternateContent>
        <mc:Choice Requires="wps">
          <w:drawing>
            <wp:anchor distT="0" distB="0" distL="114300" distR="114300" simplePos="0" relativeHeight="251658240" behindDoc="1" locked="0" layoutInCell="1" allowOverlap="1" wp14:anchorId="4F4ACB62" wp14:editId="3F12935C">
              <wp:simplePos x="0" y="0"/>
              <wp:positionH relativeFrom="margin">
                <wp:align>center</wp:align>
              </wp:positionH>
              <wp:positionV relativeFrom="page">
                <wp:posOffset>9475470</wp:posOffset>
              </wp:positionV>
              <wp:extent cx="6858000" cy="54610"/>
              <wp:effectExtent l="0" t="0" r="0" b="2540"/>
              <wp:wrapTight wrapText="bothSides">
                <wp:wrapPolygon edited="0">
                  <wp:start x="0" y="0"/>
                  <wp:lineTo x="0" y="15070"/>
                  <wp:lineTo x="21540" y="15070"/>
                  <wp:lineTo x="21540" y="0"/>
                  <wp:lineTo x="0" y="0"/>
                </wp:wrapPolygon>
              </wp:wrapTight>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wps:wsp>
                </a:graphicData>
              </a:graphic>
              <wp14:sizeRelH relativeFrom="page">
                <wp14:pctWidth>0</wp14:pctWidth>
              </wp14:sizeRelH>
              <wp14:sizeRelV relativeFrom="page">
                <wp14:pctHeight>0</wp14:pctHeight>
              </wp14:sizeRelV>
            </wp:anchor>
          </w:drawing>
        </mc:Choice>
        <mc:Fallback>
          <w:pict>
            <v:rect w14:anchorId="79F021FC" id="Rectangle 10" o:spid="_x0000_s1026" style="position:absolute;margin-left:0;margin-top:746.1pt;width:540pt;height:4.3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" fillcolor="#006892" stroked="f" strokecolor="#4a7ebb" strokeweight="1.5pt">
              <v:shadow opacity="22938f" offset="0"/>
              <v:textbox inset=",7.2pt,,7.2pt"/>
              <w10:wrap type="tight" anchorx="margin" anchory="page"/>
            </v:rect>
          </w:pict>
        </mc:Fallback>
      </mc:AlternateContent>
    </w:r>
  </w:p>
  <w:p w14:paraId="0493A45B" w14:textId="55DFE23A" w:rsidR="000A0B55" w:rsidRPr="00120F39" w:rsidRDefault="000A0B55" w:rsidP="1A7B1D95">
    <w:pPr>
      <w:pStyle w:val="Footer"/>
      <w:rPr>
        <w:i/>
        <w:iCs/>
        <w:sz w:val="20"/>
      </w:rPr>
    </w:pPr>
    <w:r w:rsidRPr="1A7B1D95">
      <w:rPr>
        <w:i/>
        <w:iCs/>
        <w:sz w:val="20"/>
      </w:rPr>
      <w:t>Template Version</w:t>
    </w:r>
    <w:r w:rsidR="000C60FD" w:rsidRPr="1A7B1D95">
      <w:rPr>
        <w:i/>
        <w:iCs/>
        <w:sz w:val="20"/>
      </w:rPr>
      <w:t xml:space="preserve"> November </w:t>
    </w:r>
    <w:r w:rsidR="007A657A" w:rsidRPr="1A7B1D95">
      <w:rPr>
        <w:i/>
        <w:iCs/>
        <w:sz w:val="20"/>
      </w:rPr>
      <w:t>2023</w:t>
    </w:r>
    <w:r>
      <w:rPr>
        <w:i/>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31A01" w14:textId="66A44A46" w:rsidR="000A0B55" w:rsidRDefault="000A0B55" w:rsidP="003A2EEC">
    <w:pPr>
      <w:pStyle w:val="Footer"/>
      <w:jc w:val="center"/>
      <w:rPr>
        <w:i/>
        <w:sz w:val="20"/>
      </w:rPr>
    </w:pPr>
    <w:r w:rsidRPr="003A2EEC">
      <w:rPr>
        <w:i/>
        <w:sz w:val="20"/>
      </w:rPr>
      <w:t xml:space="preserve"> </w:t>
    </w:r>
    <w:r w:rsidRPr="00187415">
      <w:rPr>
        <w:i/>
        <w:sz w:val="20"/>
      </w:rPr>
      <w:t xml:space="preserve">Questions about this FOA? </w:t>
    </w:r>
    <w:r w:rsidR="00EC689A">
      <w:rPr>
        <w:i/>
        <w:sz w:val="20"/>
      </w:rPr>
      <w:t>FY24BETO</w:t>
    </w:r>
    <w:r w:rsidR="00986C15">
      <w:rPr>
        <w:i/>
        <w:sz w:val="20"/>
      </w:rPr>
      <w:t>SCALE-UP</w:t>
    </w:r>
    <w:r w:rsidR="00EC689A">
      <w:rPr>
        <w:i/>
        <w:sz w:val="20"/>
      </w:rPr>
      <w:t>@ee.doe.gov</w:t>
    </w:r>
    <w:r w:rsidR="00EC689A" w:rsidRPr="00A80F96" w:rsidDel="00EC689A">
      <w:rPr>
        <w:i/>
        <w:sz w:val="20"/>
        <w:highlight w:val="yellow"/>
      </w:rPr>
      <w:t xml:space="preserve"> </w:t>
    </w:r>
  </w:p>
  <w:p w14:paraId="043AA73B" w14:textId="63637EDD" w:rsidR="000A0B55" w:rsidRDefault="000A0B55" w:rsidP="009F07F7">
    <w:pPr>
      <w:jc w:val="center"/>
    </w:pPr>
    <w:r w:rsidRPr="00187415">
      <w:rPr>
        <w:i/>
        <w:sz w:val="20"/>
      </w:rPr>
      <w:t xml:space="preserve">Problems with EERE Exchange? Email </w:t>
    </w:r>
    <w:hyperlink r:id="rId1" w:history="1">
      <w:r w:rsidRPr="00187415">
        <w:rPr>
          <w:rStyle w:val="Hyperlink"/>
          <w:i/>
          <w:sz w:val="20"/>
        </w:rPr>
        <w:t>EERE-ExchangeSupport@hq.doe.gov</w:t>
      </w:r>
    </w:hyperlink>
    <w:r w:rsidRPr="00187415">
      <w:rPr>
        <w:i/>
        <w:sz w:val="20"/>
      </w:rPr>
      <w:t xml:space="preserve"> Include FOA name and number in</w:t>
    </w:r>
    <w:r>
      <w:rPr>
        <w:i/>
        <w:sz w:val="20"/>
      </w:rPr>
      <w:t xml:space="preserve"> </w:t>
    </w:r>
    <w:r w:rsidRPr="00187415">
      <w:rPr>
        <w:i/>
        <w:sz w:val="20"/>
      </w:rPr>
      <w:t>subject line.</w:t>
    </w:r>
  </w:p>
  <w:p w14:paraId="592E372F" w14:textId="549AB25E" w:rsidR="000A0B55" w:rsidRPr="007C37BD" w:rsidRDefault="000A0B55" w:rsidP="003F2B17">
    <w:pPr>
      <w:pStyle w:val="Footer"/>
      <w:framePr w:wrap="around" w:vAnchor="text" w:hAnchor="page" w:x="10937" w:y="22"/>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Pr>
        <w:rStyle w:val="PageNumber"/>
        <w:noProof/>
        <w:sz w:val="18"/>
      </w:rPr>
      <w:t>iv</w:t>
    </w:r>
    <w:r w:rsidRPr="007C37BD">
      <w:rPr>
        <w:rStyle w:val="PageNumber"/>
        <w:sz w:val="18"/>
      </w:rPr>
      <w:fldChar w:fldCharType="end"/>
    </w:r>
  </w:p>
  <w:p w14:paraId="5D07DB1E" w14:textId="0ED7E50F" w:rsidR="000A0B55" w:rsidRDefault="000A0B55" w:rsidP="00B07932">
    <w:pPr>
      <w:pStyle w:val="Footer"/>
    </w:pPr>
    <w:r>
      <w:rPr>
        <w:i/>
        <w:noProof/>
        <w:sz w:val="20"/>
      </w:rPr>
      <mc:AlternateContent>
        <mc:Choice Requires="wps">
          <w:drawing>
            <wp:anchor distT="0" distB="0" distL="114300" distR="114300" simplePos="0" relativeHeight="251658244" behindDoc="0" locked="0" layoutInCell="1" allowOverlap="1" wp14:anchorId="6E023E98" wp14:editId="5C42C891">
              <wp:simplePos x="0" y="0"/>
              <wp:positionH relativeFrom="column">
                <wp:posOffset>-327355</wp:posOffset>
              </wp:positionH>
              <wp:positionV relativeFrom="paragraph">
                <wp:posOffset>24968</wp:posOffset>
              </wp:positionV>
              <wp:extent cx="6537278"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6537278" cy="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F2532F" id="Straight Connector 5"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5.8pt,1.95pt" to="488.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" strokecolor="gray [1629]" strokeweight="1.5p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741233"/>
      <w:docPartObj>
        <w:docPartGallery w:val="Page Numbers (Bottom of Page)"/>
        <w:docPartUnique/>
      </w:docPartObj>
    </w:sdtPr>
    <w:sdtEndPr>
      <w:rPr>
        <w:noProof/>
      </w:rPr>
    </w:sdtEndPr>
    <w:sdtContent>
      <w:p w14:paraId="54334ADC" w14:textId="671D091B" w:rsidR="000A0B55" w:rsidRDefault="000A0B55" w:rsidP="00A93673">
        <w:pPr>
          <w:pStyle w:val="Footer"/>
          <w:jc w:val="center"/>
          <w:rPr>
            <w:i/>
            <w:sz w:val="20"/>
          </w:rPr>
        </w:pPr>
        <w:r w:rsidRPr="00187415">
          <w:rPr>
            <w:i/>
            <w:sz w:val="20"/>
          </w:rPr>
          <w:t>Questions about this FOA?</w:t>
        </w:r>
        <w:r w:rsidR="004C43D3">
          <w:rPr>
            <w:i/>
            <w:sz w:val="20"/>
          </w:rPr>
          <w:t xml:space="preserve"> FY24BETO</w:t>
        </w:r>
        <w:r w:rsidR="00986C15">
          <w:rPr>
            <w:i/>
            <w:sz w:val="20"/>
          </w:rPr>
          <w:t>SCALE-UP</w:t>
        </w:r>
        <w:r w:rsidR="004A31D1">
          <w:rPr>
            <w:i/>
            <w:sz w:val="20"/>
          </w:rPr>
          <w:t>@ee.doe.gov</w:t>
        </w:r>
      </w:p>
      <w:p w14:paraId="32F04234" w14:textId="3614BE53" w:rsidR="000A0B55" w:rsidRDefault="000A0B55" w:rsidP="00B96293">
        <w:pPr>
          <w:jc w:val="center"/>
        </w:pPr>
        <w:r w:rsidRPr="00187415">
          <w:rPr>
            <w:i/>
            <w:sz w:val="20"/>
          </w:rPr>
          <w:t xml:space="preserve">Problems with EERE Exchange? Email </w:t>
        </w:r>
        <w:hyperlink r:id="rId1" w:history="1">
          <w:r w:rsidRPr="00187415">
            <w:rPr>
              <w:rStyle w:val="Hyperlink"/>
              <w:i/>
              <w:sz w:val="20"/>
            </w:rPr>
            <w:t>EERE-ExchangeSupport@hq.doe.gov</w:t>
          </w:r>
        </w:hyperlink>
        <w:r w:rsidRPr="00187415">
          <w:rPr>
            <w:i/>
            <w:sz w:val="20"/>
          </w:rPr>
          <w:t xml:space="preserve"> Include FOA name and number in subject line.</w:t>
        </w:r>
      </w:p>
      <w:p w14:paraId="46288BFF" w14:textId="039B3726" w:rsidR="000A0B55" w:rsidRPr="00A53BBC" w:rsidRDefault="000A0B55" w:rsidP="00EA72D5">
        <w:pPr>
          <w:spacing w:before="240"/>
          <w:ind w:right="-540"/>
          <w:jc w:val="center"/>
          <w:rPr>
            <w:i/>
          </w:rPr>
        </w:pPr>
        <w:r>
          <w:rPr>
            <w:i/>
            <w:noProof/>
            <w:sz w:val="20"/>
          </w:rPr>
          <mc:AlternateContent>
            <mc:Choice Requires="wps">
              <w:drawing>
                <wp:anchor distT="0" distB="0" distL="114300" distR="114300" simplePos="0" relativeHeight="251658245" behindDoc="0" locked="0" layoutInCell="1" allowOverlap="1" wp14:anchorId="7347D910" wp14:editId="09154BA7">
                  <wp:simplePos x="0" y="0"/>
                  <wp:positionH relativeFrom="margin">
                    <wp:align>center</wp:align>
                  </wp:positionH>
                  <wp:positionV relativeFrom="paragraph">
                    <wp:posOffset>33020</wp:posOffset>
                  </wp:positionV>
                  <wp:extent cx="653669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536690" cy="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0C235C" id="Straight Connector 11" o:spid="_x0000_s1026" style="position:absolute;z-index:251659776;visibility:visible;mso-wrap-style:square;mso-wrap-distance-left:9pt;mso-wrap-distance-top:0;mso-wrap-distance-right:9pt;mso-wrap-distance-bottom:0;mso-position-horizontal:center;mso-position-horizontal-relative:margin;mso-position-vertical:absolute;mso-position-vertical-relative:text" from="0,2.6pt" to="514.7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" strokecolor="gray [1629]" strokeweight="1.5pt">
                  <w10:wrap anchorx="margin"/>
                </v:line>
              </w:pict>
            </mc:Fallback>
          </mc:AlternateContent>
        </w:r>
        <w:r>
          <w:ptab w:relativeTo="margin" w:alignment="right" w:leader="none"/>
        </w:r>
        <w:r>
          <w:t xml:space="preserve"> </w:t>
        </w:r>
        <w:r w:rsidRPr="00A53BBC">
          <w:rPr>
            <w:sz w:val="22"/>
            <w:szCs w:val="22"/>
          </w:rPr>
          <w:fldChar w:fldCharType="begin"/>
        </w:r>
        <w:r w:rsidRPr="00A53BBC">
          <w:rPr>
            <w:sz w:val="22"/>
            <w:szCs w:val="22"/>
          </w:rPr>
          <w:instrText xml:space="preserve"> PAGE  \* Arabic  \* MERGEFORMAT </w:instrText>
        </w:r>
        <w:r w:rsidRPr="00A53BBC">
          <w:rPr>
            <w:sz w:val="22"/>
            <w:szCs w:val="22"/>
          </w:rPr>
          <w:fldChar w:fldCharType="separate"/>
        </w:r>
        <w:r>
          <w:rPr>
            <w:noProof/>
            <w:sz w:val="22"/>
            <w:szCs w:val="22"/>
          </w:rPr>
          <w:t>65</w:t>
        </w:r>
        <w:r w:rsidRPr="00A53BBC">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9A168" w14:textId="77777777" w:rsidR="00F541C4" w:rsidRDefault="00F541C4">
      <w:r>
        <w:separator/>
      </w:r>
    </w:p>
  </w:footnote>
  <w:footnote w:type="continuationSeparator" w:id="0">
    <w:p w14:paraId="5D424774" w14:textId="77777777" w:rsidR="00F541C4" w:rsidRDefault="00F541C4">
      <w:r>
        <w:continuationSeparator/>
      </w:r>
    </w:p>
  </w:footnote>
  <w:footnote w:type="continuationNotice" w:id="1">
    <w:p w14:paraId="15ABF718" w14:textId="77777777" w:rsidR="00F541C4" w:rsidRDefault="00F541C4"/>
  </w:footnote>
  <w:footnote w:id="2">
    <w:p w14:paraId="6F4E714B" w14:textId="77777777" w:rsidR="00FC0DE0" w:rsidRDefault="00FC0DE0" w:rsidP="00FC0DE0">
      <w:pPr>
        <w:pStyle w:val="FootnoteText"/>
      </w:pPr>
      <w:r>
        <w:rPr>
          <w:rStyle w:val="FootnoteReference"/>
        </w:rPr>
        <w:footnoteRef/>
      </w:r>
      <w:r>
        <w:t xml:space="preserve"> </w:t>
      </w:r>
      <w:r w:rsidRPr="00CC2568">
        <w:t>Executive Order 14008, “Tackling the Climate Crisis at Home and Abroad,” January 27, 2021.</w:t>
      </w:r>
    </w:p>
  </w:footnote>
  <w:footnote w:id="3">
    <w:p w14:paraId="2F5D2E0D" w14:textId="77777777" w:rsidR="00FC0DE0" w:rsidRDefault="00FC0DE0" w:rsidP="00FC0DE0">
      <w:pPr>
        <w:pStyle w:val="FootnoteText"/>
      </w:pPr>
      <w:r>
        <w:rPr>
          <w:rStyle w:val="FootnoteReference"/>
        </w:rPr>
        <w:footnoteRef/>
      </w:r>
      <w:r>
        <w:t xml:space="preserve"> </w:t>
      </w:r>
      <w:r w:rsidRPr="00DD2778">
        <w:t>https://www.eia.gov/energyexplained/use-of-energy/transportation.php</w:t>
      </w:r>
      <w:r>
        <w:t>.</w:t>
      </w:r>
    </w:p>
  </w:footnote>
  <w:footnote w:id="4">
    <w:p w14:paraId="24BC8077" w14:textId="77777777" w:rsidR="00FC0DE0" w:rsidRDefault="00FC0DE0" w:rsidP="00FC0DE0">
      <w:pPr>
        <w:pStyle w:val="FootnoteText"/>
      </w:pPr>
      <w:r>
        <w:rPr>
          <w:rStyle w:val="FootnoteReference"/>
        </w:rPr>
        <w:footnoteRef/>
      </w:r>
      <w:r>
        <w:t xml:space="preserve"> </w:t>
      </w:r>
      <w:r w:rsidRPr="004F7111">
        <w:t>Davis, Stacy C., and Robert G. Boundy. Transportation Energy Data Book: Edition 39. Oak Ridge National Laboratory, 2020, https://doi.org/10.2172/1767864.</w:t>
      </w:r>
    </w:p>
  </w:footnote>
  <w:footnote w:id="5">
    <w:p w14:paraId="7737ACB3" w14:textId="684D7FB5" w:rsidR="00E1448D" w:rsidRDefault="00E1448D">
      <w:pPr>
        <w:pStyle w:val="FootnoteText"/>
      </w:pPr>
      <w:r>
        <w:rPr>
          <w:rStyle w:val="FootnoteReference"/>
        </w:rPr>
        <w:footnoteRef/>
      </w:r>
      <w:r>
        <w:t xml:space="preserve"> </w:t>
      </w:r>
      <w:r w:rsidR="004337F1">
        <w:t>U.S. Department of Energy. 2024. 2023 Billion‐Ton Report: An Assessment of U.S. Renewable Carbon Resources. M. H. Langholtz (Lead). Oak Ridge, TN: Oak Ridge National Laboratory. ORNL/SPR-2024/3103. doi: 10.23720/BT2023/2316165.</w:t>
      </w:r>
    </w:p>
  </w:footnote>
  <w:footnote w:id="6">
    <w:p w14:paraId="35AF68C6" w14:textId="58088581" w:rsidR="00F143AF" w:rsidRDefault="00F143AF">
      <w:pPr>
        <w:pStyle w:val="FootnoteText"/>
      </w:pPr>
      <w:r>
        <w:rPr>
          <w:rStyle w:val="FootnoteReference"/>
        </w:rPr>
        <w:footnoteRef/>
      </w:r>
      <w:r>
        <w:t xml:space="preserve"> </w:t>
      </w:r>
      <w:r w:rsidRPr="00F143AF">
        <w:t>https://www.energy.gov/eere/bioenergy/sustainable-aviation-fuel-grand-challenge</w:t>
      </w:r>
    </w:p>
  </w:footnote>
  <w:footnote w:id="7">
    <w:p w14:paraId="3A30952F" w14:textId="77777777" w:rsidR="00FC0DE0" w:rsidRDefault="00FC0DE0" w:rsidP="00FC0DE0">
      <w:pPr>
        <w:rPr>
          <w:rFonts w:ascii="Calibri" w:hAnsi="Calibri" w:cs="Calibri"/>
          <w:color w:val="000000"/>
          <w:sz w:val="20"/>
        </w:rPr>
      </w:pPr>
      <w:r>
        <w:rPr>
          <w:rStyle w:val="FootnoteReference"/>
        </w:rPr>
        <w:footnoteRef/>
      </w:r>
      <w:r>
        <w:rPr>
          <w:rFonts w:ascii="Calibri" w:hAnsi="Calibri"/>
          <w:color w:val="000000"/>
          <w:sz w:val="20"/>
        </w:rPr>
        <w:t xml:space="preserve"> </w:t>
      </w:r>
      <w:r w:rsidRPr="00E82D6F">
        <w:rPr>
          <w:rFonts w:ascii="Calibri" w:hAnsi="Calibri"/>
          <w:color w:val="000000"/>
          <w:sz w:val="20"/>
        </w:rPr>
        <w:t>D. S. Hartley, D. N. Thompson, and H. Cai, Woody Feedstocks 2019 State of Technology Report (Idaho Falls, ID: Idaho National Laboratory, INL/EXT-20-57181, 2019), https://inldigitallibrary.inl.gov/sites/sti/sti/Sort_21882.pdf.</w:t>
      </w:r>
    </w:p>
  </w:footnote>
  <w:footnote w:id="8">
    <w:p w14:paraId="5A0945C0" w14:textId="77777777" w:rsidR="00354BC7" w:rsidRPr="009B117D" w:rsidRDefault="00354BC7" w:rsidP="00354BC7">
      <w:pPr>
        <w:pStyle w:val="FootnoteText"/>
        <w:rPr>
          <w:lang w:val="nl-NL"/>
        </w:rPr>
      </w:pPr>
      <w:r>
        <w:rPr>
          <w:rStyle w:val="FootnoteReference"/>
        </w:rPr>
        <w:footnoteRef/>
      </w:r>
      <w:r w:rsidRPr="00505F1D">
        <w:t xml:space="preserve"> DOE. 2022. </w:t>
      </w:r>
      <w:r>
        <w:t xml:space="preserve">“Industrial Decarbonization Roadmap.” September 2022. </w:t>
      </w:r>
      <w:r w:rsidRPr="009B117D">
        <w:rPr>
          <w:lang w:val="nl-NL"/>
        </w:rPr>
        <w:t>Pg. 59. https://www.energy.gov/sites/default/files/2022-09/Industrial%20Decarbonization%20Roadmap.pdf</w:t>
      </w:r>
    </w:p>
  </w:footnote>
  <w:footnote w:id="9">
    <w:p w14:paraId="30C5BB4E" w14:textId="77777777" w:rsidR="00354BC7" w:rsidRPr="003F30D1" w:rsidRDefault="00354BC7" w:rsidP="00354BC7">
      <w:pPr>
        <w:pStyle w:val="FootnoteText"/>
      </w:pPr>
      <w:r>
        <w:rPr>
          <w:rStyle w:val="FootnoteReference"/>
        </w:rPr>
        <w:footnoteRef/>
      </w:r>
      <w:r>
        <w:t xml:space="preserve"> Nicholson SR et al., ACS Sustainable Chemistry and Engineering. 2023. </w:t>
      </w:r>
      <w:r w:rsidRPr="003F30D1">
        <w:t>DOI: 10.1021/acssuschemeng.2c05417</w:t>
      </w:r>
    </w:p>
    <w:p w14:paraId="2CAF7009" w14:textId="77777777" w:rsidR="00354BC7" w:rsidRDefault="00354BC7" w:rsidP="00354BC7">
      <w:pPr>
        <w:pStyle w:val="FootnoteText"/>
      </w:pPr>
    </w:p>
  </w:footnote>
  <w:footnote w:id="10">
    <w:p w14:paraId="5E9CC89E" w14:textId="77777777" w:rsidR="00FC0DE0" w:rsidRDefault="00FC0DE0" w:rsidP="00FC0DE0">
      <w:pPr>
        <w:pStyle w:val="FootnoteText"/>
      </w:pPr>
      <w:r>
        <w:rPr>
          <w:rStyle w:val="FootnoteReference"/>
        </w:rPr>
        <w:footnoteRef/>
      </w:r>
      <w:r>
        <w:t xml:space="preserve"> </w:t>
      </w:r>
      <w:r>
        <w:rPr>
          <w:rFonts w:ascii="Calibri" w:hAnsi="Calibri"/>
          <w:color w:val="000000"/>
        </w:rPr>
        <w:t>See Glossary (Appendix J) for sustainable aviation fuel (SAF) definition as it pertains to this FOA.</w:t>
      </w:r>
    </w:p>
  </w:footnote>
  <w:footnote w:id="11">
    <w:p w14:paraId="5ACA3324" w14:textId="0CA60424" w:rsidR="009876E9" w:rsidRDefault="009876E9">
      <w:pPr>
        <w:pStyle w:val="FootnoteText"/>
      </w:pPr>
      <w:r>
        <w:rPr>
          <w:rStyle w:val="FootnoteReference"/>
        </w:rPr>
        <w:footnoteRef/>
      </w:r>
      <w:r>
        <w:t xml:space="preserve"> </w:t>
      </w:r>
      <w:r w:rsidR="00B03F13">
        <w:rPr>
          <w:rFonts w:ascii="Calibri" w:hAnsi="Calibri"/>
          <w:color w:val="000000"/>
        </w:rPr>
        <w:t>See Glossary (Appendix J) for heavy-duty truck definition as it pertains to this FOA.</w:t>
      </w:r>
    </w:p>
  </w:footnote>
  <w:footnote w:id="12">
    <w:p w14:paraId="246B05BB" w14:textId="77777777" w:rsidR="00FC0DE0" w:rsidRDefault="00FC0DE0" w:rsidP="00FC0DE0">
      <w:pPr>
        <w:pStyle w:val="FootnoteText"/>
      </w:pPr>
      <w:r>
        <w:rPr>
          <w:rStyle w:val="FootnoteReference"/>
        </w:rPr>
        <w:footnoteRef/>
      </w:r>
      <w:r>
        <w:t xml:space="preserve"> </w:t>
      </w:r>
      <w:r>
        <w:rPr>
          <w:rFonts w:ascii="Calibri" w:hAnsi="Calibri"/>
          <w:color w:val="000000"/>
        </w:rPr>
        <w:t xml:space="preserve">See Glossary (Appendix J) for sustainable marine fuel definition as it pertains to this FOA. </w:t>
      </w:r>
    </w:p>
  </w:footnote>
  <w:footnote w:id="13">
    <w:p w14:paraId="03A52E49" w14:textId="5402F58E" w:rsidR="008638B1" w:rsidRDefault="008638B1">
      <w:pPr>
        <w:pStyle w:val="FootnoteText"/>
      </w:pPr>
      <w:r>
        <w:rPr>
          <w:rStyle w:val="FootnoteReference"/>
        </w:rPr>
        <w:footnoteRef/>
      </w:r>
      <w:r>
        <w:t xml:space="preserve"> </w:t>
      </w:r>
      <w:r>
        <w:rPr>
          <w:rFonts w:ascii="Calibri" w:hAnsi="Calibri"/>
          <w:color w:val="000000"/>
        </w:rPr>
        <w:t xml:space="preserve">See Glossary (Appendix J) for off-road vehicle </w:t>
      </w:r>
      <w:r w:rsidR="00FA1DBF">
        <w:rPr>
          <w:rFonts w:ascii="Calibri" w:hAnsi="Calibri"/>
          <w:color w:val="000000"/>
        </w:rPr>
        <w:t xml:space="preserve">fuel </w:t>
      </w:r>
      <w:r>
        <w:rPr>
          <w:rFonts w:ascii="Calibri" w:hAnsi="Calibri"/>
          <w:color w:val="000000"/>
        </w:rPr>
        <w:t>definition as it pertains to this FOA</w:t>
      </w:r>
    </w:p>
  </w:footnote>
  <w:footnote w:id="14">
    <w:p w14:paraId="38C79A25" w14:textId="77777777" w:rsidR="00FC0DE0" w:rsidRDefault="00FC0DE0" w:rsidP="00FC0DE0">
      <w:pPr>
        <w:pStyle w:val="FootnoteText"/>
      </w:pPr>
      <w:r>
        <w:rPr>
          <w:rStyle w:val="FootnoteReference"/>
        </w:rPr>
        <w:footnoteRef/>
      </w:r>
      <w:r>
        <w:t xml:space="preserve"> See Glossary (Appendix J) for Sustainable rail fuel definition as it pertains to this FOA.</w:t>
      </w:r>
    </w:p>
  </w:footnote>
  <w:footnote w:id="15">
    <w:p w14:paraId="5C7154A8" w14:textId="77777777" w:rsidR="00FC0DE0" w:rsidRDefault="00FC0DE0" w:rsidP="00FC0DE0">
      <w:pPr>
        <w:pBdr>
          <w:top w:val="nil"/>
          <w:left w:val="nil"/>
          <w:bottom w:val="nil"/>
          <w:right w:val="nil"/>
          <w:between w:val="nil"/>
        </w:pBdr>
        <w:rPr>
          <w:rFonts w:ascii="Calibri" w:hAnsi="Calibri"/>
          <w:color w:val="000000"/>
          <w:sz w:val="20"/>
        </w:rPr>
      </w:pPr>
      <w:r w:rsidRPr="002F3024">
        <w:rPr>
          <w:rStyle w:val="FootnoteReference"/>
          <w:sz w:val="22"/>
          <w:szCs w:val="18"/>
        </w:rPr>
        <w:footnoteRef/>
      </w:r>
      <w:r>
        <w:rPr>
          <w:rFonts w:ascii="Calibri" w:hAnsi="Calibri"/>
          <w:color w:val="000000"/>
          <w:sz w:val="20"/>
        </w:rPr>
        <w:t xml:space="preserve"> </w:t>
      </w:r>
      <w:r w:rsidRPr="002F3024">
        <w:rPr>
          <w:rFonts w:ascii="Calibri" w:eastAsiaTheme="minorHAnsi" w:hAnsi="Calibri" w:cstheme="minorBidi"/>
          <w:color w:val="000000"/>
          <w:sz w:val="20"/>
        </w:rPr>
        <w:t>https://www.energy.gov/eere/bioenergy/waste-energy</w:t>
      </w:r>
    </w:p>
  </w:footnote>
  <w:footnote w:id="16">
    <w:p w14:paraId="72C4B325" w14:textId="4FE39C91" w:rsidR="006E5E10" w:rsidRDefault="006E5E10">
      <w:pPr>
        <w:pStyle w:val="FootnoteText"/>
      </w:pPr>
      <w:r>
        <w:rPr>
          <w:rStyle w:val="FootnoteReference"/>
        </w:rPr>
        <w:footnoteRef/>
      </w:r>
      <w:r>
        <w:t xml:space="preserve"> See Glossary (Appendix J) for </w:t>
      </w:r>
      <w:r w:rsidR="00CB3FA4">
        <w:t>the definitions of fuel types pertaining to this FOA.</w:t>
      </w:r>
    </w:p>
  </w:footnote>
  <w:footnote w:id="17">
    <w:p w14:paraId="129B66E2" w14:textId="77777777" w:rsidR="00FC0DE0" w:rsidRDefault="00FC0DE0" w:rsidP="00FC0DE0">
      <w:pPr>
        <w:pStyle w:val="FootnoteText"/>
      </w:pPr>
      <w:r>
        <w:rPr>
          <w:rStyle w:val="FootnoteReference"/>
        </w:rPr>
        <w:footnoteRef/>
      </w:r>
      <w:r>
        <w:t xml:space="preserve"> </w:t>
      </w:r>
      <w:r w:rsidRPr="00AF2E02">
        <w:t>see Appendix G for feedstock definitions</w:t>
      </w:r>
    </w:p>
  </w:footnote>
  <w:footnote w:id="18">
    <w:p w14:paraId="6EC6954F" w14:textId="77777777" w:rsidR="00FC0DE0" w:rsidRDefault="00FC0DE0" w:rsidP="00FC0DE0">
      <w:pPr>
        <w:pStyle w:val="FootnoteText"/>
      </w:pPr>
      <w:r>
        <w:rPr>
          <w:rStyle w:val="FootnoteReference"/>
        </w:rPr>
        <w:footnoteRef/>
      </w:r>
      <w:r>
        <w:t xml:space="preserve"> </w:t>
      </w:r>
      <w:r w:rsidRPr="008E4D5E">
        <w:t>https://www.directives.doe.gov/directives-documents/400-series/0413.3-BOrder-b/@@images/file</w:t>
      </w:r>
    </w:p>
  </w:footnote>
  <w:footnote w:id="19">
    <w:p w14:paraId="535AF427" w14:textId="77777777" w:rsidR="00FC0DE0" w:rsidRPr="002F3024" w:rsidRDefault="00FC0DE0" w:rsidP="00FC0DE0">
      <w:pPr>
        <w:pStyle w:val="FootnoteText"/>
        <w:rPr>
          <w:rFonts w:ascii="Calibri" w:hAnsi="Calibri"/>
          <w:color w:val="000000"/>
        </w:rPr>
      </w:pPr>
      <w:r>
        <w:rPr>
          <w:rStyle w:val="FootnoteReference"/>
        </w:rPr>
        <w:footnoteRef/>
      </w:r>
      <w:r>
        <w:t xml:space="preserve"> </w:t>
      </w:r>
      <w:r>
        <w:rPr>
          <w:rFonts w:ascii="Calibri" w:hAnsi="Calibri"/>
          <w:color w:val="000000"/>
        </w:rPr>
        <w:t>See Glossary (Appendix J) for scale-up factor definition as it pertains to this FOA.</w:t>
      </w:r>
    </w:p>
  </w:footnote>
  <w:footnote w:id="20">
    <w:p w14:paraId="63557121" w14:textId="77777777" w:rsidR="00FC0DE0" w:rsidRDefault="00FC0DE0" w:rsidP="00FC0DE0">
      <w:pPr>
        <w:pStyle w:val="FootnoteText"/>
      </w:pPr>
      <w:r>
        <w:rPr>
          <w:rStyle w:val="FootnoteReference"/>
        </w:rPr>
        <w:footnoteRef/>
      </w:r>
      <w:r>
        <w:t xml:space="preserve"> </w:t>
      </w:r>
      <w:r>
        <w:rPr>
          <w:rFonts w:ascii="Calibri" w:hAnsi="Calibri"/>
          <w:color w:val="000000"/>
        </w:rPr>
        <w:t>See Glossary (Appendix J) for unit operation definition as it pertains to this FOA.</w:t>
      </w:r>
    </w:p>
  </w:footnote>
  <w:footnote w:id="21">
    <w:p w14:paraId="5FE1ED95" w14:textId="77777777" w:rsidR="00FC0DE0" w:rsidRDefault="00FC0DE0" w:rsidP="00FC0DE0">
      <w:pPr>
        <w:pStyle w:val="FootnoteText"/>
      </w:pPr>
      <w:r>
        <w:rPr>
          <w:rStyle w:val="FootnoteReference"/>
        </w:rPr>
        <w:footnoteRef/>
      </w:r>
      <w:r>
        <w:t xml:space="preserve"> </w:t>
      </w:r>
      <w:r>
        <w:rPr>
          <w:rFonts w:ascii="Calibri" w:hAnsi="Calibri"/>
          <w:color w:val="000000"/>
        </w:rPr>
        <w:t>See Glossary (Appendix J) for utilizable carbon definition as it pertains to this FOA.</w:t>
      </w:r>
    </w:p>
  </w:footnote>
  <w:footnote w:id="22">
    <w:p w14:paraId="4442CD11" w14:textId="061E9D66" w:rsidR="00EB3CDE" w:rsidRDefault="00EB3CDE">
      <w:pPr>
        <w:pStyle w:val="FootnoteText"/>
      </w:pPr>
      <w:r>
        <w:rPr>
          <w:rStyle w:val="FootnoteReference"/>
        </w:rPr>
        <w:footnoteRef/>
      </w:r>
      <w:r>
        <w:t xml:space="preserve"> See Glossary (Appendix </w:t>
      </w:r>
      <w:r w:rsidR="00CD490F">
        <w:t xml:space="preserve">J) for fuel renewable definitions pertaining to this FOA. </w:t>
      </w:r>
    </w:p>
  </w:footnote>
  <w:footnote w:id="23">
    <w:p w14:paraId="7E8C38B0" w14:textId="77777777" w:rsidR="00FC0DE0" w:rsidRDefault="00FC0DE0" w:rsidP="00FC0DE0">
      <w:pPr>
        <w:pStyle w:val="FootnoteText"/>
      </w:pPr>
      <w:r>
        <w:rPr>
          <w:rStyle w:val="FootnoteReference"/>
        </w:rPr>
        <w:footnoteRef/>
      </w:r>
      <w:r>
        <w:t xml:space="preserve"> </w:t>
      </w:r>
      <w:r w:rsidRPr="00AF2E02">
        <w:t>see Appendix G for feedstock definitions</w:t>
      </w:r>
    </w:p>
  </w:footnote>
  <w:footnote w:id="24">
    <w:p w14:paraId="6467B584" w14:textId="77777777" w:rsidR="00FC0DE0" w:rsidRDefault="00FC0DE0" w:rsidP="00FC0DE0">
      <w:pPr>
        <w:pStyle w:val="FootnoteText"/>
      </w:pPr>
      <w:r>
        <w:rPr>
          <w:rStyle w:val="FootnoteReference"/>
        </w:rPr>
        <w:footnoteRef/>
      </w:r>
      <w:r>
        <w:t xml:space="preserve"> </w:t>
      </w:r>
      <w:r w:rsidRPr="008E4D5E">
        <w:t>https://www.directives.doe.gov/directives-documents/400-series/0413.3-BOrder-b/@@images/file</w:t>
      </w:r>
    </w:p>
  </w:footnote>
  <w:footnote w:id="25">
    <w:p w14:paraId="79AB7346" w14:textId="0E366E32" w:rsidR="00FC0DE0" w:rsidRPr="002F3024" w:rsidRDefault="00FC0DE0" w:rsidP="00FC0DE0">
      <w:pPr>
        <w:pStyle w:val="FootnoteText"/>
        <w:rPr>
          <w:rFonts w:ascii="Calibri" w:hAnsi="Calibri"/>
          <w:color w:val="000000"/>
        </w:rPr>
      </w:pPr>
      <w:r>
        <w:rPr>
          <w:rStyle w:val="FootnoteReference"/>
        </w:rPr>
        <w:footnoteRef/>
      </w:r>
      <w:r>
        <w:t xml:space="preserve"> </w:t>
      </w:r>
      <w:r>
        <w:rPr>
          <w:rFonts w:ascii="Calibri" w:hAnsi="Calibri"/>
          <w:color w:val="000000"/>
        </w:rPr>
        <w:t xml:space="preserve">See Glossary (Appendix </w:t>
      </w:r>
      <w:r w:rsidR="00150325">
        <w:rPr>
          <w:rFonts w:ascii="Calibri" w:hAnsi="Calibri"/>
          <w:color w:val="000000"/>
        </w:rPr>
        <w:t>J</w:t>
      </w:r>
      <w:r>
        <w:rPr>
          <w:rFonts w:ascii="Calibri" w:hAnsi="Calibri"/>
          <w:color w:val="000000"/>
        </w:rPr>
        <w:t>) for scale-up factor definition as it pertains to this FOA.</w:t>
      </w:r>
    </w:p>
  </w:footnote>
  <w:footnote w:id="26">
    <w:p w14:paraId="41723AF7" w14:textId="592E31FB" w:rsidR="00FC0DE0" w:rsidRDefault="00FC0DE0" w:rsidP="00FC0DE0">
      <w:pPr>
        <w:pStyle w:val="FootnoteText"/>
      </w:pPr>
      <w:r>
        <w:rPr>
          <w:rStyle w:val="FootnoteReference"/>
        </w:rPr>
        <w:footnoteRef/>
      </w:r>
      <w:r>
        <w:t xml:space="preserve"> </w:t>
      </w:r>
      <w:r>
        <w:rPr>
          <w:rFonts w:ascii="Calibri" w:hAnsi="Calibri"/>
          <w:color w:val="000000"/>
        </w:rPr>
        <w:t xml:space="preserve">See Glossary (Appendix </w:t>
      </w:r>
      <w:r w:rsidR="00150325">
        <w:rPr>
          <w:rFonts w:ascii="Calibri" w:hAnsi="Calibri"/>
          <w:color w:val="000000"/>
        </w:rPr>
        <w:t>J</w:t>
      </w:r>
      <w:r>
        <w:rPr>
          <w:rFonts w:ascii="Calibri" w:hAnsi="Calibri"/>
          <w:color w:val="000000"/>
        </w:rPr>
        <w:t>) for unit operation definition as it pertains to this FOA.</w:t>
      </w:r>
    </w:p>
  </w:footnote>
  <w:footnote w:id="27">
    <w:p w14:paraId="564CFD5B" w14:textId="5C403E67" w:rsidR="00FC0DE0" w:rsidRDefault="00FC0DE0" w:rsidP="00FC0DE0">
      <w:pPr>
        <w:pStyle w:val="FootnoteText"/>
      </w:pPr>
      <w:r>
        <w:rPr>
          <w:rStyle w:val="FootnoteReference"/>
        </w:rPr>
        <w:footnoteRef/>
      </w:r>
      <w:r>
        <w:t xml:space="preserve"> </w:t>
      </w:r>
      <w:r>
        <w:rPr>
          <w:rFonts w:ascii="Calibri" w:hAnsi="Calibri"/>
          <w:color w:val="000000"/>
        </w:rPr>
        <w:t xml:space="preserve">See Glossary (Appendix </w:t>
      </w:r>
      <w:r w:rsidR="00150325">
        <w:rPr>
          <w:rFonts w:ascii="Calibri" w:hAnsi="Calibri"/>
          <w:color w:val="000000"/>
        </w:rPr>
        <w:t>J</w:t>
      </w:r>
      <w:r>
        <w:rPr>
          <w:rFonts w:ascii="Calibri" w:hAnsi="Calibri"/>
          <w:color w:val="000000"/>
        </w:rPr>
        <w:t>) for utilizable carbon definition as it pertains to this FOA.</w:t>
      </w:r>
    </w:p>
  </w:footnote>
  <w:footnote w:id="28">
    <w:p w14:paraId="7936E145" w14:textId="77777777" w:rsidR="00170A62" w:rsidRPr="009B117D" w:rsidRDefault="00170A62" w:rsidP="00170A62">
      <w:pPr>
        <w:pStyle w:val="FootnoteText"/>
        <w:rPr>
          <w:lang w:val="nl-NL"/>
        </w:rPr>
      </w:pPr>
      <w:r>
        <w:rPr>
          <w:rStyle w:val="FootnoteReference"/>
        </w:rPr>
        <w:footnoteRef/>
      </w:r>
      <w:r w:rsidRPr="008B0D95">
        <w:t xml:space="preserve"> DOE. 2022. </w:t>
      </w:r>
      <w:r>
        <w:t xml:space="preserve">“Industrial Decarbonization Roadmap.” September 2022. </w:t>
      </w:r>
      <w:r w:rsidRPr="009B117D">
        <w:rPr>
          <w:lang w:val="nl-NL"/>
        </w:rPr>
        <w:t>Pg. 59. https://www.energy.gov/sites/default/files/2022-09/Industrial%20Decarbonization%20Roadmap.pdf</w:t>
      </w:r>
    </w:p>
  </w:footnote>
  <w:footnote w:id="29">
    <w:p w14:paraId="784231B9" w14:textId="4C579A26" w:rsidR="00170A62" w:rsidRDefault="00170A62" w:rsidP="00170A62">
      <w:pPr>
        <w:pStyle w:val="FootnoteText"/>
      </w:pPr>
      <w:r>
        <w:rPr>
          <w:rStyle w:val="FootnoteReference"/>
        </w:rPr>
        <w:footnoteRef/>
      </w:r>
      <w:r>
        <w:t xml:space="preserve"> Nicholson SR et al., ACS Sustainable Chemistry and Engineering. 2023. </w:t>
      </w:r>
      <w:r w:rsidRPr="003F30D1">
        <w:t>DOI: 10.1021/acssuschemeng.2c05417</w:t>
      </w:r>
    </w:p>
  </w:footnote>
  <w:footnote w:id="30">
    <w:p w14:paraId="261EB6A4" w14:textId="4F9C0DC5" w:rsidR="00425EBB" w:rsidRDefault="00425EBB">
      <w:pPr>
        <w:pStyle w:val="FootnoteText"/>
      </w:pPr>
      <w:r>
        <w:rPr>
          <w:rStyle w:val="FootnoteReference"/>
        </w:rPr>
        <w:footnoteRef/>
      </w:r>
      <w:r>
        <w:t xml:space="preserve"> </w:t>
      </w:r>
      <w:hyperlink r:id="rId1" w:history="1">
        <w:r w:rsidR="00A67911" w:rsidRPr="00A362AE">
          <w:rPr>
            <w:rStyle w:val="Hyperlink"/>
          </w:rPr>
          <w:t>https://www.nrel.gov/docs/fy04osti/35523.pdf</w:t>
        </w:r>
      </w:hyperlink>
      <w:r w:rsidR="00A67911">
        <w:t xml:space="preserve"> </w:t>
      </w:r>
    </w:p>
  </w:footnote>
  <w:footnote w:id="31">
    <w:p w14:paraId="0614B13C" w14:textId="4801486E" w:rsidR="007D7CCB" w:rsidRDefault="007D7CCB">
      <w:pPr>
        <w:pStyle w:val="FootnoteText"/>
      </w:pPr>
      <w:r>
        <w:rPr>
          <w:rStyle w:val="FootnoteReference"/>
        </w:rPr>
        <w:footnoteRef/>
      </w:r>
      <w:r>
        <w:t xml:space="preserve"> </w:t>
      </w:r>
      <w:r w:rsidRPr="007D7CCB">
        <w:t>https://www.energy.gov/eere/clean-fuels-products-shottm-alternative-sources-carbon-based-products</w:t>
      </w:r>
    </w:p>
  </w:footnote>
  <w:footnote w:id="32">
    <w:p w14:paraId="3C426939" w14:textId="07E5493F" w:rsidR="0075483C" w:rsidRDefault="0075483C">
      <w:pPr>
        <w:pStyle w:val="FootnoteText"/>
      </w:pPr>
      <w:r>
        <w:rPr>
          <w:rStyle w:val="FootnoteReference"/>
        </w:rPr>
        <w:footnoteRef/>
      </w:r>
      <w:r>
        <w:t xml:space="preserve"> </w:t>
      </w:r>
      <w:r w:rsidR="00454688" w:rsidRPr="00454688">
        <w:t>https://www.energy.gov/eere/bioenergy/articles/moving-beyond-drop-replacements-performance-advantaged-biobased-chemicals</w:t>
      </w:r>
    </w:p>
  </w:footnote>
  <w:footnote w:id="33">
    <w:p w14:paraId="537931E3" w14:textId="27A6D58E" w:rsidR="002C1E9C" w:rsidRDefault="002C1E9C" w:rsidP="002C1E9C">
      <w:pPr>
        <w:pStyle w:val="FootnoteText"/>
      </w:pPr>
      <w:r>
        <w:rPr>
          <w:rStyle w:val="FootnoteReference"/>
        </w:rPr>
        <w:footnoteRef/>
      </w:r>
      <w:r>
        <w:t xml:space="preserve"> </w:t>
      </w:r>
      <w:r w:rsidRPr="00AF2E02">
        <w:t xml:space="preserve">see Appendix </w:t>
      </w:r>
      <w:r w:rsidR="00150325">
        <w:t>E</w:t>
      </w:r>
      <w:r w:rsidRPr="00AF2E02">
        <w:t xml:space="preserve"> for feedstock definitions</w:t>
      </w:r>
    </w:p>
  </w:footnote>
  <w:footnote w:id="34">
    <w:p w14:paraId="0EABA89E" w14:textId="77777777" w:rsidR="00B972F1" w:rsidRDefault="00B972F1" w:rsidP="00B972F1">
      <w:pPr>
        <w:pStyle w:val="FootnoteText"/>
      </w:pPr>
      <w:r>
        <w:rPr>
          <w:rStyle w:val="FootnoteReference"/>
        </w:rPr>
        <w:footnoteRef/>
      </w:r>
      <w:r>
        <w:t xml:space="preserve"> </w:t>
      </w:r>
      <w:r w:rsidRPr="008E4D5E">
        <w:t>https://www.directives.doe.gov/directives-documents/400-series/0413.3-BOrder-b/@@images/file</w:t>
      </w:r>
    </w:p>
  </w:footnote>
  <w:footnote w:id="35">
    <w:p w14:paraId="0610B6DA" w14:textId="465B5DC9" w:rsidR="002C1E9C" w:rsidRPr="002F3024" w:rsidRDefault="002C1E9C" w:rsidP="002C1E9C">
      <w:pPr>
        <w:pStyle w:val="FootnoteText"/>
        <w:rPr>
          <w:rFonts w:ascii="Calibri" w:hAnsi="Calibri"/>
          <w:color w:val="000000"/>
        </w:rPr>
      </w:pPr>
      <w:r>
        <w:rPr>
          <w:rStyle w:val="FootnoteReference"/>
        </w:rPr>
        <w:footnoteRef/>
      </w:r>
      <w:r>
        <w:t xml:space="preserve"> </w:t>
      </w:r>
      <w:r>
        <w:rPr>
          <w:rFonts w:ascii="Calibri" w:hAnsi="Calibri"/>
          <w:color w:val="000000"/>
        </w:rPr>
        <w:t xml:space="preserve">See Glossary (Appendix </w:t>
      </w:r>
      <w:r w:rsidR="00150325">
        <w:rPr>
          <w:rFonts w:ascii="Calibri" w:hAnsi="Calibri"/>
          <w:color w:val="000000"/>
        </w:rPr>
        <w:t>J</w:t>
      </w:r>
      <w:r>
        <w:rPr>
          <w:rFonts w:ascii="Calibri" w:hAnsi="Calibri"/>
          <w:color w:val="000000"/>
        </w:rPr>
        <w:t>) for scale-up factor definition as it pertains to this FOA.</w:t>
      </w:r>
    </w:p>
  </w:footnote>
  <w:footnote w:id="36">
    <w:p w14:paraId="4A437B79" w14:textId="3A29C083" w:rsidR="002C1E9C" w:rsidRDefault="002C1E9C" w:rsidP="002C1E9C">
      <w:pPr>
        <w:pStyle w:val="FootnoteText"/>
      </w:pPr>
      <w:r>
        <w:rPr>
          <w:rStyle w:val="FootnoteReference"/>
        </w:rPr>
        <w:footnoteRef/>
      </w:r>
      <w:r>
        <w:t xml:space="preserve"> </w:t>
      </w:r>
      <w:r>
        <w:rPr>
          <w:rFonts w:ascii="Calibri" w:hAnsi="Calibri"/>
          <w:color w:val="000000"/>
        </w:rPr>
        <w:t xml:space="preserve">See Glossary (Appendix </w:t>
      </w:r>
      <w:r w:rsidR="00150325">
        <w:rPr>
          <w:rFonts w:ascii="Calibri" w:hAnsi="Calibri"/>
          <w:color w:val="000000"/>
        </w:rPr>
        <w:t>J</w:t>
      </w:r>
      <w:r>
        <w:rPr>
          <w:rFonts w:ascii="Calibri" w:hAnsi="Calibri"/>
          <w:color w:val="000000"/>
        </w:rPr>
        <w:t>) for unit operation definition as it pertains to this FOA.</w:t>
      </w:r>
    </w:p>
  </w:footnote>
  <w:footnote w:id="37">
    <w:p w14:paraId="71347B29" w14:textId="77777777" w:rsidR="007D78FA" w:rsidRPr="003F47AF" w:rsidRDefault="007D78FA" w:rsidP="007D78FA">
      <w:pPr>
        <w:pStyle w:val="FootnoteText"/>
      </w:pPr>
      <w:r>
        <w:rPr>
          <w:rStyle w:val="FootnoteReference"/>
        </w:rPr>
        <w:footnoteRef/>
      </w:r>
      <w:r>
        <w:t xml:space="preserve"> </w:t>
      </w:r>
      <w:r w:rsidRPr="003F47AF">
        <w:t>The term “equity” means the consistent and systematic fair, just, and impartial treatment of all individuals, including individuals who belong to underserved communities that have been denied such treatment, such as Black, Latino, and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w:t>
      </w:r>
    </w:p>
  </w:footnote>
  <w:footnote w:id="38">
    <w:p w14:paraId="0565CB56" w14:textId="77777777" w:rsidR="007D78FA" w:rsidRPr="003F47AF" w:rsidRDefault="007D78FA" w:rsidP="007D78FA">
      <w:pPr>
        <w:pStyle w:val="FootnoteText"/>
      </w:pPr>
      <w:r w:rsidRPr="003F47AF">
        <w:rPr>
          <w:rStyle w:val="FootnoteReference"/>
        </w:rPr>
        <w:footnoteRef/>
      </w:r>
      <w:r w:rsidRPr="003F47AF">
        <w:t xml:space="preserve"> Executive Order 13985, “Advancing Racial Equity and Support for Underserved Communities Through the Federal Government” (Jan. 20, 2021). </w:t>
      </w:r>
    </w:p>
  </w:footnote>
  <w:footnote w:id="39">
    <w:p w14:paraId="2D364409" w14:textId="77777777" w:rsidR="007D78FA" w:rsidRPr="003F47AF" w:rsidRDefault="007D78FA" w:rsidP="007D78FA">
      <w:pPr>
        <w:pStyle w:val="FootnoteText"/>
      </w:pPr>
      <w:r w:rsidRPr="003F47AF">
        <w:rPr>
          <w:rStyle w:val="FootnoteReference"/>
        </w:rPr>
        <w:footnoteRef/>
      </w:r>
      <w:r w:rsidRPr="003F47AF">
        <w:t xml:space="preserve"> The term “underserved communities” refers to populations sharing a particular characteristic, as well as geographic communities, that have been systematically denied a full opportunity to participate in aspects of economic, social, and civic life, as exemplified by the list of in the definition of “equity.” E.O. 13985. For purposes of this FOA, as applicable to geographic communities, applicants can refer to economically distressed communities identified by the Internal Revenue Service as Qualified Opportunity Zones; communities identified as disadvantaged or underserved communities by their respective States; communities identified on the Index of Deep Disadvantage referenced at </w:t>
      </w:r>
      <w:hyperlink r:id="rId2" w:history="1">
        <w:r w:rsidRPr="003F47AF">
          <w:rPr>
            <w:rStyle w:val="Hyperlink"/>
          </w:rPr>
          <w:t>https://news.umich.edu/new-index-ranks-americas-100-most-disadvantaged-communities/</w:t>
        </w:r>
      </w:hyperlink>
      <w:r w:rsidRPr="003F47AF">
        <w:t>, and communities that otherwise meet the definition of “underserved communities” stated above.</w:t>
      </w:r>
    </w:p>
  </w:footnote>
  <w:footnote w:id="40">
    <w:p w14:paraId="15DCE40A" w14:textId="77777777" w:rsidR="007D78FA" w:rsidRPr="003F47AF" w:rsidRDefault="007D78FA" w:rsidP="007D78FA">
      <w:pPr>
        <w:pStyle w:val="FootnoteText"/>
        <w:rPr>
          <w:lang w:val="en"/>
        </w:rPr>
      </w:pPr>
      <w:r w:rsidRPr="003F47AF">
        <w:rPr>
          <w:rStyle w:val="FootnoteReference"/>
        </w:rPr>
        <w:footnoteRef/>
      </w:r>
      <w:r w:rsidRPr="003F47AF">
        <w:t xml:space="preserve"> </w:t>
      </w:r>
      <w:r w:rsidRPr="003F47AF">
        <w:rPr>
          <w:lang w:val="en"/>
        </w:rPr>
        <w:t xml:space="preserve">According to the National Science Foundation’s 2019 report titled, “Women, Minorities and Persons with Disabilities in Science and Engineering”, women, persons with disabilities, and underrepresented minority groups—blacks or African Americans, Hispanics or Latinos, and American Indians or Alaska Natives—are vastly underrepresented in the STEM (science, technology, engineering and math) fields that drive the energy sector. That is, their representation in STEM education and STEM employment is smaller than their representation in the U.S. population.  </w:t>
      </w:r>
      <w:hyperlink r:id="rId3" w:history="1">
        <w:r w:rsidRPr="003F47AF">
          <w:rPr>
            <w:rStyle w:val="Hyperlink"/>
            <w:lang w:val="en"/>
          </w:rPr>
          <w:t>https://ncses.nsf.gov/pubs/nsf19304/digest/about-this-report</w:t>
        </w:r>
      </w:hyperlink>
      <w:r w:rsidRPr="003F47AF">
        <w:rPr>
          <w:lang w:val="en"/>
        </w:rPr>
        <w:t xml:space="preserve"> For example, in the U.S., Hispanics, African Americans and American Indians or Alaska Natives make up 24 percent of the overall workforce, yet only account for 9 percent of the country’s science and engineering workforce. DOE seeks to inspire underrepresented Americans to pursue careers in energy and support their advancement into leadership positions. </w:t>
      </w:r>
      <w:hyperlink r:id="rId4" w:history="1">
        <w:r w:rsidRPr="003F47AF">
          <w:rPr>
            <w:rStyle w:val="Hyperlink"/>
            <w:lang w:val="en"/>
          </w:rPr>
          <w:t>https://www.energy.gov/articles/introducing-minorities-energy-initiative</w:t>
        </w:r>
      </w:hyperlink>
    </w:p>
  </w:footnote>
  <w:footnote w:id="41">
    <w:p w14:paraId="56251425" w14:textId="77777777" w:rsidR="007D78FA" w:rsidRPr="003F47AF" w:rsidRDefault="007D78FA" w:rsidP="007D78FA">
      <w:pPr>
        <w:shd w:val="clear" w:color="auto" w:fill="FFFFFF" w:themeFill="background1"/>
        <w:rPr>
          <w:sz w:val="20"/>
          <w:lang w:val="en"/>
        </w:rPr>
      </w:pPr>
      <w:r w:rsidRPr="003F47AF">
        <w:rPr>
          <w:rStyle w:val="FootnoteReference"/>
        </w:rPr>
        <w:footnoteRef/>
      </w:r>
      <w:r w:rsidRPr="003F47AF">
        <w:t xml:space="preserve"> </w:t>
      </w:r>
      <w:r w:rsidRPr="003F47AF">
        <w:rPr>
          <w:sz w:val="20"/>
        </w:rPr>
        <w:t>See also.</w:t>
      </w:r>
      <w:r w:rsidRPr="003F47AF">
        <w:t xml:space="preserve"> </w:t>
      </w:r>
      <w:r w:rsidRPr="003F47AF">
        <w:rPr>
          <w:sz w:val="20"/>
        </w:rPr>
        <w:t xml:space="preserve">Note that Congress recognized in section 305 of the </w:t>
      </w:r>
      <w:r w:rsidRPr="003F47AF">
        <w:rPr>
          <w:sz w:val="20"/>
          <w:lang w:val="en"/>
        </w:rPr>
        <w:t xml:space="preserve">American Innovation and Competitiveness Act of 2017, Public Law 114-329: </w:t>
      </w:r>
    </w:p>
    <w:p w14:paraId="6782B857" w14:textId="77777777" w:rsidR="007D78FA" w:rsidRPr="00B07E10" w:rsidRDefault="007D78FA" w:rsidP="007D78FA">
      <w:pPr>
        <w:shd w:val="clear" w:color="auto" w:fill="FFFFFF" w:themeFill="background1"/>
        <w:ind w:left="1440"/>
        <w:rPr>
          <w:sz w:val="20"/>
          <w:highlight w:val="yellow"/>
          <w:lang w:val="en"/>
        </w:rPr>
      </w:pPr>
    </w:p>
    <w:p w14:paraId="1CE6C6D6" w14:textId="77777777" w:rsidR="007D78FA" w:rsidRPr="003F47AF" w:rsidRDefault="007D78FA" w:rsidP="007D78FA">
      <w:pPr>
        <w:shd w:val="clear" w:color="auto" w:fill="FFFFFF" w:themeFill="background1"/>
        <w:ind w:left="720" w:right="720"/>
        <w:rPr>
          <w:sz w:val="20"/>
        </w:rPr>
      </w:pPr>
      <w:r w:rsidRPr="003F47AF">
        <w:rPr>
          <w:sz w:val="20"/>
        </w:rPr>
        <w:t>(1) [I]t is critical to our Nation’s economic leadership and global competitiveness that the United States educate, train, and retain more scientists, engineers, and computer scientists; (2) there is currently a disconnect between the availability of and growing demand for STEM-skilled workers; (3) historically, underrepresented populations are the largest untapped STEM talent pools in the United States; and (4) given the shifting demographic landscape, the United States should encourage full participation of individuals from underrepresented populations in STEM fields.</w:t>
      </w:r>
    </w:p>
    <w:p w14:paraId="5C66C26D" w14:textId="77777777" w:rsidR="007D78FA" w:rsidRPr="003F47AF" w:rsidRDefault="007D78FA" w:rsidP="007D78FA">
      <w:pPr>
        <w:pStyle w:val="FootnoteText"/>
      </w:pPr>
    </w:p>
  </w:footnote>
  <w:footnote w:id="42">
    <w:p w14:paraId="6D3DC2C3" w14:textId="77777777" w:rsidR="007D78FA" w:rsidRPr="003F47AF" w:rsidRDefault="007D78FA" w:rsidP="007D78FA">
      <w:pPr>
        <w:pStyle w:val="FootnoteText"/>
      </w:pPr>
      <w:r w:rsidRPr="003F47AF">
        <w:rPr>
          <w:rStyle w:val="FootnoteReference"/>
        </w:rPr>
        <w:footnoteRef/>
      </w:r>
      <w:r w:rsidRPr="003F47AF">
        <w:t xml:space="preserve"> Minority Serving Institutions (MSIs), including Historically Black Colleges and Universities/Other Minority Institutions as educational entities recognized by the Office of Civil Rights (OCR), U.S. Department of Education, and identified on the OCR's Department of Education U.S. accredited postsecondary minorities’ institution list. See </w:t>
      </w:r>
      <w:hyperlink r:id="rId5" w:history="1">
        <w:r w:rsidRPr="003F47AF">
          <w:rPr>
            <w:rStyle w:val="Hyperlink"/>
          </w:rPr>
          <w:t>https://www2.ed.gov/about/offices/list/ocr/edlite-minorityinst.html</w:t>
        </w:r>
      </w:hyperlink>
      <w:r w:rsidRPr="003F47AF">
        <w:t>.</w:t>
      </w:r>
    </w:p>
  </w:footnote>
  <w:footnote w:id="43">
    <w:p w14:paraId="393B300F" w14:textId="77777777" w:rsidR="00E54A25" w:rsidRPr="00441923" w:rsidRDefault="00E54A25" w:rsidP="00E54A25">
      <w:pPr>
        <w:rPr>
          <w:sz w:val="20"/>
        </w:rPr>
      </w:pPr>
      <w:r w:rsidRPr="00441923">
        <w:rPr>
          <w:rStyle w:val="FootnoteReference"/>
          <w:sz w:val="20"/>
        </w:rPr>
        <w:footnoteRef/>
      </w:r>
      <w:r w:rsidRPr="00441923">
        <w:rPr>
          <w:sz w:val="20"/>
        </w:rPr>
        <w:t xml:space="preserve"> FFRDCs are public-private partnerships </w:t>
      </w:r>
      <w:r>
        <w:rPr>
          <w:sz w:val="20"/>
        </w:rPr>
        <w:t>that</w:t>
      </w:r>
      <w:r w:rsidRPr="00441923">
        <w:rPr>
          <w:sz w:val="20"/>
        </w:rPr>
        <w:t xml:space="preserve"> conduct research for the </w:t>
      </w:r>
      <w:r>
        <w:rPr>
          <w:sz w:val="20"/>
        </w:rPr>
        <w:t>U.S.</w:t>
      </w:r>
      <w:r w:rsidRPr="00441923">
        <w:rPr>
          <w:sz w:val="20"/>
        </w:rPr>
        <w:t xml:space="preserve"> government. A listing of FFRDCs can be found at </w:t>
      </w:r>
      <w:hyperlink r:id="rId6" w:history="1">
        <w:r w:rsidRPr="00441923">
          <w:rPr>
            <w:rStyle w:val="Hyperlink"/>
            <w:sz w:val="20"/>
          </w:rPr>
          <w:t>http://www.nsf.gov/statistics/ffrdclist/</w:t>
        </w:r>
      </w:hyperlink>
      <w:r w:rsidRPr="00441923">
        <w:rPr>
          <w:sz w:val="20"/>
        </w:rPr>
        <w:t xml:space="preserve">. </w:t>
      </w:r>
    </w:p>
    <w:p w14:paraId="2EAF761C" w14:textId="77777777" w:rsidR="00E54A25" w:rsidRDefault="00E54A25" w:rsidP="00E54A25">
      <w:pPr>
        <w:pStyle w:val="FootnoteText"/>
      </w:pPr>
    </w:p>
  </w:footnote>
  <w:footnote w:id="44">
    <w:p w14:paraId="20376615" w14:textId="77777777" w:rsidR="00E709E8" w:rsidRDefault="00E709E8" w:rsidP="00E709E8">
      <w:pPr>
        <w:pStyle w:val="FootnoteText"/>
      </w:pPr>
      <w:r>
        <w:rPr>
          <w:rStyle w:val="FootnoteReference"/>
        </w:rPr>
        <w:footnoteRef/>
      </w:r>
      <w:r>
        <w:t xml:space="preserve"> Total project costs is</w:t>
      </w:r>
      <w:r w:rsidRPr="00883D8E">
        <w:t xml:space="preserve"> the sum of the government share, including FFRDC costs if applicable, and the recipient share of </w:t>
      </w:r>
      <w:r>
        <w:t>project</w:t>
      </w:r>
      <w:r w:rsidRPr="00883D8E">
        <w:t xml:space="preserve"> costs</w:t>
      </w:r>
      <w:r>
        <w:t>.</w:t>
      </w:r>
    </w:p>
  </w:footnote>
  <w:footnote w:id="45">
    <w:p w14:paraId="33731BE0" w14:textId="77777777" w:rsidR="00E709E8" w:rsidRDefault="00E709E8" w:rsidP="00E709E8">
      <w:pPr>
        <w:pStyle w:val="FootnoteText"/>
      </w:pPr>
      <w:r>
        <w:rPr>
          <w:rStyle w:val="FootnoteReference"/>
        </w:rPr>
        <w:footnoteRef/>
      </w:r>
      <w:r>
        <w:t xml:space="preserve"> Energy Policy Act of 2005, Pub. L. 109-58, sec. 988. Also see</w:t>
      </w:r>
      <w:r w:rsidRPr="00883D8E">
        <w:t xml:space="preserve"> 2 CFR 200.306 and 2 CFR 910.130 for </w:t>
      </w:r>
      <w:r>
        <w:t>additional</w:t>
      </w:r>
      <w:r w:rsidRPr="00883D8E">
        <w:t xml:space="preserve"> cost sharing requirements.</w:t>
      </w:r>
    </w:p>
  </w:footnote>
  <w:footnote w:id="46">
    <w:p w14:paraId="30FF9287" w14:textId="77777777" w:rsidR="009B20F4" w:rsidRPr="00EA161A" w:rsidRDefault="009B20F4" w:rsidP="009B20F4">
      <w:pPr>
        <w:rPr>
          <w:rStyle w:val="Hyperlink"/>
          <w:sz w:val="20"/>
        </w:rPr>
      </w:pPr>
      <w:r w:rsidRPr="00EA161A">
        <w:rPr>
          <w:rStyle w:val="FootnoteReference"/>
          <w:sz w:val="20"/>
        </w:rPr>
        <w:footnoteRef/>
      </w:r>
      <w:r w:rsidRPr="00EA161A">
        <w:rPr>
          <w:sz w:val="20"/>
        </w:rPr>
        <w:t xml:space="preserve"> A cooperative research and development agreement is a contractual agreement between a national laboratory contractor and a private company or university to work together on research and development. For more information, see </w:t>
      </w:r>
      <w:hyperlink r:id="rId7" w:history="1">
        <w:r w:rsidRPr="00EA161A">
          <w:rPr>
            <w:rStyle w:val="Hyperlink"/>
            <w:sz w:val="20"/>
          </w:rPr>
          <w:t>https://www.energy.gov/gc/downloads/doe-cooperative-research-and-development-agreements</w:t>
        </w:r>
      </w:hyperlink>
    </w:p>
    <w:p w14:paraId="57A51930" w14:textId="77777777" w:rsidR="009B20F4" w:rsidRDefault="009B20F4" w:rsidP="009B20F4">
      <w:pPr>
        <w:pStyle w:val="FootnoteText"/>
      </w:pPr>
    </w:p>
  </w:footnote>
  <w:footnote w:id="47">
    <w:p w14:paraId="3F1F8C20" w14:textId="77777777" w:rsidR="00413E46" w:rsidRDefault="00413E46" w:rsidP="00413E46">
      <w:pPr>
        <w:pStyle w:val="FootnoteText"/>
      </w:pPr>
      <w:r>
        <w:rPr>
          <w:rStyle w:val="FootnoteReference"/>
        </w:rPr>
        <w:footnoteRef/>
      </w:r>
      <w:r>
        <w:t xml:space="preserve"> Tribal land is as defined in 25 U.S.C. §§ 3501(2), (3), (4)(A) and (13)</w:t>
      </w:r>
    </w:p>
  </w:footnote>
  <w:footnote w:id="48">
    <w:p w14:paraId="384F6CC9" w14:textId="77777777" w:rsidR="00413E46" w:rsidRDefault="00413E46" w:rsidP="00413E46">
      <w:pPr>
        <w:pStyle w:val="FootnoteText"/>
      </w:pPr>
      <w:r>
        <w:rPr>
          <w:rStyle w:val="FootnoteReference"/>
        </w:rPr>
        <w:footnoteRef/>
      </w:r>
      <w:r>
        <w:t xml:space="preserve"> An authorized representative must be an elected official or designated leader according to the traditions, constitution, or charter of the Indian Tribe, or someone with relevant delegated authority within the Tribal government. Examples include: Chief, Chairman, Chairwoman, Governor, Nation Representative, President, Chief Executive Officer, Chief Financial Officer, Speaker of the Council, Speaker of the Congress, Tribal administrator</w:t>
      </w:r>
    </w:p>
  </w:footnote>
  <w:footnote w:id="49">
    <w:p w14:paraId="42382604" w14:textId="77777777" w:rsidR="00BA5901" w:rsidRDefault="00BA5901" w:rsidP="00BA5901">
      <w:pPr>
        <w:pStyle w:val="FootnoteText"/>
      </w:pPr>
      <w:r w:rsidRPr="00931DA2">
        <w:rPr>
          <w:rStyle w:val="FootnoteReference"/>
        </w:rPr>
        <w:footnoteRef/>
      </w:r>
      <w:r w:rsidRPr="00931DA2">
        <w:t xml:space="preserve"> Typically, these individuals have doctoral or other professional degrees, although individuals at the masters or baccalaureate level may be considered </w:t>
      </w:r>
      <w:r>
        <w:t>S</w:t>
      </w:r>
      <w:r w:rsidRPr="00931DA2">
        <w:t>enior/</w:t>
      </w:r>
      <w:r>
        <w:t>K</w:t>
      </w:r>
      <w:r w:rsidRPr="00931DA2">
        <w:t xml:space="preserve">ey </w:t>
      </w:r>
      <w:r>
        <w:t>P</w:t>
      </w:r>
      <w:r w:rsidRPr="00931DA2">
        <w:t xml:space="preserve">ersonnel if their involvement meets this definition. Consultants, graduate students, and those with a postdoctoral role also may be considered </w:t>
      </w:r>
      <w:r>
        <w:t>S</w:t>
      </w:r>
      <w:r w:rsidRPr="00931DA2">
        <w:t>enior/</w:t>
      </w:r>
      <w:r>
        <w:t>K</w:t>
      </w:r>
      <w:r w:rsidRPr="00931DA2">
        <w:t xml:space="preserve">ey </w:t>
      </w:r>
      <w:r>
        <w:t>P</w:t>
      </w:r>
      <w:r w:rsidRPr="00931DA2">
        <w:t>ersonnel if they meet this definition.</w:t>
      </w:r>
    </w:p>
  </w:footnote>
  <w:footnote w:id="50">
    <w:p w14:paraId="710EE355" w14:textId="77777777" w:rsidR="00B12CD6" w:rsidRDefault="00B12CD6" w:rsidP="00B12CD6">
      <w:pPr>
        <w:pStyle w:val="FootnoteText"/>
      </w:pPr>
      <w:r>
        <w:rPr>
          <w:rStyle w:val="FootnoteReference"/>
        </w:rPr>
        <w:footnoteRef/>
      </w:r>
      <w:r>
        <w:t xml:space="preserve"> </w:t>
      </w:r>
      <w:hyperlink r:id="rId8" w:history="1">
        <w:r w:rsidRPr="005650B5">
          <w:rPr>
            <w:rStyle w:val="Hyperlink"/>
          </w:rPr>
          <w:t>https://greet.es.anl.gov/</w:t>
        </w:r>
      </w:hyperlink>
      <w:r>
        <w:t xml:space="preserve"> </w:t>
      </w:r>
    </w:p>
  </w:footnote>
  <w:footnote w:id="51">
    <w:p w14:paraId="63343714" w14:textId="77777777" w:rsidR="00B12CD6" w:rsidRDefault="00B12CD6" w:rsidP="00B12CD6">
      <w:pPr>
        <w:pStyle w:val="FootnoteText"/>
      </w:pPr>
      <w:r>
        <w:rPr>
          <w:rStyle w:val="FootnoteReference"/>
        </w:rPr>
        <w:footnoteRef/>
      </w:r>
      <w:r>
        <w:t xml:space="preserve"> </w:t>
      </w:r>
      <w:hyperlink r:id="rId9" w:history="1">
        <w:r w:rsidRPr="005650B5">
          <w:rPr>
            <w:rStyle w:val="Hyperlink"/>
          </w:rPr>
          <w:t>https://www.icao.int/environmental-protection/CORSIA/Pages/CORSIA-Eligible-Fuels.aspx</w:t>
        </w:r>
      </w:hyperlink>
      <w:r>
        <w:t xml:space="preserve"> </w:t>
      </w:r>
    </w:p>
  </w:footnote>
  <w:footnote w:id="52">
    <w:p w14:paraId="169507CA" w14:textId="77777777" w:rsidR="001563A9" w:rsidRPr="00F16A91" w:rsidRDefault="001563A9" w:rsidP="001563A9">
      <w:pPr>
        <w:pStyle w:val="FootnoteText"/>
        <w:rPr>
          <w:highlight w:val="cyan"/>
        </w:rPr>
      </w:pPr>
      <w:r w:rsidRPr="00931DA2">
        <w:rPr>
          <w:rStyle w:val="FootnoteReference"/>
        </w:rPr>
        <w:footnoteRef/>
      </w:r>
      <w:r w:rsidRPr="00931DA2">
        <w:t xml:space="preserve"> See OFCCP’s Technical Assistance Guide</w:t>
      </w:r>
      <w:r w:rsidRPr="00931DA2">
        <w:rPr>
          <w:rFonts w:cstheme="minorHAnsi"/>
        </w:rPr>
        <w:t xml:space="preserve"> at: </w:t>
      </w:r>
      <w:hyperlink r:id="rId10" w:history="1">
        <w:r w:rsidRPr="00931DA2">
          <w:rPr>
            <w:rStyle w:val="Hyperlink"/>
            <w:rFonts w:cstheme="minorHAnsi"/>
          </w:rPr>
          <w:t>https://www.dol.gov/sites/dolgov/files/ofccp/Construction/files/ConstructionTAG.pdf?msclkid=9e397d68c4b111ec9d8e6fecb6c710ec</w:t>
        </w:r>
      </w:hyperlink>
      <w:r w:rsidRPr="00931DA2">
        <w:rPr>
          <w:rFonts w:cstheme="minorHAnsi"/>
        </w:rPr>
        <w:t xml:space="preserve"> Also see the National Policy Assurances </w:t>
      </w:r>
      <w:hyperlink r:id="rId11" w:history="1">
        <w:r w:rsidRPr="00931DA2">
          <w:rPr>
            <w:rStyle w:val="Hyperlink"/>
          </w:rPr>
          <w:t>http://www.nsf.gov/awards/managing/rtc.jsp</w:t>
        </w:r>
      </w:hyperlink>
    </w:p>
  </w:footnote>
  <w:footnote w:id="53">
    <w:p w14:paraId="3DB29B4F" w14:textId="77777777" w:rsidR="00657A15" w:rsidRPr="00DC4E81" w:rsidRDefault="00657A15" w:rsidP="00657A15">
      <w:pPr>
        <w:rPr>
          <w:sz w:val="20"/>
        </w:rPr>
      </w:pPr>
      <w:r w:rsidRPr="00DC4E81">
        <w:rPr>
          <w:rStyle w:val="FootnoteReference"/>
          <w:sz w:val="20"/>
        </w:rPr>
        <w:footnoteRef/>
      </w:r>
      <w:r w:rsidRPr="00DC4E81">
        <w:rPr>
          <w:sz w:val="20"/>
        </w:rPr>
        <w:t xml:space="preserve"> A continuation application is a non-competitive application for an additional budget period within a previously approved project period. At least ninety (90) days before the end of each budget period, the recipient must submit its continuation application, which includes the following information:</w:t>
      </w:r>
    </w:p>
    <w:p w14:paraId="07FCFB75" w14:textId="77777777" w:rsidR="00657A15" w:rsidRPr="00DC4E81" w:rsidRDefault="00657A15" w:rsidP="00657A15">
      <w:pPr>
        <w:numPr>
          <w:ilvl w:val="2"/>
          <w:numId w:val="51"/>
        </w:numPr>
        <w:ind w:left="900"/>
        <w:rPr>
          <w:sz w:val="20"/>
        </w:rPr>
      </w:pPr>
      <w:r w:rsidRPr="00DC4E81">
        <w:rPr>
          <w:sz w:val="20"/>
        </w:rPr>
        <w:t>A progress report on the project objectives, including significant findings, conclusions, or developments, and an estimate of any unobligated balances remaining at the end of the budget period. If the remaining unobligated balance is estimated to exceed 20 percent of the funds available for the budget period, explain why the excess funds have not been obligated and how they will be used in the next budget period.</w:t>
      </w:r>
    </w:p>
    <w:p w14:paraId="0F4779E5" w14:textId="77777777" w:rsidR="00657A15" w:rsidRPr="00DC4E81" w:rsidRDefault="00657A15" w:rsidP="00657A15">
      <w:pPr>
        <w:numPr>
          <w:ilvl w:val="2"/>
          <w:numId w:val="51"/>
        </w:numPr>
        <w:ind w:left="900"/>
        <w:rPr>
          <w:sz w:val="20"/>
        </w:rPr>
      </w:pPr>
      <w:r w:rsidRPr="00DC4E81">
        <w:rPr>
          <w:sz w:val="20"/>
        </w:rPr>
        <w:t xml:space="preserve">A detailed budget and supporting justification if there are changes to the negotiated budget, or a budget for the upcoming budget period was not approved at the time of award. </w:t>
      </w:r>
    </w:p>
    <w:p w14:paraId="441BF71F" w14:textId="77777777" w:rsidR="00657A15" w:rsidRPr="00DC4E81" w:rsidRDefault="00657A15" w:rsidP="00657A15">
      <w:pPr>
        <w:numPr>
          <w:ilvl w:val="2"/>
          <w:numId w:val="51"/>
        </w:numPr>
        <w:tabs>
          <w:tab w:val="left" w:pos="990"/>
        </w:tabs>
        <w:ind w:left="900"/>
        <w:rPr>
          <w:sz w:val="20"/>
        </w:rPr>
      </w:pPr>
      <w:r w:rsidRPr="00DC4E81">
        <w:rPr>
          <w:sz w:val="20"/>
        </w:rPr>
        <w:t>A description of any planned changes from the SOPO and/or Milestone Summary Table.</w:t>
      </w:r>
    </w:p>
  </w:footnote>
  <w:footnote w:id="54">
    <w:p w14:paraId="1E41EEDD" w14:textId="77777777" w:rsidR="00EA6908" w:rsidRDefault="00EA6908" w:rsidP="00EA6908">
      <w:pPr>
        <w:pStyle w:val="FootnoteText"/>
      </w:pPr>
      <w:r>
        <w:rPr>
          <w:rStyle w:val="FootnoteReference"/>
        </w:rPr>
        <w:footnoteRef/>
      </w:r>
      <w:r>
        <w:t xml:space="preserve"> DOE’s interim COI Policy can be found at </w:t>
      </w:r>
      <w:hyperlink r:id="rId12" w:history="1">
        <w:r w:rsidRPr="0070634A">
          <w:rPr>
            <w:color w:val="0000FF"/>
            <w:u w:val="single"/>
          </w:rPr>
          <w:t>PF 2022-17 FAL 2022-02 Department of Energy Interim Conflict of Interest Policy Requirements for Financial Assistance</w:t>
        </w:r>
      </w:hyperlink>
      <w:r>
        <w:t>. </w:t>
      </w:r>
    </w:p>
  </w:footnote>
  <w:footnote w:id="55">
    <w:p w14:paraId="7DA42D8B" w14:textId="77777777" w:rsidR="00770892" w:rsidRDefault="00770892" w:rsidP="00770892">
      <w:pPr>
        <w:pStyle w:val="FootnoteText"/>
      </w:pPr>
      <w:r>
        <w:rPr>
          <w:rStyle w:val="FootnoteReference"/>
        </w:rPr>
        <w:footnoteRef/>
      </w:r>
      <w:r>
        <w:t xml:space="preserve"> See </w:t>
      </w:r>
      <w:hyperlink r:id="rId13" w:history="1">
        <w:r>
          <w:rPr>
            <w:rStyle w:val="Hyperlink"/>
          </w:rPr>
          <w:t>Critical and Emerging Technologies List Update (whitehouse.gov)</w:t>
        </w:r>
      </w:hyperlink>
      <w:r>
        <w:t>.</w:t>
      </w:r>
    </w:p>
  </w:footnote>
  <w:footnote w:id="56">
    <w:p w14:paraId="1E7431BF" w14:textId="77777777" w:rsidR="00770892" w:rsidRDefault="00770892" w:rsidP="00770892">
      <w:pPr>
        <w:pStyle w:val="FootnoteText"/>
      </w:pPr>
      <w:r>
        <w:rPr>
          <w:rStyle w:val="FootnoteReference"/>
        </w:rPr>
        <w:footnoteRef/>
      </w:r>
      <w:r>
        <w:t xml:space="preserve"> BIL, § 70917(c)(1).</w:t>
      </w:r>
    </w:p>
  </w:footnote>
  <w:footnote w:id="57">
    <w:p w14:paraId="6AA536CA" w14:textId="77777777" w:rsidR="00770892" w:rsidRDefault="00770892" w:rsidP="00770892">
      <w:pPr>
        <w:pStyle w:val="FootnoteText"/>
      </w:pPr>
      <w:r>
        <w:rPr>
          <w:rStyle w:val="FootnoteReference"/>
        </w:rPr>
        <w:footnoteRef/>
      </w:r>
      <w:r>
        <w:t xml:space="preserve"> Excludes cement and cementitious materials, aggregates such as stone, sand, or gravel, or aggregate binding agents or additives.</w:t>
      </w:r>
    </w:p>
  </w:footnote>
  <w:footnote w:id="58">
    <w:p w14:paraId="79DDD12D" w14:textId="77777777" w:rsidR="009014E4" w:rsidRPr="005768E6" w:rsidRDefault="009014E4" w:rsidP="009014E4">
      <w:pPr>
        <w:pStyle w:val="FootnoteText"/>
      </w:pPr>
      <w:r w:rsidRPr="005768E6">
        <w:rPr>
          <w:rStyle w:val="FootnoteReference"/>
        </w:rPr>
        <w:footnoteRef/>
      </w:r>
      <w:r w:rsidRPr="005768E6">
        <w:t xml:space="preserve"> https://www.ers.usda.gov/topics/crops/soybeans-oil-crops/oil-crops-sector-at-a-glance/#:~:text=The%20major%20U.S.%20oilseed%20crops,percent%20of%20U.S.%20oilseed%20production.&amp;text=Field%20Crops%20for%20soybean%20dates%20by%20region).</w:t>
      </w:r>
    </w:p>
  </w:footnote>
  <w:footnote w:id="59">
    <w:p w14:paraId="4DAEA04F" w14:textId="77777777" w:rsidR="009014E4" w:rsidRPr="00AF2E02" w:rsidRDefault="009014E4" w:rsidP="009014E4">
      <w:pPr>
        <w:rPr>
          <w:rFonts w:eastAsiaTheme="minorHAnsi" w:cstheme="minorBidi"/>
          <w:sz w:val="20"/>
        </w:rPr>
      </w:pPr>
      <w:r w:rsidRPr="00AF2E02">
        <w:rPr>
          <w:rStyle w:val="FootnoteReference"/>
          <w:sz w:val="22"/>
          <w:szCs w:val="22"/>
        </w:rPr>
        <w:footnoteRef/>
      </w:r>
      <w:r w:rsidRPr="005768E6">
        <w:t xml:space="preserve"> </w:t>
      </w:r>
      <w:hyperlink r:id="rId14" w:history="1">
        <w:r w:rsidRPr="00AF2E02">
          <w:rPr>
            <w:rFonts w:eastAsiaTheme="minorHAnsi" w:cstheme="minorBidi"/>
            <w:sz w:val="20"/>
          </w:rPr>
          <w:t>https://www.epa.gov/renewable-fuel-standard-program/approved-pathways-renewable-fuel</w:t>
        </w:r>
      </w:hyperlink>
    </w:p>
    <w:p w14:paraId="3F48E55E" w14:textId="77777777" w:rsidR="009014E4" w:rsidRDefault="009014E4" w:rsidP="009014E4">
      <w:pPr>
        <w:pStyle w:val="FootnoteText"/>
      </w:pPr>
    </w:p>
  </w:footnote>
  <w:footnote w:id="60">
    <w:p w14:paraId="6E2B8B35" w14:textId="77777777" w:rsidR="00AA057D" w:rsidRDefault="00AA057D" w:rsidP="00AA057D">
      <w:pPr>
        <w:pStyle w:val="FootnoteText"/>
      </w:pPr>
      <w:r>
        <w:rPr>
          <w:rStyle w:val="FootnoteReference"/>
        </w:rPr>
        <w:footnoteRef/>
      </w:r>
      <w:r>
        <w:t xml:space="preserve"> </w:t>
      </w:r>
      <w:hyperlink r:id="rId15" w:history="1">
        <w:r w:rsidRPr="005650B5">
          <w:rPr>
            <w:rStyle w:val="Hyperlink"/>
          </w:rPr>
          <w:t>https://greet.es.anl.gov/</w:t>
        </w:r>
      </w:hyperlink>
      <w:r>
        <w:t xml:space="preserve"> </w:t>
      </w:r>
    </w:p>
  </w:footnote>
  <w:footnote w:id="61">
    <w:p w14:paraId="17886E36" w14:textId="77777777" w:rsidR="00AA057D" w:rsidRDefault="00AA057D" w:rsidP="00AA057D">
      <w:pPr>
        <w:pStyle w:val="FootnoteText"/>
      </w:pPr>
      <w:r>
        <w:rPr>
          <w:rStyle w:val="FootnoteReference"/>
        </w:rPr>
        <w:footnoteRef/>
      </w:r>
      <w:r>
        <w:t xml:space="preserve"> </w:t>
      </w:r>
      <w:hyperlink r:id="rId16" w:history="1">
        <w:r w:rsidRPr="005650B5">
          <w:rPr>
            <w:rStyle w:val="Hyperlink"/>
          </w:rPr>
          <w:t>https://www.icao.int/environmental-protection/CORSIA/Pages/CORSIA-Eligible-Fuels.aspx</w:t>
        </w:r>
      </w:hyperlink>
      <w:r>
        <w:t xml:space="preserve"> </w:t>
      </w:r>
    </w:p>
  </w:footnote>
  <w:footnote w:id="62">
    <w:p w14:paraId="10301EB0" w14:textId="77777777" w:rsidR="000F1FEB" w:rsidRDefault="000F1FEB" w:rsidP="000F1FEB">
      <w:pPr>
        <w:pStyle w:val="FootnoteText"/>
      </w:pPr>
      <w:r>
        <w:rPr>
          <w:rStyle w:val="FootnoteReference"/>
        </w:rPr>
        <w:footnoteRef/>
      </w:r>
      <w:r>
        <w:t xml:space="preserve"> </w:t>
      </w:r>
      <w:hyperlink r:id="rId17" w:history="1">
        <w:r w:rsidRPr="005650B5">
          <w:rPr>
            <w:rStyle w:val="Hyperlink"/>
          </w:rPr>
          <w:t>https://greet.es.anl.gov/</w:t>
        </w:r>
      </w:hyperlink>
      <w:r>
        <w:t xml:space="preserve"> </w:t>
      </w:r>
    </w:p>
  </w:footnote>
  <w:footnote w:id="63">
    <w:p w14:paraId="2115FC0A" w14:textId="77777777" w:rsidR="000F1FEB" w:rsidRDefault="000F1FEB" w:rsidP="000F1FEB">
      <w:pPr>
        <w:pStyle w:val="FootnoteText"/>
      </w:pPr>
      <w:r>
        <w:rPr>
          <w:rStyle w:val="FootnoteReference"/>
        </w:rPr>
        <w:footnoteRef/>
      </w:r>
      <w:r>
        <w:t xml:space="preserve"> </w:t>
      </w:r>
      <w:hyperlink r:id="rId18" w:history="1">
        <w:r w:rsidRPr="005650B5">
          <w:rPr>
            <w:rStyle w:val="Hyperlink"/>
          </w:rPr>
          <w:t>https://www.icao.int/environmental-protection/CORSIA/Pages/CORSIA-Eligible-Fuels.aspx</w:t>
        </w:r>
      </w:hyperlink>
      <w:r>
        <w:t xml:space="preserve"> </w:t>
      </w:r>
    </w:p>
  </w:footnote>
  <w:footnote w:id="64">
    <w:p w14:paraId="58D09865" w14:textId="77777777" w:rsidR="00574460" w:rsidRPr="005768E6" w:rsidRDefault="00574460" w:rsidP="00574460">
      <w:pPr>
        <w:pStyle w:val="FootnoteText"/>
      </w:pPr>
      <w:r w:rsidRPr="005768E6">
        <w:rPr>
          <w:rStyle w:val="FootnoteReference"/>
        </w:rPr>
        <w:footnoteRef/>
      </w:r>
      <w:r w:rsidRPr="005768E6">
        <w:t xml:space="preserve"> https://www.ers.usda.gov/topics/crops/soybeans-oil-crops/oil-crops-sector-at-a-glance/#:~:text=The%20major%20U.S.%20oilseed%20crops,percent%20of%20U.S.%20oilseed%20production.&amp;text=Field%20Crops%20for%20soybean%20dates%20by%20region).</w:t>
      </w:r>
    </w:p>
  </w:footnote>
  <w:footnote w:id="65">
    <w:p w14:paraId="5573459D" w14:textId="77777777" w:rsidR="00574460" w:rsidRPr="00AF2E02" w:rsidRDefault="00574460" w:rsidP="00574460">
      <w:pPr>
        <w:rPr>
          <w:rFonts w:eastAsiaTheme="minorHAnsi" w:cstheme="minorBidi"/>
          <w:sz w:val="20"/>
        </w:rPr>
      </w:pPr>
      <w:r w:rsidRPr="00AF2E02">
        <w:rPr>
          <w:rStyle w:val="FootnoteReference"/>
          <w:sz w:val="22"/>
          <w:szCs w:val="22"/>
        </w:rPr>
        <w:footnoteRef/>
      </w:r>
      <w:r w:rsidRPr="005768E6">
        <w:t xml:space="preserve"> </w:t>
      </w:r>
      <w:hyperlink r:id="rId19" w:history="1">
        <w:r w:rsidRPr="00AF2E02">
          <w:rPr>
            <w:rFonts w:eastAsiaTheme="minorHAnsi" w:cstheme="minorBidi"/>
            <w:sz w:val="20"/>
          </w:rPr>
          <w:t>https://www.epa.gov/renewable-fuel-standard-program/approved-pathways-renewable-fuel</w:t>
        </w:r>
      </w:hyperlink>
    </w:p>
    <w:p w14:paraId="42427998" w14:textId="77777777" w:rsidR="00574460" w:rsidRDefault="00574460" w:rsidP="0057446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CFFB3" w14:textId="0F7C24F0" w:rsidR="000A0B55" w:rsidRDefault="000A0B55">
    <w:pPr>
      <w:pStyle w:val="Header"/>
    </w:pPr>
    <w:r w:rsidRPr="00C95D6D">
      <w:rPr>
        <w:noProof/>
      </w:rPr>
      <w:drawing>
        <wp:inline distT="0" distB="0" distL="0" distR="0" wp14:anchorId="36E24712" wp14:editId="28A1C569">
          <wp:extent cx="3017520" cy="310896"/>
          <wp:effectExtent l="0" t="0" r="0" b="0"/>
          <wp:docPr id="953570621" name="Picture 953570621" descr="Q:\EE-62P\~~PMCO GENERAL\Communications\DOE Logos and Templates\EERE_identifiers\EERE Horizontal Identifiers\eere_logo_horiz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69537" name="Picture 2" descr="Q:\EE-62P\~~PMCO GENERAL\Communications\DOE Logos and Templates\EERE_identifiers\EERE Horizontal Identifiers\eere_logo_horiz_green.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017520" cy="310896"/>
                  </a:xfrm>
                  <a:prstGeom prst="rect">
                    <a:avLst/>
                  </a:prstGeom>
                  <a:noFill/>
                  <a:ln>
                    <a:noFill/>
                  </a:ln>
                </pic:spPr>
              </pic:pic>
            </a:graphicData>
          </a:graphic>
        </wp:inline>
      </w:drawing>
    </w:r>
    <w:r w:rsidRPr="009423D0">
      <w:rPr>
        <w:noProof/>
      </w:rPr>
      <mc:AlternateContent>
        <mc:Choice Requires="wps">
          <w:drawing>
            <wp:anchor distT="0" distB="0" distL="114300" distR="114300" simplePos="0" relativeHeight="251658243" behindDoc="1" locked="0" layoutInCell="1" allowOverlap="1" wp14:anchorId="5A08FF2A" wp14:editId="4F21BC54">
              <wp:simplePos x="0" y="0"/>
              <wp:positionH relativeFrom="margin">
                <wp:posOffset>-50800</wp:posOffset>
              </wp:positionH>
              <wp:positionV relativeFrom="paragraph">
                <wp:posOffset>427990</wp:posOffset>
              </wp:positionV>
              <wp:extent cx="6217920" cy="0"/>
              <wp:effectExtent l="0" t="0" r="30480" b="19050"/>
              <wp:wrapNone/>
              <wp:docPr id="303" name="Straight Connector 303"/>
              <wp:cNvGraphicFramePr/>
              <a:graphic xmlns:a="http://schemas.openxmlformats.org/drawingml/2006/main">
                <a:graphicData uri="http://schemas.microsoft.com/office/word/2010/wordprocessingShape">
                  <wps:wsp>
                    <wps:cNvCnPr/>
                    <wps:spPr>
                      <a:xfrm>
                        <a:off x="0" y="0"/>
                        <a:ext cx="6217920" cy="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AAF83" id="Straight Connector 303"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pt,33.7pt" to="485.6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" strokecolor="gray [1629]" strokeweight="1.5pt">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40390" w14:textId="70135D65" w:rsidR="000A0B55" w:rsidRPr="00F44784" w:rsidRDefault="000A0B55" w:rsidP="00F44784">
    <w:pPr>
      <w:pStyle w:val="Header"/>
    </w:pPr>
    <w:r>
      <w:rPr>
        <w:noProof/>
      </w:rPr>
      <mc:AlternateContent>
        <mc:Choice Requires="wps">
          <w:drawing>
            <wp:anchor distT="0" distB="0" distL="114300" distR="114300" simplePos="0" relativeHeight="251658248" behindDoc="0" locked="0" layoutInCell="1" allowOverlap="1" wp14:anchorId="31F2D5E7" wp14:editId="45E1D323">
              <wp:simplePos x="0" y="0"/>
              <wp:positionH relativeFrom="margin">
                <wp:posOffset>2647950</wp:posOffset>
              </wp:positionH>
              <wp:positionV relativeFrom="paragraph">
                <wp:posOffset>-19050</wp:posOffset>
              </wp:positionV>
              <wp:extent cx="3790950" cy="29527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295275"/>
                      </a:xfrm>
                      <a:prstGeom prst="rect">
                        <a:avLst/>
                      </a:prstGeom>
                      <a:noFill/>
                      <a:ln w="9525">
                        <a:noFill/>
                        <a:miter lim="800000"/>
                        <a:headEnd/>
                        <a:tailEnd/>
                      </a:ln>
                    </wps:spPr>
                    <wps:txbx>
                      <w:txbxContent>
                        <w:p w14:paraId="25A683C7" w14:textId="77777777" w:rsidR="000A0B55" w:rsidRDefault="000A0B55" w:rsidP="009A12E6">
                          <w:pPr>
                            <w:rPr>
                              <w:rFonts w:ascii="Calibri" w:hAnsi="Calibri"/>
                              <w:b/>
                              <w:color w:val="FFFFFF" w:themeColor="background1"/>
                              <w:szCs w:val="24"/>
                            </w:rPr>
                          </w:pPr>
                          <w:r w:rsidRPr="006A531E">
                            <w:rPr>
                              <w:rFonts w:ascii="Calibri" w:hAnsi="Calibri"/>
                              <w:b/>
                              <w:color w:val="FFFFFF" w:themeColor="background1"/>
                              <w:szCs w:val="24"/>
                            </w:rPr>
                            <w:t>EERE T 540.117-01</w:t>
                          </w:r>
                          <w:r w:rsidRPr="004641EB">
                            <w:rPr>
                              <w:rFonts w:ascii="Calibri" w:hAnsi="Calibri"/>
                              <w:b/>
                              <w:color w:val="FFFFFF" w:themeColor="background1"/>
                              <w:szCs w:val="24"/>
                            </w:rPr>
                            <w:t xml:space="preserve">: </w:t>
                          </w:r>
                          <w:r>
                            <w:rPr>
                              <w:rFonts w:ascii="Calibri" w:hAnsi="Calibri"/>
                              <w:b/>
                              <w:color w:val="FFFFFF" w:themeColor="background1"/>
                              <w:szCs w:val="24"/>
                            </w:rPr>
                            <w:t>Funding Opportunity Announcement</w:t>
                          </w:r>
                        </w:p>
                        <w:p w14:paraId="001A26F7" w14:textId="77777777" w:rsidR="000A0B55" w:rsidRPr="00272D64" w:rsidRDefault="000A0B55" w:rsidP="00942CAD">
                          <w:pPr>
                            <w:ind w:left="720"/>
                            <w:jc w:val="right"/>
                            <w:rPr>
                              <w:rFonts w:ascii="Calibri" w:hAnsi="Calibri"/>
                              <w:b/>
                              <w:color w:val="FFFFFF" w:themeColor="background1"/>
                              <w:sz w:val="10"/>
                              <w:szCs w:val="10"/>
                            </w:rPr>
                          </w:pPr>
                        </w:p>
                        <w:p w14:paraId="065571A7" w14:textId="77777777" w:rsidR="000A0B55" w:rsidRPr="006E3D58" w:rsidRDefault="000A0B55" w:rsidP="00942CAD">
                          <w:pPr>
                            <w:ind w:left="720"/>
                            <w:jc w:val="right"/>
                            <w:rPr>
                              <w:rFonts w:ascii="Calibri" w:hAnsi="Calibri"/>
                              <w:b/>
                              <w:color w:val="FFFFFF" w:themeColor="background1"/>
                              <w:szCs w:val="24"/>
                            </w:rPr>
                          </w:pPr>
                        </w:p>
                        <w:p w14:paraId="16F5D5AF" w14:textId="77777777" w:rsidR="000A0B55" w:rsidRPr="006E3D58" w:rsidRDefault="000A0B55" w:rsidP="00942CAD">
                          <w:pPr>
                            <w:ind w:left="1440" w:firstLine="720"/>
                            <w:jc w:val="right"/>
                            <w:rPr>
                              <w:rFonts w:ascii="Calibri" w:hAnsi="Calibri"/>
                              <w:color w:val="FFFFFF" w:themeColor="background1"/>
                              <w:szCs w:val="24"/>
                            </w:rPr>
                          </w:pPr>
                        </w:p>
                      </w:txbxContent>
                    </wps:txbx>
                    <wps:bodyPr rot="0" vert="horz" wrap="square"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F2D5E7" id="_x0000_t202" coordsize="21600,21600" o:spt="202" path="m,l,21600r21600,l21600,xe">
              <v:stroke joinstyle="miter"/>
              <v:path gradientshapeok="t" o:connecttype="rect"/>
            </v:shapetype>
            <v:shape id="Text Box 9" o:spid="_x0000_s1026" type="#_x0000_t202" style="position:absolute;margin-left:208.5pt;margin-top:-1.5pt;width:298.5pt;height:23.2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" filled="f" stroked="f">
              <v:textbox>
                <w:txbxContent>
                  <w:p w14:paraId="25A683C7" w14:textId="77777777" w:rsidR="000A0B55" w:rsidRDefault="000A0B55" w:rsidP="009A12E6">
                    <w:pPr>
                      <w:rPr>
                        <w:rFonts w:ascii="Calibri" w:hAnsi="Calibri"/>
                        <w:b/>
                        <w:color w:val="FFFFFF" w:themeColor="background1"/>
                        <w:szCs w:val="24"/>
                      </w:rPr>
                    </w:pPr>
                    <w:r w:rsidRPr="006A531E">
                      <w:rPr>
                        <w:rFonts w:ascii="Calibri" w:hAnsi="Calibri"/>
                        <w:b/>
                        <w:color w:val="FFFFFF" w:themeColor="background1"/>
                        <w:szCs w:val="24"/>
                      </w:rPr>
                      <w:t>EERE T 540.117-01</w:t>
                    </w:r>
                    <w:r w:rsidRPr="004641EB">
                      <w:rPr>
                        <w:rFonts w:ascii="Calibri" w:hAnsi="Calibri"/>
                        <w:b/>
                        <w:color w:val="FFFFFF" w:themeColor="background1"/>
                        <w:szCs w:val="24"/>
                      </w:rPr>
                      <w:t xml:space="preserve">: </w:t>
                    </w:r>
                    <w:r>
                      <w:rPr>
                        <w:rFonts w:ascii="Calibri" w:hAnsi="Calibri"/>
                        <w:b/>
                        <w:color w:val="FFFFFF" w:themeColor="background1"/>
                        <w:szCs w:val="24"/>
                      </w:rPr>
                      <w:t>Funding Opportunity Announcement</w:t>
                    </w:r>
                  </w:p>
                  <w:p w14:paraId="001A26F7" w14:textId="77777777" w:rsidR="000A0B55" w:rsidRPr="00272D64" w:rsidRDefault="000A0B55" w:rsidP="00942CAD">
                    <w:pPr>
                      <w:ind w:left="720"/>
                      <w:jc w:val="right"/>
                      <w:rPr>
                        <w:rFonts w:ascii="Calibri" w:hAnsi="Calibri"/>
                        <w:b/>
                        <w:color w:val="FFFFFF" w:themeColor="background1"/>
                        <w:sz w:val="10"/>
                        <w:szCs w:val="10"/>
                      </w:rPr>
                    </w:pPr>
                  </w:p>
                  <w:p w14:paraId="065571A7" w14:textId="77777777" w:rsidR="000A0B55" w:rsidRPr="006E3D58" w:rsidRDefault="000A0B55" w:rsidP="00942CAD">
                    <w:pPr>
                      <w:ind w:left="720"/>
                      <w:jc w:val="right"/>
                      <w:rPr>
                        <w:rFonts w:ascii="Calibri" w:hAnsi="Calibri"/>
                        <w:b/>
                        <w:color w:val="FFFFFF" w:themeColor="background1"/>
                        <w:szCs w:val="24"/>
                      </w:rPr>
                    </w:pPr>
                  </w:p>
                  <w:p w14:paraId="16F5D5AF" w14:textId="77777777" w:rsidR="000A0B55" w:rsidRPr="006E3D58" w:rsidRDefault="000A0B55" w:rsidP="00942CAD">
                    <w:pPr>
                      <w:ind w:left="1440" w:firstLine="720"/>
                      <w:jc w:val="right"/>
                      <w:rPr>
                        <w:rFonts w:ascii="Calibri" w:hAnsi="Calibri"/>
                        <w:color w:val="FFFFFF" w:themeColor="background1"/>
                        <w:szCs w:val="24"/>
                      </w:rPr>
                    </w:pPr>
                  </w:p>
                </w:txbxContent>
              </v:textbox>
              <w10:wrap anchorx="margin"/>
            </v:shape>
          </w:pict>
        </mc:Fallback>
      </mc:AlternateContent>
    </w:r>
    <w:r>
      <w:rPr>
        <w:rFonts w:cstheme="minorBidi"/>
        <w:noProof/>
        <w:szCs w:val="24"/>
      </w:rPr>
      <mc:AlternateContent>
        <mc:Choice Requires="wpg">
          <w:drawing>
            <wp:anchor distT="0" distB="0" distL="114300" distR="114300" simplePos="0" relativeHeight="251658247" behindDoc="0" locked="0" layoutInCell="1" allowOverlap="1" wp14:anchorId="70E39C68" wp14:editId="633A126D">
              <wp:simplePos x="0" y="0"/>
              <wp:positionH relativeFrom="column">
                <wp:posOffset>-390525</wp:posOffset>
              </wp:positionH>
              <wp:positionV relativeFrom="paragraph">
                <wp:posOffset>-190500</wp:posOffset>
              </wp:positionV>
              <wp:extent cx="6843077" cy="649449"/>
              <wp:effectExtent l="0" t="0" r="0" b="0"/>
              <wp:wrapNone/>
              <wp:docPr id="26" name="Group 26"/>
              <wp:cNvGraphicFramePr/>
              <a:graphic xmlns:a="http://schemas.openxmlformats.org/drawingml/2006/main">
                <a:graphicData uri="http://schemas.microsoft.com/office/word/2010/wordprocessingGroup">
                  <wpg:wgp>
                    <wpg:cNvGrpSpPr/>
                    <wpg:grpSpPr>
                      <a:xfrm>
                        <a:off x="0" y="0"/>
                        <a:ext cx="6843077" cy="649449"/>
                        <a:chOff x="0" y="0"/>
                        <a:chExt cx="6843077" cy="649449"/>
                      </a:xfrm>
                    </wpg:grpSpPr>
                    <wps:wsp>
                      <wps:cNvPr id="22" name="Rectangle 22"/>
                      <wps:cNvSpPr/>
                      <wps:spPr>
                        <a:xfrm>
                          <a:off x="0" y="0"/>
                          <a:ext cx="6838950" cy="609600"/>
                        </a:xfrm>
                        <a:prstGeom prst="rect">
                          <a:avLst/>
                        </a:prstGeom>
                        <a:solidFill>
                          <a:srgbClr val="0079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0" y="601824"/>
                          <a:ext cx="6838950" cy="47625"/>
                        </a:xfrm>
                        <a:prstGeom prst="rect">
                          <a:avLst/>
                        </a:prstGeom>
                        <a:solidFill>
                          <a:srgbClr val="5B66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814804" y="601824"/>
                          <a:ext cx="5028273" cy="45719"/>
                        </a:xfrm>
                        <a:prstGeom prst="rect">
                          <a:avLst/>
                        </a:prstGeom>
                        <a:solidFill>
                          <a:srgbClr val="76BC2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Pictur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121298" y="158620"/>
                          <a:ext cx="2738120" cy="285750"/>
                        </a:xfrm>
                        <a:prstGeom prst="rect">
                          <a:avLst/>
                        </a:prstGeom>
                        <a:noFill/>
                        <a:ln w="9525">
                          <a:noFill/>
                          <a:miter lim="800000"/>
                          <a:headEnd/>
                          <a:tailEnd/>
                        </a:ln>
                      </pic:spPr>
                    </pic:pic>
                  </wpg:wgp>
                </a:graphicData>
              </a:graphic>
              <wp14:sizeRelH relativeFrom="margin">
                <wp14:pctWidth>0</wp14:pctWidth>
              </wp14:sizeRelH>
              <wp14:sizeRelV relativeFrom="margin">
                <wp14:pctHeight>0</wp14:pctHeight>
              </wp14:sizeRelV>
            </wp:anchor>
          </w:drawing>
        </mc:Choice>
        <mc:Fallback>
          <w:pict>
            <v:group w14:anchorId="1DB91ABA" id="Group 26" o:spid="_x0000_s1026" style="position:absolute;margin-left:-30.75pt;margin-top:-15pt;width:538.8pt;height:51.15pt;z-index:251662336;mso-width-relative:margin;mso-height-relative:margin" coordsize="68430,6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">
              <v:rect id="Rectangle 22" o:spid="_x0000_s1027" style="position:absolute;width:6838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" fillcolor="#007934" stroked="f" strokeweight="2pt"/>
              <v:rect id="Rectangle 23" o:spid="_x0000_s1028" style="position:absolute;top:6018;width:68389;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" fillcolor="#5b6670" stroked="f" strokeweight="2pt"/>
              <v:rect id="Rectangle 24" o:spid="_x0000_s1029" style="position:absolute;left:18148;top:6018;width:502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" fillcolor="#76bc21"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30" type="#_x0000_t75" style="position:absolute;left:1212;top:1586;width:27382;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">
                <v:imagedata r:id="rId2" o:title=""/>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6046C" w14:textId="77777777" w:rsidR="000A0B55" w:rsidRDefault="000A0B55">
    <w:pPr>
      <w:pStyle w:val="Header"/>
    </w:pPr>
    <w:r>
      <w:rPr>
        <w:i/>
        <w:noProof/>
        <w:sz w:val="20"/>
      </w:rPr>
      <mc:AlternateContent>
        <mc:Choice Requires="wps">
          <w:drawing>
            <wp:anchor distT="0" distB="0" distL="114300" distR="114300" simplePos="0" relativeHeight="251658242" behindDoc="1" locked="0" layoutInCell="1" allowOverlap="1" wp14:anchorId="79888329" wp14:editId="46AC16B3">
              <wp:simplePos x="0" y="0"/>
              <wp:positionH relativeFrom="margin">
                <wp:align>left</wp:align>
              </wp:positionH>
              <wp:positionV relativeFrom="paragraph">
                <wp:posOffset>389890</wp:posOffset>
              </wp:positionV>
              <wp:extent cx="6217920" cy="0"/>
              <wp:effectExtent l="0" t="0" r="30480" b="19050"/>
              <wp:wrapNone/>
              <wp:docPr id="297" name="Straight Connector 297"/>
              <wp:cNvGraphicFramePr/>
              <a:graphic xmlns:a="http://schemas.openxmlformats.org/drawingml/2006/main">
                <a:graphicData uri="http://schemas.microsoft.com/office/word/2010/wordprocessingShape">
                  <wps:wsp>
                    <wps:cNvCnPr/>
                    <wps:spPr>
                      <a:xfrm>
                        <a:off x="0" y="0"/>
                        <a:ext cx="6217920" cy="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A3616F" id="Straight Connector 297" o:spid="_x0000_s1026" style="position:absolute;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0.7pt" to="489.6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" strokecolor="gray [1629]" strokeweight="1.5pt">
              <w10:wrap anchorx="margin"/>
            </v:line>
          </w:pict>
        </mc:Fallback>
      </mc:AlternateContent>
    </w:r>
    <w:r w:rsidRPr="00C95D6D">
      <w:rPr>
        <w:noProof/>
      </w:rPr>
      <w:drawing>
        <wp:inline distT="0" distB="0" distL="0" distR="0" wp14:anchorId="36C86687" wp14:editId="411216D2">
          <wp:extent cx="3017520" cy="310896"/>
          <wp:effectExtent l="0" t="0" r="0" b="0"/>
          <wp:docPr id="1970802169" name="Picture 1970802169" descr="Q:\EE-62P\~~PMCO GENERAL\Communications\DOE Logos and Templates\EERE_identifiers\EERE Horizontal Identifiers\eere_logo_horiz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546839" name="Picture 2" descr="Q:\EE-62P\~~PMCO GENERAL\Communications\DOE Logos and Templates\EERE_identifiers\EERE Horizontal Identifiers\eere_logo_horiz_green.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017520" cy="31089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E498D" w14:textId="77777777" w:rsidR="000A0B55" w:rsidRDefault="000A0B55">
    <w:pPr>
      <w:pStyle w:val="Header"/>
    </w:pPr>
    <w:r>
      <w:rPr>
        <w:i/>
        <w:noProof/>
        <w:sz w:val="20"/>
      </w:rPr>
      <mc:AlternateContent>
        <mc:Choice Requires="wps">
          <w:drawing>
            <wp:anchor distT="0" distB="0" distL="114300" distR="114300" simplePos="0" relativeHeight="251658241" behindDoc="1" locked="0" layoutInCell="1" allowOverlap="1" wp14:anchorId="0C10095F" wp14:editId="52EFA88B">
              <wp:simplePos x="0" y="0"/>
              <wp:positionH relativeFrom="margin">
                <wp:align>left</wp:align>
              </wp:positionH>
              <wp:positionV relativeFrom="paragraph">
                <wp:posOffset>439759</wp:posOffset>
              </wp:positionV>
              <wp:extent cx="6217920" cy="13648"/>
              <wp:effectExtent l="0" t="0" r="30480" b="24765"/>
              <wp:wrapNone/>
              <wp:docPr id="296" name="Straight Connector 296"/>
              <wp:cNvGraphicFramePr/>
              <a:graphic xmlns:a="http://schemas.openxmlformats.org/drawingml/2006/main">
                <a:graphicData uri="http://schemas.microsoft.com/office/word/2010/wordprocessingShape">
                  <wps:wsp>
                    <wps:cNvCnPr/>
                    <wps:spPr>
                      <a:xfrm flipV="1">
                        <a:off x="0" y="0"/>
                        <a:ext cx="6217920" cy="13648"/>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61039B" id="Straight Connector 296" o:spid="_x0000_s1026" style="position:absolute;flip:y;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34.65pt" to="489.6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" strokecolor="gray [1629]" strokeweight="1.5pt">
              <w10:wrap anchorx="margin"/>
            </v:line>
          </w:pict>
        </mc:Fallback>
      </mc:AlternateContent>
    </w:r>
    <w:r w:rsidRPr="00C95D6D">
      <w:rPr>
        <w:noProof/>
      </w:rPr>
      <w:drawing>
        <wp:inline distT="0" distB="0" distL="0" distR="0" wp14:anchorId="7C10244A" wp14:editId="124D3774">
          <wp:extent cx="3017520" cy="310896"/>
          <wp:effectExtent l="0" t="0" r="0" b="0"/>
          <wp:docPr id="991744316" name="Picture 991744316" descr="Q:\EE-62P\~~PMCO GENERAL\Communications\DOE Logos and Templates\EERE_identifiers\EERE Horizontal Identifiers\eere_logo_horiz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51086" name="Picture 2" descr="Q:\EE-62P\~~PMCO GENERAL\Communications\DOE Logos and Templates\EERE_identifiers\EERE Horizontal Identifiers\eere_logo_horiz_green.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017520" cy="3108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3"/>
    <w:multiLevelType w:val="multilevel"/>
    <w:tmpl w:val="FEDE4BE8"/>
    <w:lvl w:ilvl="0">
      <w:start w:val="1"/>
      <w:numFmt w:val="decimal"/>
      <w:lvlText w:val="(%1)"/>
      <w:lvlJc w:val="left"/>
      <w:pPr>
        <w:ind w:left="3600" w:hanging="360"/>
      </w:pPr>
      <w:rPr>
        <w:rFonts w:hint="default"/>
        <w:b/>
        <w:bCs w:val="0"/>
        <w:sz w:val="24"/>
        <w:szCs w:val="24"/>
      </w:rPr>
    </w:lvl>
    <w:lvl w:ilvl="1">
      <w:numFmt w:val="bullet"/>
      <w:lvlText w:val="•"/>
      <w:lvlJc w:val="left"/>
      <w:pPr>
        <w:ind w:left="1605" w:hanging="360"/>
      </w:pPr>
      <w:rPr>
        <w:rFonts w:hint="default"/>
      </w:rPr>
    </w:lvl>
    <w:lvl w:ilvl="2">
      <w:numFmt w:val="bullet"/>
      <w:lvlText w:val="•"/>
      <w:lvlJc w:val="left"/>
      <w:pPr>
        <w:ind w:left="2447" w:hanging="360"/>
      </w:pPr>
      <w:rPr>
        <w:rFonts w:hint="default"/>
      </w:rPr>
    </w:lvl>
    <w:lvl w:ilvl="3">
      <w:numFmt w:val="bullet"/>
      <w:lvlText w:val="•"/>
      <w:lvlJc w:val="left"/>
      <w:pPr>
        <w:ind w:left="3289" w:hanging="360"/>
      </w:pPr>
      <w:rPr>
        <w:rFonts w:hint="default"/>
      </w:rPr>
    </w:lvl>
    <w:lvl w:ilvl="4">
      <w:numFmt w:val="bullet"/>
      <w:lvlText w:val="•"/>
      <w:lvlJc w:val="left"/>
      <w:pPr>
        <w:ind w:left="4130" w:hanging="360"/>
      </w:pPr>
      <w:rPr>
        <w:rFonts w:hint="default"/>
      </w:rPr>
    </w:lvl>
    <w:lvl w:ilvl="5">
      <w:numFmt w:val="bullet"/>
      <w:lvlText w:val="•"/>
      <w:lvlJc w:val="left"/>
      <w:pPr>
        <w:ind w:left="4972" w:hanging="360"/>
      </w:pPr>
      <w:rPr>
        <w:rFonts w:hint="default"/>
      </w:rPr>
    </w:lvl>
    <w:lvl w:ilvl="6">
      <w:numFmt w:val="bullet"/>
      <w:lvlText w:val="•"/>
      <w:lvlJc w:val="left"/>
      <w:pPr>
        <w:ind w:left="5813" w:hanging="360"/>
      </w:pPr>
      <w:rPr>
        <w:rFonts w:hint="default"/>
      </w:rPr>
    </w:lvl>
    <w:lvl w:ilvl="7">
      <w:numFmt w:val="bullet"/>
      <w:lvlText w:val="•"/>
      <w:lvlJc w:val="left"/>
      <w:pPr>
        <w:ind w:left="6655" w:hanging="360"/>
      </w:pPr>
      <w:rPr>
        <w:rFonts w:hint="default"/>
      </w:rPr>
    </w:lvl>
    <w:lvl w:ilvl="8">
      <w:numFmt w:val="bullet"/>
      <w:lvlText w:val="•"/>
      <w:lvlJc w:val="left"/>
      <w:pPr>
        <w:ind w:left="7496" w:hanging="360"/>
      </w:pPr>
      <w:rPr>
        <w:rFonts w:hint="default"/>
      </w:rPr>
    </w:lvl>
  </w:abstractNum>
  <w:abstractNum w:abstractNumId="1" w15:restartNumberingAfterBreak="0">
    <w:nsid w:val="00CE03A0"/>
    <w:multiLevelType w:val="hybridMultilevel"/>
    <w:tmpl w:val="7F14BA42"/>
    <w:lvl w:ilvl="0" w:tplc="E6A86EBC">
      <w:start w:val="1"/>
      <w:numFmt w:val="bullet"/>
      <w:lvlText w:val=""/>
      <w:lvlJc w:val="left"/>
      <w:pPr>
        <w:ind w:left="720" w:hanging="360"/>
      </w:pPr>
      <w:rPr>
        <w:rFonts w:ascii="Symbol" w:hAnsi="Symbol" w:hint="default"/>
      </w:rPr>
    </w:lvl>
    <w:lvl w:ilvl="1" w:tplc="89E22998" w:tentative="1">
      <w:start w:val="1"/>
      <w:numFmt w:val="bullet"/>
      <w:lvlText w:val="o"/>
      <w:lvlJc w:val="left"/>
      <w:pPr>
        <w:ind w:left="1440" w:hanging="360"/>
      </w:pPr>
      <w:rPr>
        <w:rFonts w:ascii="Courier New" w:hAnsi="Courier New" w:cs="Courier New" w:hint="default"/>
      </w:rPr>
    </w:lvl>
    <w:lvl w:ilvl="2" w:tplc="23888A46" w:tentative="1">
      <w:start w:val="1"/>
      <w:numFmt w:val="bullet"/>
      <w:lvlText w:val=""/>
      <w:lvlJc w:val="left"/>
      <w:pPr>
        <w:ind w:left="2160" w:hanging="360"/>
      </w:pPr>
      <w:rPr>
        <w:rFonts w:ascii="Wingdings" w:hAnsi="Wingdings" w:hint="default"/>
      </w:rPr>
    </w:lvl>
    <w:lvl w:ilvl="3" w:tplc="064856B0" w:tentative="1">
      <w:start w:val="1"/>
      <w:numFmt w:val="bullet"/>
      <w:lvlText w:val=""/>
      <w:lvlJc w:val="left"/>
      <w:pPr>
        <w:ind w:left="2880" w:hanging="360"/>
      </w:pPr>
      <w:rPr>
        <w:rFonts w:ascii="Symbol" w:hAnsi="Symbol" w:hint="default"/>
      </w:rPr>
    </w:lvl>
    <w:lvl w:ilvl="4" w:tplc="F9D28BE2" w:tentative="1">
      <w:start w:val="1"/>
      <w:numFmt w:val="bullet"/>
      <w:lvlText w:val="o"/>
      <w:lvlJc w:val="left"/>
      <w:pPr>
        <w:ind w:left="3600" w:hanging="360"/>
      </w:pPr>
      <w:rPr>
        <w:rFonts w:ascii="Courier New" w:hAnsi="Courier New" w:cs="Courier New" w:hint="default"/>
      </w:rPr>
    </w:lvl>
    <w:lvl w:ilvl="5" w:tplc="EE6411DE" w:tentative="1">
      <w:start w:val="1"/>
      <w:numFmt w:val="bullet"/>
      <w:lvlText w:val=""/>
      <w:lvlJc w:val="left"/>
      <w:pPr>
        <w:ind w:left="4320" w:hanging="360"/>
      </w:pPr>
      <w:rPr>
        <w:rFonts w:ascii="Wingdings" w:hAnsi="Wingdings" w:hint="default"/>
      </w:rPr>
    </w:lvl>
    <w:lvl w:ilvl="6" w:tplc="EE9A1556" w:tentative="1">
      <w:start w:val="1"/>
      <w:numFmt w:val="bullet"/>
      <w:lvlText w:val=""/>
      <w:lvlJc w:val="left"/>
      <w:pPr>
        <w:ind w:left="5040" w:hanging="360"/>
      </w:pPr>
      <w:rPr>
        <w:rFonts w:ascii="Symbol" w:hAnsi="Symbol" w:hint="default"/>
      </w:rPr>
    </w:lvl>
    <w:lvl w:ilvl="7" w:tplc="EBA4970A" w:tentative="1">
      <w:start w:val="1"/>
      <w:numFmt w:val="bullet"/>
      <w:lvlText w:val="o"/>
      <w:lvlJc w:val="left"/>
      <w:pPr>
        <w:ind w:left="5760" w:hanging="360"/>
      </w:pPr>
      <w:rPr>
        <w:rFonts w:ascii="Courier New" w:hAnsi="Courier New" w:cs="Courier New" w:hint="default"/>
      </w:rPr>
    </w:lvl>
    <w:lvl w:ilvl="8" w:tplc="BEBE185C" w:tentative="1">
      <w:start w:val="1"/>
      <w:numFmt w:val="bullet"/>
      <w:lvlText w:val=""/>
      <w:lvlJc w:val="left"/>
      <w:pPr>
        <w:ind w:left="6480" w:hanging="360"/>
      </w:pPr>
      <w:rPr>
        <w:rFonts w:ascii="Wingdings" w:hAnsi="Wingdings" w:hint="default"/>
      </w:rPr>
    </w:lvl>
  </w:abstractNum>
  <w:abstractNum w:abstractNumId="2" w15:restartNumberingAfterBreak="0">
    <w:nsid w:val="01D62F55"/>
    <w:multiLevelType w:val="multilevel"/>
    <w:tmpl w:val="12D6DF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3B31EBD"/>
    <w:multiLevelType w:val="hybridMultilevel"/>
    <w:tmpl w:val="C3CC01E4"/>
    <w:lvl w:ilvl="0" w:tplc="08423866">
      <w:start w:val="1"/>
      <w:numFmt w:val="bullet"/>
      <w:lvlText w:val=""/>
      <w:lvlJc w:val="left"/>
      <w:pPr>
        <w:ind w:left="1440" w:hanging="360"/>
      </w:pPr>
      <w:rPr>
        <w:rFonts w:ascii="Symbol" w:hAnsi="Symbol" w:hint="default"/>
      </w:rPr>
    </w:lvl>
    <w:lvl w:ilvl="1" w:tplc="EDBA85B6">
      <w:start w:val="1"/>
      <w:numFmt w:val="lowerLetter"/>
      <w:lvlText w:val="%2."/>
      <w:lvlJc w:val="left"/>
      <w:pPr>
        <w:ind w:left="2160" w:hanging="360"/>
      </w:pPr>
    </w:lvl>
    <w:lvl w:ilvl="2" w:tplc="2D72DECE">
      <w:start w:val="1"/>
      <w:numFmt w:val="lowerRoman"/>
      <w:lvlText w:val="%3."/>
      <w:lvlJc w:val="right"/>
      <w:pPr>
        <w:ind w:left="2880" w:hanging="180"/>
      </w:pPr>
    </w:lvl>
    <w:lvl w:ilvl="3" w:tplc="3EACD8C2" w:tentative="1">
      <w:start w:val="1"/>
      <w:numFmt w:val="decimal"/>
      <w:lvlText w:val="%4."/>
      <w:lvlJc w:val="left"/>
      <w:pPr>
        <w:ind w:left="3600" w:hanging="360"/>
      </w:pPr>
    </w:lvl>
    <w:lvl w:ilvl="4" w:tplc="1BFE41B8" w:tentative="1">
      <w:start w:val="1"/>
      <w:numFmt w:val="lowerLetter"/>
      <w:lvlText w:val="%5."/>
      <w:lvlJc w:val="left"/>
      <w:pPr>
        <w:ind w:left="4320" w:hanging="360"/>
      </w:pPr>
    </w:lvl>
    <w:lvl w:ilvl="5" w:tplc="BBCAD85C" w:tentative="1">
      <w:start w:val="1"/>
      <w:numFmt w:val="lowerRoman"/>
      <w:lvlText w:val="%6."/>
      <w:lvlJc w:val="right"/>
      <w:pPr>
        <w:ind w:left="5040" w:hanging="180"/>
      </w:pPr>
    </w:lvl>
    <w:lvl w:ilvl="6" w:tplc="C680D418" w:tentative="1">
      <w:start w:val="1"/>
      <w:numFmt w:val="decimal"/>
      <w:lvlText w:val="%7."/>
      <w:lvlJc w:val="left"/>
      <w:pPr>
        <w:ind w:left="5760" w:hanging="360"/>
      </w:pPr>
    </w:lvl>
    <w:lvl w:ilvl="7" w:tplc="44FCE138" w:tentative="1">
      <w:start w:val="1"/>
      <w:numFmt w:val="lowerLetter"/>
      <w:lvlText w:val="%8."/>
      <w:lvlJc w:val="left"/>
      <w:pPr>
        <w:ind w:left="6480" w:hanging="360"/>
      </w:pPr>
    </w:lvl>
    <w:lvl w:ilvl="8" w:tplc="AC746CE2" w:tentative="1">
      <w:start w:val="1"/>
      <w:numFmt w:val="lowerRoman"/>
      <w:lvlText w:val="%9."/>
      <w:lvlJc w:val="right"/>
      <w:pPr>
        <w:ind w:left="7200" w:hanging="180"/>
      </w:pPr>
    </w:lvl>
  </w:abstractNum>
  <w:abstractNum w:abstractNumId="4" w15:restartNumberingAfterBreak="0">
    <w:nsid w:val="049B6559"/>
    <w:multiLevelType w:val="hybridMultilevel"/>
    <w:tmpl w:val="92DECF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5D03678"/>
    <w:multiLevelType w:val="hybridMultilevel"/>
    <w:tmpl w:val="E4948DDA"/>
    <w:lvl w:ilvl="0" w:tplc="25020022">
      <w:start w:val="1"/>
      <w:numFmt w:val="decimal"/>
      <w:lvlText w:val="(%1)"/>
      <w:lvlJc w:val="left"/>
      <w:pPr>
        <w:ind w:left="720" w:hanging="360"/>
      </w:pPr>
      <w:rPr>
        <w:rFonts w:hint="default"/>
        <w:b/>
      </w:rPr>
    </w:lvl>
    <w:lvl w:ilvl="1" w:tplc="6B946A60" w:tentative="1">
      <w:start w:val="1"/>
      <w:numFmt w:val="lowerLetter"/>
      <w:lvlText w:val="%2."/>
      <w:lvlJc w:val="left"/>
      <w:pPr>
        <w:ind w:left="1440" w:hanging="360"/>
      </w:pPr>
    </w:lvl>
    <w:lvl w:ilvl="2" w:tplc="5B4E244A" w:tentative="1">
      <w:start w:val="1"/>
      <w:numFmt w:val="lowerRoman"/>
      <w:lvlText w:val="%3."/>
      <w:lvlJc w:val="right"/>
      <w:pPr>
        <w:ind w:left="2160" w:hanging="180"/>
      </w:pPr>
    </w:lvl>
    <w:lvl w:ilvl="3" w:tplc="7AF21792" w:tentative="1">
      <w:start w:val="1"/>
      <w:numFmt w:val="decimal"/>
      <w:lvlText w:val="%4."/>
      <w:lvlJc w:val="left"/>
      <w:pPr>
        <w:ind w:left="2880" w:hanging="360"/>
      </w:pPr>
    </w:lvl>
    <w:lvl w:ilvl="4" w:tplc="AFF2896E" w:tentative="1">
      <w:start w:val="1"/>
      <w:numFmt w:val="lowerLetter"/>
      <w:lvlText w:val="%5."/>
      <w:lvlJc w:val="left"/>
      <w:pPr>
        <w:ind w:left="3600" w:hanging="360"/>
      </w:pPr>
    </w:lvl>
    <w:lvl w:ilvl="5" w:tplc="A454C9A4" w:tentative="1">
      <w:start w:val="1"/>
      <w:numFmt w:val="lowerRoman"/>
      <w:lvlText w:val="%6."/>
      <w:lvlJc w:val="right"/>
      <w:pPr>
        <w:ind w:left="4320" w:hanging="180"/>
      </w:pPr>
    </w:lvl>
    <w:lvl w:ilvl="6" w:tplc="51BC2486" w:tentative="1">
      <w:start w:val="1"/>
      <w:numFmt w:val="decimal"/>
      <w:lvlText w:val="%7."/>
      <w:lvlJc w:val="left"/>
      <w:pPr>
        <w:ind w:left="5040" w:hanging="360"/>
      </w:pPr>
    </w:lvl>
    <w:lvl w:ilvl="7" w:tplc="986E19B4" w:tentative="1">
      <w:start w:val="1"/>
      <w:numFmt w:val="lowerLetter"/>
      <w:lvlText w:val="%8."/>
      <w:lvlJc w:val="left"/>
      <w:pPr>
        <w:ind w:left="5760" w:hanging="360"/>
      </w:pPr>
    </w:lvl>
    <w:lvl w:ilvl="8" w:tplc="819CA338" w:tentative="1">
      <w:start w:val="1"/>
      <w:numFmt w:val="lowerRoman"/>
      <w:lvlText w:val="%9."/>
      <w:lvlJc w:val="right"/>
      <w:pPr>
        <w:ind w:left="6480" w:hanging="180"/>
      </w:pPr>
    </w:lvl>
  </w:abstractNum>
  <w:abstractNum w:abstractNumId="6" w15:restartNumberingAfterBreak="0">
    <w:nsid w:val="07492111"/>
    <w:multiLevelType w:val="multilevel"/>
    <w:tmpl w:val="7DE2C32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8820A4B"/>
    <w:multiLevelType w:val="hybridMultilevel"/>
    <w:tmpl w:val="0E4259CC"/>
    <w:lvl w:ilvl="0" w:tplc="86947CD2">
      <w:start w:val="1"/>
      <w:numFmt w:val="bullet"/>
      <w:lvlText w:val=""/>
      <w:lvlJc w:val="left"/>
      <w:pPr>
        <w:ind w:left="720" w:hanging="360"/>
      </w:pPr>
      <w:rPr>
        <w:rFonts w:ascii="Symbol" w:hAnsi="Symbol" w:hint="default"/>
      </w:rPr>
    </w:lvl>
    <w:lvl w:ilvl="1" w:tplc="2250D224" w:tentative="1">
      <w:start w:val="1"/>
      <w:numFmt w:val="bullet"/>
      <w:lvlText w:val="o"/>
      <w:lvlJc w:val="left"/>
      <w:pPr>
        <w:ind w:left="1440" w:hanging="360"/>
      </w:pPr>
      <w:rPr>
        <w:rFonts w:ascii="Courier New" w:hAnsi="Courier New" w:cs="Courier New" w:hint="default"/>
      </w:rPr>
    </w:lvl>
    <w:lvl w:ilvl="2" w:tplc="31A01694" w:tentative="1">
      <w:start w:val="1"/>
      <w:numFmt w:val="bullet"/>
      <w:lvlText w:val=""/>
      <w:lvlJc w:val="left"/>
      <w:pPr>
        <w:ind w:left="2160" w:hanging="360"/>
      </w:pPr>
      <w:rPr>
        <w:rFonts w:ascii="Wingdings" w:hAnsi="Wingdings" w:hint="default"/>
      </w:rPr>
    </w:lvl>
    <w:lvl w:ilvl="3" w:tplc="B2ACEEB6" w:tentative="1">
      <w:start w:val="1"/>
      <w:numFmt w:val="bullet"/>
      <w:lvlText w:val=""/>
      <w:lvlJc w:val="left"/>
      <w:pPr>
        <w:ind w:left="2880" w:hanging="360"/>
      </w:pPr>
      <w:rPr>
        <w:rFonts w:ascii="Symbol" w:hAnsi="Symbol" w:hint="default"/>
      </w:rPr>
    </w:lvl>
    <w:lvl w:ilvl="4" w:tplc="707838B0" w:tentative="1">
      <w:start w:val="1"/>
      <w:numFmt w:val="bullet"/>
      <w:lvlText w:val="o"/>
      <w:lvlJc w:val="left"/>
      <w:pPr>
        <w:ind w:left="3600" w:hanging="360"/>
      </w:pPr>
      <w:rPr>
        <w:rFonts w:ascii="Courier New" w:hAnsi="Courier New" w:cs="Courier New" w:hint="default"/>
      </w:rPr>
    </w:lvl>
    <w:lvl w:ilvl="5" w:tplc="36A82922" w:tentative="1">
      <w:start w:val="1"/>
      <w:numFmt w:val="bullet"/>
      <w:lvlText w:val=""/>
      <w:lvlJc w:val="left"/>
      <w:pPr>
        <w:ind w:left="4320" w:hanging="360"/>
      </w:pPr>
      <w:rPr>
        <w:rFonts w:ascii="Wingdings" w:hAnsi="Wingdings" w:hint="default"/>
      </w:rPr>
    </w:lvl>
    <w:lvl w:ilvl="6" w:tplc="6A0A6112" w:tentative="1">
      <w:start w:val="1"/>
      <w:numFmt w:val="bullet"/>
      <w:lvlText w:val=""/>
      <w:lvlJc w:val="left"/>
      <w:pPr>
        <w:ind w:left="5040" w:hanging="360"/>
      </w:pPr>
      <w:rPr>
        <w:rFonts w:ascii="Symbol" w:hAnsi="Symbol" w:hint="default"/>
      </w:rPr>
    </w:lvl>
    <w:lvl w:ilvl="7" w:tplc="748ECF70" w:tentative="1">
      <w:start w:val="1"/>
      <w:numFmt w:val="bullet"/>
      <w:lvlText w:val="o"/>
      <w:lvlJc w:val="left"/>
      <w:pPr>
        <w:ind w:left="5760" w:hanging="360"/>
      </w:pPr>
      <w:rPr>
        <w:rFonts w:ascii="Courier New" w:hAnsi="Courier New" w:cs="Courier New" w:hint="default"/>
      </w:rPr>
    </w:lvl>
    <w:lvl w:ilvl="8" w:tplc="79205CB8" w:tentative="1">
      <w:start w:val="1"/>
      <w:numFmt w:val="bullet"/>
      <w:lvlText w:val=""/>
      <w:lvlJc w:val="left"/>
      <w:pPr>
        <w:ind w:left="6480" w:hanging="360"/>
      </w:pPr>
      <w:rPr>
        <w:rFonts w:ascii="Wingdings" w:hAnsi="Wingdings" w:hint="default"/>
      </w:rPr>
    </w:lvl>
  </w:abstractNum>
  <w:abstractNum w:abstractNumId="8" w15:restartNumberingAfterBreak="0">
    <w:nsid w:val="08DC0F01"/>
    <w:multiLevelType w:val="hybridMultilevel"/>
    <w:tmpl w:val="5A9C8CA4"/>
    <w:lvl w:ilvl="0" w:tplc="8334E286">
      <w:start w:val="1"/>
      <w:numFmt w:val="decimal"/>
      <w:lvlText w:val="Term %1."/>
      <w:lvlJc w:val="left"/>
      <w:pPr>
        <w:ind w:left="1620" w:hanging="360"/>
      </w:pPr>
      <w:rPr>
        <w:rFonts w:cs="Times New Roman" w:hint="default"/>
        <w:b/>
        <w:i w:val="0"/>
        <w:color w:val="auto"/>
        <w:sz w:val="28"/>
        <w:szCs w:val="24"/>
      </w:rPr>
    </w:lvl>
    <w:lvl w:ilvl="1" w:tplc="C638F5CE">
      <w:start w:val="1"/>
      <w:numFmt w:val="lowerLetter"/>
      <w:lvlText w:val="%2."/>
      <w:lvlJc w:val="left"/>
      <w:pPr>
        <w:ind w:left="1440" w:hanging="360"/>
      </w:pPr>
    </w:lvl>
    <w:lvl w:ilvl="2" w:tplc="6F4ACF92">
      <w:start w:val="1"/>
      <w:numFmt w:val="lowerRoman"/>
      <w:lvlText w:val="%3."/>
      <w:lvlJc w:val="right"/>
      <w:pPr>
        <w:ind w:left="2160" w:hanging="180"/>
      </w:pPr>
      <w:rPr>
        <w:rFonts w:cs="Times New Roman"/>
      </w:rPr>
    </w:lvl>
    <w:lvl w:ilvl="3" w:tplc="BA1AFE9C" w:tentative="1">
      <w:start w:val="1"/>
      <w:numFmt w:val="decimal"/>
      <w:lvlText w:val="%4."/>
      <w:lvlJc w:val="left"/>
      <w:pPr>
        <w:ind w:left="2880" w:hanging="360"/>
      </w:pPr>
      <w:rPr>
        <w:rFonts w:cs="Times New Roman"/>
      </w:rPr>
    </w:lvl>
    <w:lvl w:ilvl="4" w:tplc="36F2373C" w:tentative="1">
      <w:start w:val="1"/>
      <w:numFmt w:val="lowerLetter"/>
      <w:lvlText w:val="%5."/>
      <w:lvlJc w:val="left"/>
      <w:pPr>
        <w:ind w:left="3600" w:hanging="360"/>
      </w:pPr>
      <w:rPr>
        <w:rFonts w:cs="Times New Roman"/>
      </w:rPr>
    </w:lvl>
    <w:lvl w:ilvl="5" w:tplc="6FEC12C8" w:tentative="1">
      <w:start w:val="1"/>
      <w:numFmt w:val="lowerRoman"/>
      <w:lvlText w:val="%6."/>
      <w:lvlJc w:val="right"/>
      <w:pPr>
        <w:ind w:left="4320" w:hanging="180"/>
      </w:pPr>
      <w:rPr>
        <w:rFonts w:cs="Times New Roman"/>
      </w:rPr>
    </w:lvl>
    <w:lvl w:ilvl="6" w:tplc="CF04803E" w:tentative="1">
      <w:start w:val="1"/>
      <w:numFmt w:val="decimal"/>
      <w:lvlText w:val="%7."/>
      <w:lvlJc w:val="left"/>
      <w:pPr>
        <w:ind w:left="5040" w:hanging="360"/>
      </w:pPr>
      <w:rPr>
        <w:rFonts w:cs="Times New Roman"/>
      </w:rPr>
    </w:lvl>
    <w:lvl w:ilvl="7" w:tplc="64569814" w:tentative="1">
      <w:start w:val="1"/>
      <w:numFmt w:val="lowerLetter"/>
      <w:lvlText w:val="%8."/>
      <w:lvlJc w:val="left"/>
      <w:pPr>
        <w:ind w:left="5760" w:hanging="360"/>
      </w:pPr>
      <w:rPr>
        <w:rFonts w:cs="Times New Roman"/>
      </w:rPr>
    </w:lvl>
    <w:lvl w:ilvl="8" w:tplc="D8A02EE8" w:tentative="1">
      <w:start w:val="1"/>
      <w:numFmt w:val="lowerRoman"/>
      <w:lvlText w:val="%9."/>
      <w:lvlJc w:val="right"/>
      <w:pPr>
        <w:ind w:left="6480" w:hanging="180"/>
      </w:pPr>
      <w:rPr>
        <w:rFonts w:cs="Times New Roman"/>
      </w:rPr>
    </w:lvl>
  </w:abstractNum>
  <w:abstractNum w:abstractNumId="9" w15:restartNumberingAfterBreak="0">
    <w:nsid w:val="09C209B2"/>
    <w:multiLevelType w:val="hybridMultilevel"/>
    <w:tmpl w:val="9D30C062"/>
    <w:lvl w:ilvl="0" w:tplc="16A89A98">
      <w:start w:val="1"/>
      <w:numFmt w:val="decimal"/>
      <w:lvlText w:val="%1."/>
      <w:lvlJc w:val="right"/>
      <w:pPr>
        <w:ind w:left="720" w:hanging="360"/>
      </w:pPr>
      <w:rPr>
        <w:rFonts w:hint="default"/>
        <w:b/>
      </w:rPr>
    </w:lvl>
    <w:lvl w:ilvl="1" w:tplc="69E29BCA" w:tentative="1">
      <w:start w:val="1"/>
      <w:numFmt w:val="lowerLetter"/>
      <w:lvlText w:val="%2."/>
      <w:lvlJc w:val="left"/>
      <w:pPr>
        <w:ind w:left="1440" w:hanging="360"/>
      </w:pPr>
    </w:lvl>
    <w:lvl w:ilvl="2" w:tplc="28E2EB2A" w:tentative="1">
      <w:start w:val="1"/>
      <w:numFmt w:val="lowerRoman"/>
      <w:lvlText w:val="%3."/>
      <w:lvlJc w:val="right"/>
      <w:pPr>
        <w:ind w:left="2160" w:hanging="180"/>
      </w:pPr>
    </w:lvl>
    <w:lvl w:ilvl="3" w:tplc="5DCCCD26" w:tentative="1">
      <w:start w:val="1"/>
      <w:numFmt w:val="decimal"/>
      <w:lvlText w:val="%4."/>
      <w:lvlJc w:val="left"/>
      <w:pPr>
        <w:ind w:left="2880" w:hanging="360"/>
      </w:pPr>
    </w:lvl>
    <w:lvl w:ilvl="4" w:tplc="CEE84776" w:tentative="1">
      <w:start w:val="1"/>
      <w:numFmt w:val="lowerLetter"/>
      <w:lvlText w:val="%5."/>
      <w:lvlJc w:val="left"/>
      <w:pPr>
        <w:ind w:left="3600" w:hanging="360"/>
      </w:pPr>
    </w:lvl>
    <w:lvl w:ilvl="5" w:tplc="ECF4FF0A" w:tentative="1">
      <w:start w:val="1"/>
      <w:numFmt w:val="lowerRoman"/>
      <w:lvlText w:val="%6."/>
      <w:lvlJc w:val="right"/>
      <w:pPr>
        <w:ind w:left="4320" w:hanging="180"/>
      </w:pPr>
    </w:lvl>
    <w:lvl w:ilvl="6" w:tplc="BE2AFA1C" w:tentative="1">
      <w:start w:val="1"/>
      <w:numFmt w:val="decimal"/>
      <w:lvlText w:val="%7."/>
      <w:lvlJc w:val="left"/>
      <w:pPr>
        <w:ind w:left="5040" w:hanging="360"/>
      </w:pPr>
    </w:lvl>
    <w:lvl w:ilvl="7" w:tplc="BB80A31E" w:tentative="1">
      <w:start w:val="1"/>
      <w:numFmt w:val="lowerLetter"/>
      <w:lvlText w:val="%8."/>
      <w:lvlJc w:val="left"/>
      <w:pPr>
        <w:ind w:left="5760" w:hanging="360"/>
      </w:pPr>
    </w:lvl>
    <w:lvl w:ilvl="8" w:tplc="5FE0B02E" w:tentative="1">
      <w:start w:val="1"/>
      <w:numFmt w:val="lowerRoman"/>
      <w:lvlText w:val="%9."/>
      <w:lvlJc w:val="right"/>
      <w:pPr>
        <w:ind w:left="6480" w:hanging="180"/>
      </w:pPr>
    </w:lvl>
  </w:abstractNum>
  <w:abstractNum w:abstractNumId="10" w15:restartNumberingAfterBreak="0">
    <w:nsid w:val="0B7A7E40"/>
    <w:multiLevelType w:val="hybridMultilevel"/>
    <w:tmpl w:val="62BE9532"/>
    <w:lvl w:ilvl="0" w:tplc="E39C9D32">
      <w:start w:val="1"/>
      <w:numFmt w:val="bullet"/>
      <w:lvlText w:val=""/>
      <w:lvlJc w:val="left"/>
      <w:pPr>
        <w:ind w:left="2160" w:hanging="360"/>
      </w:pPr>
      <w:rPr>
        <w:rFonts w:ascii="Symbol" w:hAnsi="Symbol" w:hint="default"/>
      </w:rPr>
    </w:lvl>
    <w:lvl w:ilvl="1" w:tplc="2DF69CD8" w:tentative="1">
      <w:start w:val="1"/>
      <w:numFmt w:val="bullet"/>
      <w:lvlText w:val="o"/>
      <w:lvlJc w:val="left"/>
      <w:pPr>
        <w:ind w:left="2880" w:hanging="360"/>
      </w:pPr>
      <w:rPr>
        <w:rFonts w:ascii="Courier New" w:hAnsi="Courier New" w:cs="Courier New" w:hint="default"/>
      </w:rPr>
    </w:lvl>
    <w:lvl w:ilvl="2" w:tplc="B6DE1C36" w:tentative="1">
      <w:start w:val="1"/>
      <w:numFmt w:val="bullet"/>
      <w:lvlText w:val=""/>
      <w:lvlJc w:val="left"/>
      <w:pPr>
        <w:ind w:left="3600" w:hanging="360"/>
      </w:pPr>
      <w:rPr>
        <w:rFonts w:ascii="Wingdings" w:hAnsi="Wingdings" w:hint="default"/>
      </w:rPr>
    </w:lvl>
    <w:lvl w:ilvl="3" w:tplc="BD90F11A" w:tentative="1">
      <w:start w:val="1"/>
      <w:numFmt w:val="bullet"/>
      <w:lvlText w:val=""/>
      <w:lvlJc w:val="left"/>
      <w:pPr>
        <w:ind w:left="4320" w:hanging="360"/>
      </w:pPr>
      <w:rPr>
        <w:rFonts w:ascii="Symbol" w:hAnsi="Symbol" w:hint="default"/>
      </w:rPr>
    </w:lvl>
    <w:lvl w:ilvl="4" w:tplc="07D6E872" w:tentative="1">
      <w:start w:val="1"/>
      <w:numFmt w:val="bullet"/>
      <w:lvlText w:val="o"/>
      <w:lvlJc w:val="left"/>
      <w:pPr>
        <w:ind w:left="5040" w:hanging="360"/>
      </w:pPr>
      <w:rPr>
        <w:rFonts w:ascii="Courier New" w:hAnsi="Courier New" w:cs="Courier New" w:hint="default"/>
      </w:rPr>
    </w:lvl>
    <w:lvl w:ilvl="5" w:tplc="D9807F84" w:tentative="1">
      <w:start w:val="1"/>
      <w:numFmt w:val="bullet"/>
      <w:lvlText w:val=""/>
      <w:lvlJc w:val="left"/>
      <w:pPr>
        <w:ind w:left="5760" w:hanging="360"/>
      </w:pPr>
      <w:rPr>
        <w:rFonts w:ascii="Wingdings" w:hAnsi="Wingdings" w:hint="default"/>
      </w:rPr>
    </w:lvl>
    <w:lvl w:ilvl="6" w:tplc="9036F846" w:tentative="1">
      <w:start w:val="1"/>
      <w:numFmt w:val="bullet"/>
      <w:lvlText w:val=""/>
      <w:lvlJc w:val="left"/>
      <w:pPr>
        <w:ind w:left="6480" w:hanging="360"/>
      </w:pPr>
      <w:rPr>
        <w:rFonts w:ascii="Symbol" w:hAnsi="Symbol" w:hint="default"/>
      </w:rPr>
    </w:lvl>
    <w:lvl w:ilvl="7" w:tplc="4760AC1A" w:tentative="1">
      <w:start w:val="1"/>
      <w:numFmt w:val="bullet"/>
      <w:lvlText w:val="o"/>
      <w:lvlJc w:val="left"/>
      <w:pPr>
        <w:ind w:left="7200" w:hanging="360"/>
      </w:pPr>
      <w:rPr>
        <w:rFonts w:ascii="Courier New" w:hAnsi="Courier New" w:cs="Courier New" w:hint="default"/>
      </w:rPr>
    </w:lvl>
    <w:lvl w:ilvl="8" w:tplc="D2106516" w:tentative="1">
      <w:start w:val="1"/>
      <w:numFmt w:val="bullet"/>
      <w:lvlText w:val=""/>
      <w:lvlJc w:val="left"/>
      <w:pPr>
        <w:ind w:left="7920" w:hanging="360"/>
      </w:pPr>
      <w:rPr>
        <w:rFonts w:ascii="Wingdings" w:hAnsi="Wingdings" w:hint="default"/>
      </w:rPr>
    </w:lvl>
  </w:abstractNum>
  <w:abstractNum w:abstractNumId="11" w15:restartNumberingAfterBreak="0">
    <w:nsid w:val="0C741249"/>
    <w:multiLevelType w:val="hybridMultilevel"/>
    <w:tmpl w:val="7BD86776"/>
    <w:lvl w:ilvl="0" w:tplc="461606E8">
      <w:start w:val="1"/>
      <w:numFmt w:val="bullet"/>
      <w:lvlText w:val=""/>
      <w:lvlJc w:val="left"/>
      <w:pPr>
        <w:ind w:left="720" w:hanging="360"/>
      </w:pPr>
      <w:rPr>
        <w:rFonts w:ascii="Symbol" w:hAnsi="Symbol"/>
      </w:rPr>
    </w:lvl>
    <w:lvl w:ilvl="1" w:tplc="38683E6E">
      <w:start w:val="1"/>
      <w:numFmt w:val="bullet"/>
      <w:lvlText w:val="o"/>
      <w:lvlJc w:val="left"/>
      <w:pPr>
        <w:ind w:left="1440" w:hanging="360"/>
      </w:pPr>
      <w:rPr>
        <w:rFonts w:ascii="Courier New" w:hAnsi="Courier New"/>
      </w:rPr>
    </w:lvl>
    <w:lvl w:ilvl="2" w:tplc="67F24CDA">
      <w:start w:val="1"/>
      <w:numFmt w:val="bullet"/>
      <w:lvlText w:val=""/>
      <w:lvlJc w:val="left"/>
      <w:pPr>
        <w:tabs>
          <w:tab w:val="num" w:pos="2160"/>
        </w:tabs>
        <w:ind w:left="2160" w:hanging="360"/>
      </w:pPr>
      <w:rPr>
        <w:rFonts w:ascii="Wingdings" w:hAnsi="Wingdings"/>
      </w:rPr>
    </w:lvl>
    <w:lvl w:ilvl="3" w:tplc="CC0EC270">
      <w:start w:val="1"/>
      <w:numFmt w:val="bullet"/>
      <w:lvlText w:val=""/>
      <w:lvlJc w:val="left"/>
      <w:pPr>
        <w:tabs>
          <w:tab w:val="num" w:pos="2880"/>
        </w:tabs>
        <w:ind w:left="2880" w:hanging="360"/>
      </w:pPr>
      <w:rPr>
        <w:rFonts w:ascii="Symbol" w:hAnsi="Symbol"/>
      </w:rPr>
    </w:lvl>
    <w:lvl w:ilvl="4" w:tplc="C6C04566">
      <w:start w:val="1"/>
      <w:numFmt w:val="bullet"/>
      <w:lvlText w:val="o"/>
      <w:lvlJc w:val="left"/>
      <w:pPr>
        <w:tabs>
          <w:tab w:val="num" w:pos="3600"/>
        </w:tabs>
        <w:ind w:left="3600" w:hanging="360"/>
      </w:pPr>
      <w:rPr>
        <w:rFonts w:ascii="Courier New" w:hAnsi="Courier New"/>
      </w:rPr>
    </w:lvl>
    <w:lvl w:ilvl="5" w:tplc="C77A220C">
      <w:start w:val="1"/>
      <w:numFmt w:val="bullet"/>
      <w:lvlText w:val=""/>
      <w:lvlJc w:val="left"/>
      <w:pPr>
        <w:tabs>
          <w:tab w:val="num" w:pos="4320"/>
        </w:tabs>
        <w:ind w:left="4320" w:hanging="360"/>
      </w:pPr>
      <w:rPr>
        <w:rFonts w:ascii="Wingdings" w:hAnsi="Wingdings"/>
      </w:rPr>
    </w:lvl>
    <w:lvl w:ilvl="6" w:tplc="809EA55C">
      <w:start w:val="1"/>
      <w:numFmt w:val="bullet"/>
      <w:lvlText w:val=""/>
      <w:lvlJc w:val="left"/>
      <w:pPr>
        <w:tabs>
          <w:tab w:val="num" w:pos="5040"/>
        </w:tabs>
        <w:ind w:left="5040" w:hanging="360"/>
      </w:pPr>
      <w:rPr>
        <w:rFonts w:ascii="Symbol" w:hAnsi="Symbol"/>
      </w:rPr>
    </w:lvl>
    <w:lvl w:ilvl="7" w:tplc="6B425600">
      <w:start w:val="1"/>
      <w:numFmt w:val="bullet"/>
      <w:lvlText w:val="o"/>
      <w:lvlJc w:val="left"/>
      <w:pPr>
        <w:tabs>
          <w:tab w:val="num" w:pos="5760"/>
        </w:tabs>
        <w:ind w:left="5760" w:hanging="360"/>
      </w:pPr>
      <w:rPr>
        <w:rFonts w:ascii="Courier New" w:hAnsi="Courier New"/>
      </w:rPr>
    </w:lvl>
    <w:lvl w:ilvl="8" w:tplc="D4D6CE22">
      <w:start w:val="1"/>
      <w:numFmt w:val="bullet"/>
      <w:lvlText w:val=""/>
      <w:lvlJc w:val="left"/>
      <w:pPr>
        <w:tabs>
          <w:tab w:val="num" w:pos="6480"/>
        </w:tabs>
        <w:ind w:left="6480" w:hanging="360"/>
      </w:pPr>
      <w:rPr>
        <w:rFonts w:ascii="Wingdings" w:hAnsi="Wingdings"/>
      </w:rPr>
    </w:lvl>
  </w:abstractNum>
  <w:abstractNum w:abstractNumId="12" w15:restartNumberingAfterBreak="0">
    <w:nsid w:val="0C9F6EE1"/>
    <w:multiLevelType w:val="hybridMultilevel"/>
    <w:tmpl w:val="FB9AE19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DB33D61"/>
    <w:multiLevelType w:val="hybridMultilevel"/>
    <w:tmpl w:val="64DCA526"/>
    <w:lvl w:ilvl="0" w:tplc="536CBC5E">
      <w:start w:val="1"/>
      <w:numFmt w:val="bullet"/>
      <w:lvlText w:val=""/>
      <w:lvlJc w:val="left"/>
      <w:pPr>
        <w:ind w:left="2160" w:hanging="360"/>
      </w:pPr>
      <w:rPr>
        <w:rFonts w:ascii="Symbol" w:hAnsi="Symbol" w:hint="default"/>
        <w:color w:val="auto"/>
      </w:rPr>
    </w:lvl>
    <w:lvl w:ilvl="1" w:tplc="1924ED18" w:tentative="1">
      <w:start w:val="1"/>
      <w:numFmt w:val="bullet"/>
      <w:lvlText w:val="o"/>
      <w:lvlJc w:val="left"/>
      <w:pPr>
        <w:ind w:left="2880" w:hanging="360"/>
      </w:pPr>
      <w:rPr>
        <w:rFonts w:ascii="Courier New" w:hAnsi="Courier New" w:cs="Courier New" w:hint="default"/>
      </w:rPr>
    </w:lvl>
    <w:lvl w:ilvl="2" w:tplc="79540EA6" w:tentative="1">
      <w:start w:val="1"/>
      <w:numFmt w:val="bullet"/>
      <w:lvlText w:val=""/>
      <w:lvlJc w:val="left"/>
      <w:pPr>
        <w:ind w:left="3600" w:hanging="360"/>
      </w:pPr>
      <w:rPr>
        <w:rFonts w:ascii="Wingdings" w:hAnsi="Wingdings" w:hint="default"/>
      </w:rPr>
    </w:lvl>
    <w:lvl w:ilvl="3" w:tplc="337A5CDE" w:tentative="1">
      <w:start w:val="1"/>
      <w:numFmt w:val="bullet"/>
      <w:lvlText w:val=""/>
      <w:lvlJc w:val="left"/>
      <w:pPr>
        <w:ind w:left="4320" w:hanging="360"/>
      </w:pPr>
      <w:rPr>
        <w:rFonts w:ascii="Symbol" w:hAnsi="Symbol" w:hint="default"/>
      </w:rPr>
    </w:lvl>
    <w:lvl w:ilvl="4" w:tplc="4640937C" w:tentative="1">
      <w:start w:val="1"/>
      <w:numFmt w:val="bullet"/>
      <w:lvlText w:val="o"/>
      <w:lvlJc w:val="left"/>
      <w:pPr>
        <w:ind w:left="5040" w:hanging="360"/>
      </w:pPr>
      <w:rPr>
        <w:rFonts w:ascii="Courier New" w:hAnsi="Courier New" w:cs="Courier New" w:hint="default"/>
      </w:rPr>
    </w:lvl>
    <w:lvl w:ilvl="5" w:tplc="A080B88E" w:tentative="1">
      <w:start w:val="1"/>
      <w:numFmt w:val="bullet"/>
      <w:lvlText w:val=""/>
      <w:lvlJc w:val="left"/>
      <w:pPr>
        <w:ind w:left="5760" w:hanging="360"/>
      </w:pPr>
      <w:rPr>
        <w:rFonts w:ascii="Wingdings" w:hAnsi="Wingdings" w:hint="default"/>
      </w:rPr>
    </w:lvl>
    <w:lvl w:ilvl="6" w:tplc="999802D0" w:tentative="1">
      <w:start w:val="1"/>
      <w:numFmt w:val="bullet"/>
      <w:lvlText w:val=""/>
      <w:lvlJc w:val="left"/>
      <w:pPr>
        <w:ind w:left="6480" w:hanging="360"/>
      </w:pPr>
      <w:rPr>
        <w:rFonts w:ascii="Symbol" w:hAnsi="Symbol" w:hint="default"/>
      </w:rPr>
    </w:lvl>
    <w:lvl w:ilvl="7" w:tplc="4A261398" w:tentative="1">
      <w:start w:val="1"/>
      <w:numFmt w:val="bullet"/>
      <w:lvlText w:val="o"/>
      <w:lvlJc w:val="left"/>
      <w:pPr>
        <w:ind w:left="7200" w:hanging="360"/>
      </w:pPr>
      <w:rPr>
        <w:rFonts w:ascii="Courier New" w:hAnsi="Courier New" w:cs="Courier New" w:hint="default"/>
      </w:rPr>
    </w:lvl>
    <w:lvl w:ilvl="8" w:tplc="29FCF20A" w:tentative="1">
      <w:start w:val="1"/>
      <w:numFmt w:val="bullet"/>
      <w:lvlText w:val=""/>
      <w:lvlJc w:val="left"/>
      <w:pPr>
        <w:ind w:left="7920" w:hanging="360"/>
      </w:pPr>
      <w:rPr>
        <w:rFonts w:ascii="Wingdings" w:hAnsi="Wingdings" w:hint="default"/>
      </w:rPr>
    </w:lvl>
  </w:abstractNum>
  <w:abstractNum w:abstractNumId="14" w15:restartNumberingAfterBreak="0">
    <w:nsid w:val="0F393516"/>
    <w:multiLevelType w:val="multilevel"/>
    <w:tmpl w:val="A1EC4692"/>
    <w:numStyleLink w:val="FOATemplateListStyle1"/>
  </w:abstractNum>
  <w:abstractNum w:abstractNumId="15" w15:restartNumberingAfterBreak="0">
    <w:nsid w:val="0F9F7B67"/>
    <w:multiLevelType w:val="multilevel"/>
    <w:tmpl w:val="3508F7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05C4525"/>
    <w:multiLevelType w:val="multilevel"/>
    <w:tmpl w:val="E4181A2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09B43D3"/>
    <w:multiLevelType w:val="hybridMultilevel"/>
    <w:tmpl w:val="03A075C2"/>
    <w:lvl w:ilvl="0" w:tplc="1F3A3FE2">
      <w:start w:val="1"/>
      <w:numFmt w:val="lowerRoman"/>
      <w:pStyle w:val="FOAHeading3"/>
      <w:lvlText w:val="%1."/>
      <w:lvlJc w:val="right"/>
      <w:pPr>
        <w:ind w:left="3960" w:hanging="360"/>
      </w:pPr>
      <w:rPr>
        <w:b/>
        <w:bCs/>
      </w:rPr>
    </w:lvl>
    <w:lvl w:ilvl="1" w:tplc="98E27A20">
      <w:start w:val="1"/>
      <w:numFmt w:val="lowerLetter"/>
      <w:lvlText w:val="%2."/>
      <w:lvlJc w:val="left"/>
      <w:pPr>
        <w:ind w:left="4680" w:hanging="360"/>
      </w:pPr>
    </w:lvl>
    <w:lvl w:ilvl="2" w:tplc="C08A053E" w:tentative="1">
      <w:start w:val="1"/>
      <w:numFmt w:val="lowerRoman"/>
      <w:lvlText w:val="%3."/>
      <w:lvlJc w:val="right"/>
      <w:pPr>
        <w:ind w:left="5400" w:hanging="180"/>
      </w:pPr>
    </w:lvl>
    <w:lvl w:ilvl="3" w:tplc="961E63F6" w:tentative="1">
      <w:start w:val="1"/>
      <w:numFmt w:val="decimal"/>
      <w:lvlText w:val="%4."/>
      <w:lvlJc w:val="left"/>
      <w:pPr>
        <w:ind w:left="6120" w:hanging="360"/>
      </w:pPr>
    </w:lvl>
    <w:lvl w:ilvl="4" w:tplc="37622430" w:tentative="1">
      <w:start w:val="1"/>
      <w:numFmt w:val="lowerLetter"/>
      <w:lvlText w:val="%5."/>
      <w:lvlJc w:val="left"/>
      <w:pPr>
        <w:ind w:left="6840" w:hanging="360"/>
      </w:pPr>
    </w:lvl>
    <w:lvl w:ilvl="5" w:tplc="A962AF1E" w:tentative="1">
      <w:start w:val="1"/>
      <w:numFmt w:val="lowerRoman"/>
      <w:lvlText w:val="%6."/>
      <w:lvlJc w:val="right"/>
      <w:pPr>
        <w:ind w:left="7560" w:hanging="180"/>
      </w:pPr>
    </w:lvl>
    <w:lvl w:ilvl="6" w:tplc="A516BA20" w:tentative="1">
      <w:start w:val="1"/>
      <w:numFmt w:val="decimal"/>
      <w:lvlText w:val="%7."/>
      <w:lvlJc w:val="left"/>
      <w:pPr>
        <w:ind w:left="8280" w:hanging="360"/>
      </w:pPr>
    </w:lvl>
    <w:lvl w:ilvl="7" w:tplc="0928A768" w:tentative="1">
      <w:start w:val="1"/>
      <w:numFmt w:val="lowerLetter"/>
      <w:lvlText w:val="%8."/>
      <w:lvlJc w:val="left"/>
      <w:pPr>
        <w:ind w:left="9000" w:hanging="360"/>
      </w:pPr>
    </w:lvl>
    <w:lvl w:ilvl="8" w:tplc="F544CAA0" w:tentative="1">
      <w:start w:val="1"/>
      <w:numFmt w:val="lowerRoman"/>
      <w:lvlText w:val="%9."/>
      <w:lvlJc w:val="right"/>
      <w:pPr>
        <w:ind w:left="9720" w:hanging="180"/>
      </w:pPr>
    </w:lvl>
  </w:abstractNum>
  <w:abstractNum w:abstractNumId="18" w15:restartNumberingAfterBreak="0">
    <w:nsid w:val="11256C9F"/>
    <w:multiLevelType w:val="hybridMultilevel"/>
    <w:tmpl w:val="A6D002CA"/>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9" w15:restartNumberingAfterBreak="0">
    <w:nsid w:val="113F5FD0"/>
    <w:multiLevelType w:val="hybridMultilevel"/>
    <w:tmpl w:val="F9365954"/>
    <w:lvl w:ilvl="0" w:tplc="50EE52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31D6C19"/>
    <w:multiLevelType w:val="hybridMultilevel"/>
    <w:tmpl w:val="8FA8BED8"/>
    <w:lvl w:ilvl="0" w:tplc="D48CB65A">
      <w:start w:val="1"/>
      <w:numFmt w:val="bullet"/>
      <w:lvlText w:val=""/>
      <w:lvlJc w:val="left"/>
      <w:pPr>
        <w:ind w:left="2520" w:hanging="360"/>
      </w:pPr>
      <w:rPr>
        <w:rFonts w:ascii="Symbol" w:hAnsi="Symbol" w:hint="default"/>
      </w:rPr>
    </w:lvl>
    <w:lvl w:ilvl="1" w:tplc="40DEF6C2" w:tentative="1">
      <w:start w:val="1"/>
      <w:numFmt w:val="bullet"/>
      <w:lvlText w:val="o"/>
      <w:lvlJc w:val="left"/>
      <w:pPr>
        <w:ind w:left="3240" w:hanging="360"/>
      </w:pPr>
      <w:rPr>
        <w:rFonts w:ascii="Courier New" w:hAnsi="Courier New" w:cs="Courier New" w:hint="default"/>
      </w:rPr>
    </w:lvl>
    <w:lvl w:ilvl="2" w:tplc="22186934" w:tentative="1">
      <w:start w:val="1"/>
      <w:numFmt w:val="bullet"/>
      <w:lvlText w:val=""/>
      <w:lvlJc w:val="left"/>
      <w:pPr>
        <w:ind w:left="3960" w:hanging="360"/>
      </w:pPr>
      <w:rPr>
        <w:rFonts w:ascii="Wingdings" w:hAnsi="Wingdings" w:hint="default"/>
      </w:rPr>
    </w:lvl>
    <w:lvl w:ilvl="3" w:tplc="5A12C210" w:tentative="1">
      <w:start w:val="1"/>
      <w:numFmt w:val="bullet"/>
      <w:lvlText w:val=""/>
      <w:lvlJc w:val="left"/>
      <w:pPr>
        <w:ind w:left="4680" w:hanging="360"/>
      </w:pPr>
      <w:rPr>
        <w:rFonts w:ascii="Symbol" w:hAnsi="Symbol" w:hint="default"/>
      </w:rPr>
    </w:lvl>
    <w:lvl w:ilvl="4" w:tplc="585E6A44" w:tentative="1">
      <w:start w:val="1"/>
      <w:numFmt w:val="bullet"/>
      <w:lvlText w:val="o"/>
      <w:lvlJc w:val="left"/>
      <w:pPr>
        <w:ind w:left="5400" w:hanging="360"/>
      </w:pPr>
      <w:rPr>
        <w:rFonts w:ascii="Courier New" w:hAnsi="Courier New" w:cs="Courier New" w:hint="default"/>
      </w:rPr>
    </w:lvl>
    <w:lvl w:ilvl="5" w:tplc="27707752" w:tentative="1">
      <w:start w:val="1"/>
      <w:numFmt w:val="bullet"/>
      <w:lvlText w:val=""/>
      <w:lvlJc w:val="left"/>
      <w:pPr>
        <w:ind w:left="6120" w:hanging="360"/>
      </w:pPr>
      <w:rPr>
        <w:rFonts w:ascii="Wingdings" w:hAnsi="Wingdings" w:hint="default"/>
      </w:rPr>
    </w:lvl>
    <w:lvl w:ilvl="6" w:tplc="EFC2AD06" w:tentative="1">
      <w:start w:val="1"/>
      <w:numFmt w:val="bullet"/>
      <w:lvlText w:val=""/>
      <w:lvlJc w:val="left"/>
      <w:pPr>
        <w:ind w:left="6840" w:hanging="360"/>
      </w:pPr>
      <w:rPr>
        <w:rFonts w:ascii="Symbol" w:hAnsi="Symbol" w:hint="default"/>
      </w:rPr>
    </w:lvl>
    <w:lvl w:ilvl="7" w:tplc="611C0B82" w:tentative="1">
      <w:start w:val="1"/>
      <w:numFmt w:val="bullet"/>
      <w:lvlText w:val="o"/>
      <w:lvlJc w:val="left"/>
      <w:pPr>
        <w:ind w:left="7560" w:hanging="360"/>
      </w:pPr>
      <w:rPr>
        <w:rFonts w:ascii="Courier New" w:hAnsi="Courier New" w:cs="Courier New" w:hint="default"/>
      </w:rPr>
    </w:lvl>
    <w:lvl w:ilvl="8" w:tplc="E052425A" w:tentative="1">
      <w:start w:val="1"/>
      <w:numFmt w:val="bullet"/>
      <w:lvlText w:val=""/>
      <w:lvlJc w:val="left"/>
      <w:pPr>
        <w:ind w:left="8280" w:hanging="360"/>
      </w:pPr>
      <w:rPr>
        <w:rFonts w:ascii="Wingdings" w:hAnsi="Wingdings" w:hint="default"/>
      </w:rPr>
    </w:lvl>
  </w:abstractNum>
  <w:abstractNum w:abstractNumId="21" w15:restartNumberingAfterBreak="0">
    <w:nsid w:val="136129C8"/>
    <w:multiLevelType w:val="hybridMultilevel"/>
    <w:tmpl w:val="2260110C"/>
    <w:lvl w:ilvl="0" w:tplc="68E6AC7C">
      <w:start w:val="1"/>
      <w:numFmt w:val="bullet"/>
      <w:lvlText w:val=""/>
      <w:lvlJc w:val="left"/>
      <w:pPr>
        <w:ind w:left="720" w:hanging="360"/>
      </w:pPr>
      <w:rPr>
        <w:rFonts w:ascii="Symbol" w:hAnsi="Symbol"/>
      </w:rPr>
    </w:lvl>
    <w:lvl w:ilvl="1" w:tplc="A608FF5C">
      <w:start w:val="1"/>
      <w:numFmt w:val="bullet"/>
      <w:lvlText w:val=""/>
      <w:lvlJc w:val="left"/>
      <w:pPr>
        <w:ind w:left="720" w:hanging="360"/>
      </w:pPr>
      <w:rPr>
        <w:rFonts w:ascii="Symbol" w:hAnsi="Symbol"/>
      </w:rPr>
    </w:lvl>
    <w:lvl w:ilvl="2" w:tplc="340E8B22">
      <w:start w:val="1"/>
      <w:numFmt w:val="bullet"/>
      <w:lvlText w:val=""/>
      <w:lvlJc w:val="left"/>
      <w:pPr>
        <w:ind w:left="720" w:hanging="360"/>
      </w:pPr>
      <w:rPr>
        <w:rFonts w:ascii="Symbol" w:hAnsi="Symbol"/>
      </w:rPr>
    </w:lvl>
    <w:lvl w:ilvl="3" w:tplc="00C0432A">
      <w:start w:val="1"/>
      <w:numFmt w:val="bullet"/>
      <w:lvlText w:val=""/>
      <w:lvlJc w:val="left"/>
      <w:pPr>
        <w:ind w:left="720" w:hanging="360"/>
      </w:pPr>
      <w:rPr>
        <w:rFonts w:ascii="Symbol" w:hAnsi="Symbol"/>
      </w:rPr>
    </w:lvl>
    <w:lvl w:ilvl="4" w:tplc="11C61D4E">
      <w:start w:val="1"/>
      <w:numFmt w:val="bullet"/>
      <w:lvlText w:val=""/>
      <w:lvlJc w:val="left"/>
      <w:pPr>
        <w:ind w:left="720" w:hanging="360"/>
      </w:pPr>
      <w:rPr>
        <w:rFonts w:ascii="Symbol" w:hAnsi="Symbol"/>
      </w:rPr>
    </w:lvl>
    <w:lvl w:ilvl="5" w:tplc="8CD8C1B8">
      <w:start w:val="1"/>
      <w:numFmt w:val="bullet"/>
      <w:lvlText w:val=""/>
      <w:lvlJc w:val="left"/>
      <w:pPr>
        <w:ind w:left="720" w:hanging="360"/>
      </w:pPr>
      <w:rPr>
        <w:rFonts w:ascii="Symbol" w:hAnsi="Symbol"/>
      </w:rPr>
    </w:lvl>
    <w:lvl w:ilvl="6" w:tplc="4710A194">
      <w:start w:val="1"/>
      <w:numFmt w:val="bullet"/>
      <w:lvlText w:val=""/>
      <w:lvlJc w:val="left"/>
      <w:pPr>
        <w:ind w:left="720" w:hanging="360"/>
      </w:pPr>
      <w:rPr>
        <w:rFonts w:ascii="Symbol" w:hAnsi="Symbol"/>
      </w:rPr>
    </w:lvl>
    <w:lvl w:ilvl="7" w:tplc="4628E2B8">
      <w:start w:val="1"/>
      <w:numFmt w:val="bullet"/>
      <w:lvlText w:val=""/>
      <w:lvlJc w:val="left"/>
      <w:pPr>
        <w:ind w:left="720" w:hanging="360"/>
      </w:pPr>
      <w:rPr>
        <w:rFonts w:ascii="Symbol" w:hAnsi="Symbol"/>
      </w:rPr>
    </w:lvl>
    <w:lvl w:ilvl="8" w:tplc="442242A8">
      <w:start w:val="1"/>
      <w:numFmt w:val="bullet"/>
      <w:lvlText w:val=""/>
      <w:lvlJc w:val="left"/>
      <w:pPr>
        <w:ind w:left="720" w:hanging="360"/>
      </w:pPr>
      <w:rPr>
        <w:rFonts w:ascii="Symbol" w:hAnsi="Symbol"/>
      </w:rPr>
    </w:lvl>
  </w:abstractNum>
  <w:abstractNum w:abstractNumId="22" w15:restartNumberingAfterBreak="0">
    <w:nsid w:val="13625646"/>
    <w:multiLevelType w:val="hybridMultilevel"/>
    <w:tmpl w:val="039AAA84"/>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147453D7"/>
    <w:multiLevelType w:val="hybridMultilevel"/>
    <w:tmpl w:val="2DBAC04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1589629F"/>
    <w:multiLevelType w:val="hybridMultilevel"/>
    <w:tmpl w:val="623270F6"/>
    <w:lvl w:ilvl="0" w:tplc="F482BE3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5F50DE5"/>
    <w:multiLevelType w:val="hybridMultilevel"/>
    <w:tmpl w:val="33BE7E3C"/>
    <w:lvl w:ilvl="0" w:tplc="5BDEB576">
      <w:start w:val="1"/>
      <w:numFmt w:val="lowerLetter"/>
      <w:lvlText w:val="%1."/>
      <w:lvlJc w:val="left"/>
      <w:pPr>
        <w:ind w:left="1440" w:hanging="360"/>
      </w:pPr>
      <w:rPr>
        <w:rFonts w:hint="default"/>
        <w:b/>
      </w:rPr>
    </w:lvl>
    <w:lvl w:ilvl="1" w:tplc="019AF26E" w:tentative="1">
      <w:start w:val="1"/>
      <w:numFmt w:val="lowerLetter"/>
      <w:lvlText w:val="%2."/>
      <w:lvlJc w:val="left"/>
      <w:pPr>
        <w:ind w:left="2160" w:hanging="360"/>
      </w:pPr>
    </w:lvl>
    <w:lvl w:ilvl="2" w:tplc="F97E0082" w:tentative="1">
      <w:start w:val="1"/>
      <w:numFmt w:val="lowerRoman"/>
      <w:lvlText w:val="%3."/>
      <w:lvlJc w:val="right"/>
      <w:pPr>
        <w:ind w:left="2880" w:hanging="180"/>
      </w:pPr>
    </w:lvl>
    <w:lvl w:ilvl="3" w:tplc="BB38F772" w:tentative="1">
      <w:start w:val="1"/>
      <w:numFmt w:val="decimal"/>
      <w:lvlText w:val="%4."/>
      <w:lvlJc w:val="left"/>
      <w:pPr>
        <w:ind w:left="3600" w:hanging="360"/>
      </w:pPr>
    </w:lvl>
    <w:lvl w:ilvl="4" w:tplc="556686EE" w:tentative="1">
      <w:start w:val="1"/>
      <w:numFmt w:val="lowerLetter"/>
      <w:lvlText w:val="%5."/>
      <w:lvlJc w:val="left"/>
      <w:pPr>
        <w:ind w:left="4320" w:hanging="360"/>
      </w:pPr>
    </w:lvl>
    <w:lvl w:ilvl="5" w:tplc="E42E7A96" w:tentative="1">
      <w:start w:val="1"/>
      <w:numFmt w:val="lowerRoman"/>
      <w:lvlText w:val="%6."/>
      <w:lvlJc w:val="right"/>
      <w:pPr>
        <w:ind w:left="5040" w:hanging="180"/>
      </w:pPr>
    </w:lvl>
    <w:lvl w:ilvl="6" w:tplc="5BA664E4" w:tentative="1">
      <w:start w:val="1"/>
      <w:numFmt w:val="decimal"/>
      <w:lvlText w:val="%7."/>
      <w:lvlJc w:val="left"/>
      <w:pPr>
        <w:ind w:left="5760" w:hanging="360"/>
      </w:pPr>
    </w:lvl>
    <w:lvl w:ilvl="7" w:tplc="06901BFA" w:tentative="1">
      <w:start w:val="1"/>
      <w:numFmt w:val="lowerLetter"/>
      <w:lvlText w:val="%8."/>
      <w:lvlJc w:val="left"/>
      <w:pPr>
        <w:ind w:left="6480" w:hanging="360"/>
      </w:pPr>
    </w:lvl>
    <w:lvl w:ilvl="8" w:tplc="867CEDB6" w:tentative="1">
      <w:start w:val="1"/>
      <w:numFmt w:val="lowerRoman"/>
      <w:lvlText w:val="%9."/>
      <w:lvlJc w:val="right"/>
      <w:pPr>
        <w:ind w:left="7200" w:hanging="180"/>
      </w:pPr>
    </w:lvl>
  </w:abstractNum>
  <w:abstractNum w:abstractNumId="26" w15:restartNumberingAfterBreak="0">
    <w:nsid w:val="16AAB7EE"/>
    <w:multiLevelType w:val="hybridMultilevel"/>
    <w:tmpl w:val="7BD86778"/>
    <w:lvl w:ilvl="0" w:tplc="80C82178">
      <w:start w:val="1"/>
      <w:numFmt w:val="bullet"/>
      <w:lvlText w:val=""/>
      <w:lvlJc w:val="left"/>
      <w:pPr>
        <w:ind w:left="720" w:hanging="360"/>
      </w:pPr>
      <w:rPr>
        <w:rFonts w:ascii="Symbol" w:hAnsi="Symbol"/>
      </w:rPr>
    </w:lvl>
    <w:lvl w:ilvl="1" w:tplc="82E61BC6">
      <w:start w:val="1"/>
      <w:numFmt w:val="bullet"/>
      <w:lvlText w:val="o"/>
      <w:lvlJc w:val="left"/>
      <w:pPr>
        <w:ind w:left="1440" w:hanging="360"/>
      </w:pPr>
      <w:rPr>
        <w:rFonts w:ascii="Courier New" w:hAnsi="Courier New"/>
      </w:rPr>
    </w:lvl>
    <w:lvl w:ilvl="2" w:tplc="00A87300">
      <w:start w:val="1"/>
      <w:numFmt w:val="bullet"/>
      <w:lvlText w:val=""/>
      <w:lvlJc w:val="left"/>
      <w:pPr>
        <w:tabs>
          <w:tab w:val="num" w:pos="2160"/>
        </w:tabs>
        <w:ind w:left="2160" w:hanging="360"/>
      </w:pPr>
      <w:rPr>
        <w:rFonts w:ascii="Wingdings" w:hAnsi="Wingdings"/>
      </w:rPr>
    </w:lvl>
    <w:lvl w:ilvl="3" w:tplc="4CA0F884">
      <w:start w:val="1"/>
      <w:numFmt w:val="bullet"/>
      <w:lvlText w:val=""/>
      <w:lvlJc w:val="left"/>
      <w:pPr>
        <w:tabs>
          <w:tab w:val="num" w:pos="2880"/>
        </w:tabs>
        <w:ind w:left="2880" w:hanging="360"/>
      </w:pPr>
      <w:rPr>
        <w:rFonts w:ascii="Symbol" w:hAnsi="Symbol"/>
      </w:rPr>
    </w:lvl>
    <w:lvl w:ilvl="4" w:tplc="93F81C92">
      <w:start w:val="1"/>
      <w:numFmt w:val="bullet"/>
      <w:lvlText w:val="o"/>
      <w:lvlJc w:val="left"/>
      <w:pPr>
        <w:tabs>
          <w:tab w:val="num" w:pos="3600"/>
        </w:tabs>
        <w:ind w:left="3600" w:hanging="360"/>
      </w:pPr>
      <w:rPr>
        <w:rFonts w:ascii="Courier New" w:hAnsi="Courier New"/>
      </w:rPr>
    </w:lvl>
    <w:lvl w:ilvl="5" w:tplc="65C478B6">
      <w:start w:val="1"/>
      <w:numFmt w:val="bullet"/>
      <w:lvlText w:val=""/>
      <w:lvlJc w:val="left"/>
      <w:pPr>
        <w:tabs>
          <w:tab w:val="num" w:pos="4320"/>
        </w:tabs>
        <w:ind w:left="4320" w:hanging="360"/>
      </w:pPr>
      <w:rPr>
        <w:rFonts w:ascii="Wingdings" w:hAnsi="Wingdings"/>
      </w:rPr>
    </w:lvl>
    <w:lvl w:ilvl="6" w:tplc="605E7B1C">
      <w:start w:val="1"/>
      <w:numFmt w:val="bullet"/>
      <w:lvlText w:val=""/>
      <w:lvlJc w:val="left"/>
      <w:pPr>
        <w:tabs>
          <w:tab w:val="num" w:pos="5040"/>
        </w:tabs>
        <w:ind w:left="5040" w:hanging="360"/>
      </w:pPr>
      <w:rPr>
        <w:rFonts w:ascii="Symbol" w:hAnsi="Symbol"/>
      </w:rPr>
    </w:lvl>
    <w:lvl w:ilvl="7" w:tplc="858CC9B8">
      <w:start w:val="1"/>
      <w:numFmt w:val="bullet"/>
      <w:lvlText w:val="o"/>
      <w:lvlJc w:val="left"/>
      <w:pPr>
        <w:tabs>
          <w:tab w:val="num" w:pos="5760"/>
        </w:tabs>
        <w:ind w:left="5760" w:hanging="360"/>
      </w:pPr>
      <w:rPr>
        <w:rFonts w:ascii="Courier New" w:hAnsi="Courier New"/>
      </w:rPr>
    </w:lvl>
    <w:lvl w:ilvl="8" w:tplc="29FAE098">
      <w:start w:val="1"/>
      <w:numFmt w:val="bullet"/>
      <w:lvlText w:val=""/>
      <w:lvlJc w:val="left"/>
      <w:pPr>
        <w:tabs>
          <w:tab w:val="num" w:pos="6480"/>
        </w:tabs>
        <w:ind w:left="6480" w:hanging="360"/>
      </w:pPr>
      <w:rPr>
        <w:rFonts w:ascii="Wingdings" w:hAnsi="Wingdings"/>
      </w:rPr>
    </w:lvl>
  </w:abstractNum>
  <w:abstractNum w:abstractNumId="27" w15:restartNumberingAfterBreak="0">
    <w:nsid w:val="170423B5"/>
    <w:multiLevelType w:val="hybridMultilevel"/>
    <w:tmpl w:val="C67E8046"/>
    <w:lvl w:ilvl="0" w:tplc="9E580F34">
      <w:start w:val="1"/>
      <w:numFmt w:val="decimal"/>
      <w:lvlText w:val="%1."/>
      <w:lvlJc w:val="left"/>
      <w:pPr>
        <w:ind w:left="720" w:hanging="360"/>
      </w:pPr>
      <w:rPr>
        <w:rFonts w:ascii="Calibri" w:eastAsia="Times New Roman" w:hAnsi="Calibri" w:cs="Times New Roman" w:hint="default"/>
        <w:sz w:val="20"/>
      </w:rPr>
    </w:lvl>
    <w:lvl w:ilvl="1" w:tplc="C49AD042">
      <w:start w:val="1"/>
      <w:numFmt w:val="lowerLetter"/>
      <w:lvlText w:val="%2."/>
      <w:lvlJc w:val="left"/>
      <w:pPr>
        <w:ind w:left="1440" w:hanging="360"/>
      </w:pPr>
      <w:rPr>
        <w:rFonts w:cs="Times New Roman"/>
      </w:rPr>
    </w:lvl>
    <w:lvl w:ilvl="2" w:tplc="0F404ECA">
      <w:start w:val="1"/>
      <w:numFmt w:val="lowerRoman"/>
      <w:lvlText w:val="%3."/>
      <w:lvlJc w:val="right"/>
      <w:pPr>
        <w:ind w:left="2160" w:hanging="180"/>
      </w:pPr>
      <w:rPr>
        <w:rFonts w:cs="Times New Roman"/>
      </w:rPr>
    </w:lvl>
    <w:lvl w:ilvl="3" w:tplc="0CD6E7FC">
      <w:start w:val="1"/>
      <w:numFmt w:val="decimal"/>
      <w:lvlText w:val="%4."/>
      <w:lvlJc w:val="left"/>
      <w:pPr>
        <w:ind w:left="2880" w:hanging="360"/>
      </w:pPr>
      <w:rPr>
        <w:rFonts w:cs="Times New Roman"/>
      </w:rPr>
    </w:lvl>
    <w:lvl w:ilvl="4" w:tplc="5CFA545C">
      <w:start w:val="1"/>
      <w:numFmt w:val="lowerLetter"/>
      <w:lvlText w:val="%5."/>
      <w:lvlJc w:val="left"/>
      <w:pPr>
        <w:ind w:left="3600" w:hanging="360"/>
      </w:pPr>
      <w:rPr>
        <w:rFonts w:cs="Times New Roman"/>
      </w:rPr>
    </w:lvl>
    <w:lvl w:ilvl="5" w:tplc="D98C9074">
      <w:start w:val="1"/>
      <w:numFmt w:val="lowerRoman"/>
      <w:lvlText w:val="%6."/>
      <w:lvlJc w:val="right"/>
      <w:pPr>
        <w:ind w:left="4320" w:hanging="180"/>
      </w:pPr>
      <w:rPr>
        <w:rFonts w:cs="Times New Roman"/>
      </w:rPr>
    </w:lvl>
    <w:lvl w:ilvl="6" w:tplc="1D04A1F6">
      <w:start w:val="1"/>
      <w:numFmt w:val="decimal"/>
      <w:lvlText w:val="%7."/>
      <w:lvlJc w:val="left"/>
      <w:pPr>
        <w:ind w:left="5040" w:hanging="360"/>
      </w:pPr>
      <w:rPr>
        <w:rFonts w:cs="Times New Roman"/>
      </w:rPr>
    </w:lvl>
    <w:lvl w:ilvl="7" w:tplc="0C383022">
      <w:start w:val="1"/>
      <w:numFmt w:val="lowerLetter"/>
      <w:lvlText w:val="%8."/>
      <w:lvlJc w:val="left"/>
      <w:pPr>
        <w:ind w:left="5760" w:hanging="360"/>
      </w:pPr>
      <w:rPr>
        <w:rFonts w:cs="Times New Roman"/>
      </w:rPr>
    </w:lvl>
    <w:lvl w:ilvl="8" w:tplc="0EF4EA5A">
      <w:start w:val="1"/>
      <w:numFmt w:val="lowerRoman"/>
      <w:lvlText w:val="%9."/>
      <w:lvlJc w:val="right"/>
      <w:pPr>
        <w:ind w:left="6480" w:hanging="180"/>
      </w:pPr>
      <w:rPr>
        <w:rFonts w:cs="Times New Roman"/>
      </w:rPr>
    </w:lvl>
  </w:abstractNum>
  <w:abstractNum w:abstractNumId="28" w15:restartNumberingAfterBreak="0">
    <w:nsid w:val="171E23FE"/>
    <w:multiLevelType w:val="hybridMultilevel"/>
    <w:tmpl w:val="7BD86774"/>
    <w:lvl w:ilvl="0" w:tplc="35FE9D4C">
      <w:start w:val="1"/>
      <w:numFmt w:val="bullet"/>
      <w:lvlText w:val=""/>
      <w:lvlJc w:val="left"/>
      <w:pPr>
        <w:ind w:left="720" w:hanging="360"/>
      </w:pPr>
      <w:rPr>
        <w:rFonts w:ascii="Symbol" w:hAnsi="Symbol"/>
      </w:rPr>
    </w:lvl>
    <w:lvl w:ilvl="1" w:tplc="159AF56E">
      <w:start w:val="1"/>
      <w:numFmt w:val="bullet"/>
      <w:lvlText w:val="o"/>
      <w:lvlJc w:val="left"/>
      <w:pPr>
        <w:tabs>
          <w:tab w:val="num" w:pos="1440"/>
        </w:tabs>
        <w:ind w:left="1440" w:hanging="360"/>
      </w:pPr>
      <w:rPr>
        <w:rFonts w:ascii="Courier New" w:hAnsi="Courier New"/>
      </w:rPr>
    </w:lvl>
    <w:lvl w:ilvl="2" w:tplc="3AA0791E">
      <w:start w:val="1"/>
      <w:numFmt w:val="bullet"/>
      <w:lvlText w:val=""/>
      <w:lvlJc w:val="left"/>
      <w:pPr>
        <w:tabs>
          <w:tab w:val="num" w:pos="2160"/>
        </w:tabs>
        <w:ind w:left="2160" w:hanging="360"/>
      </w:pPr>
      <w:rPr>
        <w:rFonts w:ascii="Wingdings" w:hAnsi="Wingdings"/>
      </w:rPr>
    </w:lvl>
    <w:lvl w:ilvl="3" w:tplc="D2E0790E">
      <w:start w:val="1"/>
      <w:numFmt w:val="bullet"/>
      <w:lvlText w:val=""/>
      <w:lvlJc w:val="left"/>
      <w:pPr>
        <w:tabs>
          <w:tab w:val="num" w:pos="2880"/>
        </w:tabs>
        <w:ind w:left="2880" w:hanging="360"/>
      </w:pPr>
      <w:rPr>
        <w:rFonts w:ascii="Symbol" w:hAnsi="Symbol"/>
      </w:rPr>
    </w:lvl>
    <w:lvl w:ilvl="4" w:tplc="90EC282C">
      <w:start w:val="1"/>
      <w:numFmt w:val="bullet"/>
      <w:lvlText w:val="o"/>
      <w:lvlJc w:val="left"/>
      <w:pPr>
        <w:tabs>
          <w:tab w:val="num" w:pos="3600"/>
        </w:tabs>
        <w:ind w:left="3600" w:hanging="360"/>
      </w:pPr>
      <w:rPr>
        <w:rFonts w:ascii="Courier New" w:hAnsi="Courier New"/>
      </w:rPr>
    </w:lvl>
    <w:lvl w:ilvl="5" w:tplc="6750E698">
      <w:start w:val="1"/>
      <w:numFmt w:val="bullet"/>
      <w:lvlText w:val=""/>
      <w:lvlJc w:val="left"/>
      <w:pPr>
        <w:tabs>
          <w:tab w:val="num" w:pos="4320"/>
        </w:tabs>
        <w:ind w:left="4320" w:hanging="360"/>
      </w:pPr>
      <w:rPr>
        <w:rFonts w:ascii="Wingdings" w:hAnsi="Wingdings"/>
      </w:rPr>
    </w:lvl>
    <w:lvl w:ilvl="6" w:tplc="148CA0F0">
      <w:start w:val="1"/>
      <w:numFmt w:val="bullet"/>
      <w:lvlText w:val=""/>
      <w:lvlJc w:val="left"/>
      <w:pPr>
        <w:tabs>
          <w:tab w:val="num" w:pos="5040"/>
        </w:tabs>
        <w:ind w:left="5040" w:hanging="360"/>
      </w:pPr>
      <w:rPr>
        <w:rFonts w:ascii="Symbol" w:hAnsi="Symbol"/>
      </w:rPr>
    </w:lvl>
    <w:lvl w:ilvl="7" w:tplc="91A025F2">
      <w:start w:val="1"/>
      <w:numFmt w:val="bullet"/>
      <w:lvlText w:val="o"/>
      <w:lvlJc w:val="left"/>
      <w:pPr>
        <w:tabs>
          <w:tab w:val="num" w:pos="5760"/>
        </w:tabs>
        <w:ind w:left="5760" w:hanging="360"/>
      </w:pPr>
      <w:rPr>
        <w:rFonts w:ascii="Courier New" w:hAnsi="Courier New"/>
      </w:rPr>
    </w:lvl>
    <w:lvl w:ilvl="8" w:tplc="29FE6F04">
      <w:start w:val="1"/>
      <w:numFmt w:val="bullet"/>
      <w:lvlText w:val=""/>
      <w:lvlJc w:val="left"/>
      <w:pPr>
        <w:tabs>
          <w:tab w:val="num" w:pos="6480"/>
        </w:tabs>
        <w:ind w:left="6480" w:hanging="360"/>
      </w:pPr>
      <w:rPr>
        <w:rFonts w:ascii="Wingdings" w:hAnsi="Wingdings"/>
      </w:rPr>
    </w:lvl>
  </w:abstractNum>
  <w:abstractNum w:abstractNumId="29" w15:restartNumberingAfterBreak="0">
    <w:nsid w:val="1738690B"/>
    <w:multiLevelType w:val="hybridMultilevel"/>
    <w:tmpl w:val="6A523A76"/>
    <w:lvl w:ilvl="0" w:tplc="BCDAA51E">
      <w:start w:val="1"/>
      <w:numFmt w:val="bullet"/>
      <w:lvlText w:val=""/>
      <w:lvlJc w:val="left"/>
      <w:pPr>
        <w:ind w:left="4320" w:hanging="360"/>
      </w:pPr>
      <w:rPr>
        <w:rFonts w:ascii="Symbol" w:hAnsi="Symbol" w:hint="default"/>
      </w:rPr>
    </w:lvl>
    <w:lvl w:ilvl="1" w:tplc="F252F46A">
      <w:start w:val="1"/>
      <w:numFmt w:val="bullet"/>
      <w:lvlText w:val="o"/>
      <w:lvlJc w:val="left"/>
      <w:pPr>
        <w:ind w:left="7200" w:hanging="360"/>
      </w:pPr>
      <w:rPr>
        <w:rFonts w:ascii="Courier New" w:hAnsi="Courier New" w:cs="Courier New" w:hint="default"/>
      </w:rPr>
    </w:lvl>
    <w:lvl w:ilvl="2" w:tplc="25F813F2">
      <w:start w:val="1"/>
      <w:numFmt w:val="bullet"/>
      <w:lvlText w:val=""/>
      <w:lvlJc w:val="left"/>
      <w:pPr>
        <w:ind w:left="7920" w:hanging="360"/>
      </w:pPr>
      <w:rPr>
        <w:rFonts w:ascii="Wingdings" w:hAnsi="Wingdings" w:hint="default"/>
      </w:rPr>
    </w:lvl>
    <w:lvl w:ilvl="3" w:tplc="67D25734">
      <w:start w:val="1"/>
      <w:numFmt w:val="bullet"/>
      <w:lvlText w:val=""/>
      <w:lvlJc w:val="left"/>
      <w:pPr>
        <w:ind w:left="8640" w:hanging="360"/>
      </w:pPr>
      <w:rPr>
        <w:rFonts w:ascii="Symbol" w:hAnsi="Symbol" w:hint="default"/>
      </w:rPr>
    </w:lvl>
    <w:lvl w:ilvl="4" w:tplc="D5F0ECFA">
      <w:start w:val="1"/>
      <w:numFmt w:val="bullet"/>
      <w:lvlText w:val="o"/>
      <w:lvlJc w:val="left"/>
      <w:pPr>
        <w:ind w:left="9360" w:hanging="360"/>
      </w:pPr>
      <w:rPr>
        <w:rFonts w:ascii="Courier New" w:hAnsi="Courier New" w:cs="Courier New" w:hint="default"/>
      </w:rPr>
    </w:lvl>
    <w:lvl w:ilvl="5" w:tplc="D45C4744">
      <w:start w:val="1"/>
      <w:numFmt w:val="bullet"/>
      <w:lvlText w:val=""/>
      <w:lvlJc w:val="left"/>
      <w:pPr>
        <w:ind w:left="10080" w:hanging="360"/>
      </w:pPr>
      <w:rPr>
        <w:rFonts w:ascii="Wingdings" w:hAnsi="Wingdings" w:hint="default"/>
      </w:rPr>
    </w:lvl>
    <w:lvl w:ilvl="6" w:tplc="547440EA">
      <w:start w:val="1"/>
      <w:numFmt w:val="bullet"/>
      <w:lvlText w:val=""/>
      <w:lvlJc w:val="left"/>
      <w:pPr>
        <w:ind w:left="10800" w:hanging="360"/>
      </w:pPr>
      <w:rPr>
        <w:rFonts w:ascii="Symbol" w:hAnsi="Symbol" w:hint="default"/>
      </w:rPr>
    </w:lvl>
    <w:lvl w:ilvl="7" w:tplc="A3C64A96">
      <w:start w:val="1"/>
      <w:numFmt w:val="bullet"/>
      <w:lvlText w:val="o"/>
      <w:lvlJc w:val="left"/>
      <w:pPr>
        <w:ind w:left="11520" w:hanging="360"/>
      </w:pPr>
      <w:rPr>
        <w:rFonts w:ascii="Courier New" w:hAnsi="Courier New" w:cs="Courier New" w:hint="default"/>
      </w:rPr>
    </w:lvl>
    <w:lvl w:ilvl="8" w:tplc="DB2E0912">
      <w:start w:val="1"/>
      <w:numFmt w:val="bullet"/>
      <w:lvlText w:val=""/>
      <w:lvlJc w:val="left"/>
      <w:pPr>
        <w:ind w:left="12240" w:hanging="360"/>
      </w:pPr>
      <w:rPr>
        <w:rFonts w:ascii="Wingdings" w:hAnsi="Wingdings" w:hint="default"/>
      </w:rPr>
    </w:lvl>
  </w:abstractNum>
  <w:abstractNum w:abstractNumId="30" w15:restartNumberingAfterBreak="0">
    <w:nsid w:val="179F67A9"/>
    <w:multiLevelType w:val="hybridMultilevel"/>
    <w:tmpl w:val="2E3AE0EA"/>
    <w:lvl w:ilvl="0" w:tplc="81E21CD6">
      <w:start w:val="1"/>
      <w:numFmt w:val="decimal"/>
      <w:lvlText w:val="%1."/>
      <w:lvlJc w:val="left"/>
      <w:pPr>
        <w:ind w:left="720" w:hanging="360"/>
      </w:pPr>
    </w:lvl>
    <w:lvl w:ilvl="1" w:tplc="9B9ADED2" w:tentative="1">
      <w:start w:val="1"/>
      <w:numFmt w:val="lowerLetter"/>
      <w:lvlText w:val="%2."/>
      <w:lvlJc w:val="left"/>
      <w:pPr>
        <w:ind w:left="1440" w:hanging="360"/>
      </w:pPr>
    </w:lvl>
    <w:lvl w:ilvl="2" w:tplc="C3DC4778" w:tentative="1">
      <w:start w:val="1"/>
      <w:numFmt w:val="lowerRoman"/>
      <w:lvlText w:val="%3."/>
      <w:lvlJc w:val="right"/>
      <w:pPr>
        <w:ind w:left="2160" w:hanging="180"/>
      </w:pPr>
    </w:lvl>
    <w:lvl w:ilvl="3" w:tplc="18DE63C4" w:tentative="1">
      <w:start w:val="1"/>
      <w:numFmt w:val="decimal"/>
      <w:lvlText w:val="%4."/>
      <w:lvlJc w:val="left"/>
      <w:pPr>
        <w:ind w:left="2880" w:hanging="360"/>
      </w:pPr>
    </w:lvl>
    <w:lvl w:ilvl="4" w:tplc="AE86C988" w:tentative="1">
      <w:start w:val="1"/>
      <w:numFmt w:val="lowerLetter"/>
      <w:lvlText w:val="%5."/>
      <w:lvlJc w:val="left"/>
      <w:pPr>
        <w:ind w:left="3600" w:hanging="360"/>
      </w:pPr>
    </w:lvl>
    <w:lvl w:ilvl="5" w:tplc="22209FE6" w:tentative="1">
      <w:start w:val="1"/>
      <w:numFmt w:val="lowerRoman"/>
      <w:lvlText w:val="%6."/>
      <w:lvlJc w:val="right"/>
      <w:pPr>
        <w:ind w:left="4320" w:hanging="180"/>
      </w:pPr>
    </w:lvl>
    <w:lvl w:ilvl="6" w:tplc="AAAE4692" w:tentative="1">
      <w:start w:val="1"/>
      <w:numFmt w:val="decimal"/>
      <w:lvlText w:val="%7."/>
      <w:lvlJc w:val="left"/>
      <w:pPr>
        <w:ind w:left="5040" w:hanging="360"/>
      </w:pPr>
    </w:lvl>
    <w:lvl w:ilvl="7" w:tplc="A6B4EB72" w:tentative="1">
      <w:start w:val="1"/>
      <w:numFmt w:val="lowerLetter"/>
      <w:lvlText w:val="%8."/>
      <w:lvlJc w:val="left"/>
      <w:pPr>
        <w:ind w:left="5760" w:hanging="360"/>
      </w:pPr>
    </w:lvl>
    <w:lvl w:ilvl="8" w:tplc="01DA8A40" w:tentative="1">
      <w:start w:val="1"/>
      <w:numFmt w:val="lowerRoman"/>
      <w:lvlText w:val="%9."/>
      <w:lvlJc w:val="right"/>
      <w:pPr>
        <w:ind w:left="6480" w:hanging="180"/>
      </w:pPr>
    </w:lvl>
  </w:abstractNum>
  <w:abstractNum w:abstractNumId="31" w15:restartNumberingAfterBreak="0">
    <w:nsid w:val="185E0BA1"/>
    <w:multiLevelType w:val="hybridMultilevel"/>
    <w:tmpl w:val="FB9AE19A"/>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2" w15:restartNumberingAfterBreak="0">
    <w:nsid w:val="18AE0451"/>
    <w:multiLevelType w:val="hybridMultilevel"/>
    <w:tmpl w:val="AF909710"/>
    <w:lvl w:ilvl="0" w:tplc="36EC8DDA">
      <w:start w:val="1"/>
      <w:numFmt w:val="bullet"/>
      <w:lvlText w:val=""/>
      <w:lvlJc w:val="left"/>
      <w:pPr>
        <w:ind w:left="3240" w:hanging="360"/>
      </w:pPr>
      <w:rPr>
        <w:rFonts w:ascii="Symbol" w:hAnsi="Symbol" w:hint="default"/>
      </w:rPr>
    </w:lvl>
    <w:lvl w:ilvl="1" w:tplc="5388DF4C" w:tentative="1">
      <w:start w:val="1"/>
      <w:numFmt w:val="bullet"/>
      <w:lvlText w:val="o"/>
      <w:lvlJc w:val="left"/>
      <w:pPr>
        <w:ind w:left="3960" w:hanging="360"/>
      </w:pPr>
      <w:rPr>
        <w:rFonts w:ascii="Courier New" w:hAnsi="Courier New" w:cs="Courier New" w:hint="default"/>
      </w:rPr>
    </w:lvl>
    <w:lvl w:ilvl="2" w:tplc="FB569D40" w:tentative="1">
      <w:start w:val="1"/>
      <w:numFmt w:val="bullet"/>
      <w:lvlText w:val=""/>
      <w:lvlJc w:val="left"/>
      <w:pPr>
        <w:ind w:left="4680" w:hanging="360"/>
      </w:pPr>
      <w:rPr>
        <w:rFonts w:ascii="Wingdings" w:hAnsi="Wingdings" w:hint="default"/>
      </w:rPr>
    </w:lvl>
    <w:lvl w:ilvl="3" w:tplc="323EDEB4" w:tentative="1">
      <w:start w:val="1"/>
      <w:numFmt w:val="bullet"/>
      <w:lvlText w:val=""/>
      <w:lvlJc w:val="left"/>
      <w:pPr>
        <w:ind w:left="5400" w:hanging="360"/>
      </w:pPr>
      <w:rPr>
        <w:rFonts w:ascii="Symbol" w:hAnsi="Symbol" w:hint="default"/>
      </w:rPr>
    </w:lvl>
    <w:lvl w:ilvl="4" w:tplc="24D8DFA6" w:tentative="1">
      <w:start w:val="1"/>
      <w:numFmt w:val="bullet"/>
      <w:lvlText w:val="o"/>
      <w:lvlJc w:val="left"/>
      <w:pPr>
        <w:ind w:left="6120" w:hanging="360"/>
      </w:pPr>
      <w:rPr>
        <w:rFonts w:ascii="Courier New" w:hAnsi="Courier New" w:cs="Courier New" w:hint="default"/>
      </w:rPr>
    </w:lvl>
    <w:lvl w:ilvl="5" w:tplc="617E8C6E" w:tentative="1">
      <w:start w:val="1"/>
      <w:numFmt w:val="bullet"/>
      <w:lvlText w:val=""/>
      <w:lvlJc w:val="left"/>
      <w:pPr>
        <w:ind w:left="6840" w:hanging="360"/>
      </w:pPr>
      <w:rPr>
        <w:rFonts w:ascii="Wingdings" w:hAnsi="Wingdings" w:hint="default"/>
      </w:rPr>
    </w:lvl>
    <w:lvl w:ilvl="6" w:tplc="EC68F62E" w:tentative="1">
      <w:start w:val="1"/>
      <w:numFmt w:val="bullet"/>
      <w:lvlText w:val=""/>
      <w:lvlJc w:val="left"/>
      <w:pPr>
        <w:ind w:left="7560" w:hanging="360"/>
      </w:pPr>
      <w:rPr>
        <w:rFonts w:ascii="Symbol" w:hAnsi="Symbol" w:hint="default"/>
      </w:rPr>
    </w:lvl>
    <w:lvl w:ilvl="7" w:tplc="D00CF618" w:tentative="1">
      <w:start w:val="1"/>
      <w:numFmt w:val="bullet"/>
      <w:lvlText w:val="o"/>
      <w:lvlJc w:val="left"/>
      <w:pPr>
        <w:ind w:left="8280" w:hanging="360"/>
      </w:pPr>
      <w:rPr>
        <w:rFonts w:ascii="Courier New" w:hAnsi="Courier New" w:cs="Courier New" w:hint="default"/>
      </w:rPr>
    </w:lvl>
    <w:lvl w:ilvl="8" w:tplc="AC04B5AA" w:tentative="1">
      <w:start w:val="1"/>
      <w:numFmt w:val="bullet"/>
      <w:lvlText w:val=""/>
      <w:lvlJc w:val="left"/>
      <w:pPr>
        <w:ind w:left="9000" w:hanging="360"/>
      </w:pPr>
      <w:rPr>
        <w:rFonts w:ascii="Wingdings" w:hAnsi="Wingdings" w:hint="default"/>
      </w:rPr>
    </w:lvl>
  </w:abstractNum>
  <w:abstractNum w:abstractNumId="33" w15:restartNumberingAfterBreak="0">
    <w:nsid w:val="1A5D86CD"/>
    <w:multiLevelType w:val="hybridMultilevel"/>
    <w:tmpl w:val="7BD8677B"/>
    <w:lvl w:ilvl="0" w:tplc="0B82C8EC">
      <w:start w:val="1"/>
      <w:numFmt w:val="bullet"/>
      <w:lvlText w:val=""/>
      <w:lvlJc w:val="left"/>
      <w:pPr>
        <w:ind w:left="720" w:hanging="360"/>
      </w:pPr>
      <w:rPr>
        <w:rFonts w:ascii="Symbol" w:hAnsi="Symbol"/>
      </w:rPr>
    </w:lvl>
    <w:lvl w:ilvl="1" w:tplc="9AF8C84A">
      <w:start w:val="1"/>
      <w:numFmt w:val="bullet"/>
      <w:lvlText w:val="o"/>
      <w:lvlJc w:val="left"/>
      <w:pPr>
        <w:tabs>
          <w:tab w:val="num" w:pos="1440"/>
        </w:tabs>
        <w:ind w:left="1440" w:hanging="360"/>
      </w:pPr>
      <w:rPr>
        <w:rFonts w:ascii="Courier New" w:hAnsi="Courier New"/>
      </w:rPr>
    </w:lvl>
    <w:lvl w:ilvl="2" w:tplc="72825FE8">
      <w:start w:val="1"/>
      <w:numFmt w:val="bullet"/>
      <w:lvlText w:val=""/>
      <w:lvlJc w:val="left"/>
      <w:pPr>
        <w:tabs>
          <w:tab w:val="num" w:pos="2160"/>
        </w:tabs>
        <w:ind w:left="2160" w:hanging="360"/>
      </w:pPr>
      <w:rPr>
        <w:rFonts w:ascii="Wingdings" w:hAnsi="Wingdings"/>
      </w:rPr>
    </w:lvl>
    <w:lvl w:ilvl="3" w:tplc="9A6817E0">
      <w:start w:val="1"/>
      <w:numFmt w:val="bullet"/>
      <w:lvlText w:val=""/>
      <w:lvlJc w:val="left"/>
      <w:pPr>
        <w:tabs>
          <w:tab w:val="num" w:pos="2880"/>
        </w:tabs>
        <w:ind w:left="2880" w:hanging="360"/>
      </w:pPr>
      <w:rPr>
        <w:rFonts w:ascii="Symbol" w:hAnsi="Symbol"/>
      </w:rPr>
    </w:lvl>
    <w:lvl w:ilvl="4" w:tplc="2D487662">
      <w:start w:val="1"/>
      <w:numFmt w:val="bullet"/>
      <w:lvlText w:val="o"/>
      <w:lvlJc w:val="left"/>
      <w:pPr>
        <w:tabs>
          <w:tab w:val="num" w:pos="3600"/>
        </w:tabs>
        <w:ind w:left="3600" w:hanging="360"/>
      </w:pPr>
      <w:rPr>
        <w:rFonts w:ascii="Courier New" w:hAnsi="Courier New"/>
      </w:rPr>
    </w:lvl>
    <w:lvl w:ilvl="5" w:tplc="25FC88AC">
      <w:start w:val="1"/>
      <w:numFmt w:val="bullet"/>
      <w:lvlText w:val=""/>
      <w:lvlJc w:val="left"/>
      <w:pPr>
        <w:tabs>
          <w:tab w:val="num" w:pos="4320"/>
        </w:tabs>
        <w:ind w:left="4320" w:hanging="360"/>
      </w:pPr>
      <w:rPr>
        <w:rFonts w:ascii="Wingdings" w:hAnsi="Wingdings"/>
      </w:rPr>
    </w:lvl>
    <w:lvl w:ilvl="6" w:tplc="B478E774">
      <w:start w:val="1"/>
      <w:numFmt w:val="bullet"/>
      <w:lvlText w:val=""/>
      <w:lvlJc w:val="left"/>
      <w:pPr>
        <w:tabs>
          <w:tab w:val="num" w:pos="5040"/>
        </w:tabs>
        <w:ind w:left="5040" w:hanging="360"/>
      </w:pPr>
      <w:rPr>
        <w:rFonts w:ascii="Symbol" w:hAnsi="Symbol"/>
      </w:rPr>
    </w:lvl>
    <w:lvl w:ilvl="7" w:tplc="EA881FA0">
      <w:start w:val="1"/>
      <w:numFmt w:val="bullet"/>
      <w:lvlText w:val="o"/>
      <w:lvlJc w:val="left"/>
      <w:pPr>
        <w:tabs>
          <w:tab w:val="num" w:pos="5760"/>
        </w:tabs>
        <w:ind w:left="5760" w:hanging="360"/>
      </w:pPr>
      <w:rPr>
        <w:rFonts w:ascii="Courier New" w:hAnsi="Courier New"/>
      </w:rPr>
    </w:lvl>
    <w:lvl w:ilvl="8" w:tplc="B37412D4">
      <w:start w:val="1"/>
      <w:numFmt w:val="bullet"/>
      <w:lvlText w:val=""/>
      <w:lvlJc w:val="left"/>
      <w:pPr>
        <w:tabs>
          <w:tab w:val="num" w:pos="6480"/>
        </w:tabs>
        <w:ind w:left="6480" w:hanging="360"/>
      </w:pPr>
      <w:rPr>
        <w:rFonts w:ascii="Wingdings" w:hAnsi="Wingdings"/>
      </w:rPr>
    </w:lvl>
  </w:abstractNum>
  <w:abstractNum w:abstractNumId="34" w15:restartNumberingAfterBreak="0">
    <w:nsid w:val="1A7D70F9"/>
    <w:multiLevelType w:val="hybridMultilevel"/>
    <w:tmpl w:val="A77CB264"/>
    <w:lvl w:ilvl="0" w:tplc="FAA4FD78">
      <w:start w:val="1"/>
      <w:numFmt w:val="bullet"/>
      <w:lvlText w:val=""/>
      <w:lvlJc w:val="left"/>
      <w:pPr>
        <w:ind w:left="720" w:hanging="360"/>
      </w:pPr>
      <w:rPr>
        <w:rFonts w:ascii="Symbol" w:hAnsi="Symbol" w:hint="default"/>
      </w:rPr>
    </w:lvl>
    <w:lvl w:ilvl="1" w:tplc="805A8C6A" w:tentative="1">
      <w:start w:val="1"/>
      <w:numFmt w:val="bullet"/>
      <w:lvlText w:val="o"/>
      <w:lvlJc w:val="left"/>
      <w:pPr>
        <w:ind w:left="1440" w:hanging="360"/>
      </w:pPr>
      <w:rPr>
        <w:rFonts w:ascii="Courier New" w:hAnsi="Courier New" w:cs="Courier New" w:hint="default"/>
      </w:rPr>
    </w:lvl>
    <w:lvl w:ilvl="2" w:tplc="3D30BDA2" w:tentative="1">
      <w:start w:val="1"/>
      <w:numFmt w:val="bullet"/>
      <w:lvlText w:val=""/>
      <w:lvlJc w:val="left"/>
      <w:pPr>
        <w:ind w:left="2160" w:hanging="360"/>
      </w:pPr>
      <w:rPr>
        <w:rFonts w:ascii="Wingdings" w:hAnsi="Wingdings" w:hint="default"/>
      </w:rPr>
    </w:lvl>
    <w:lvl w:ilvl="3" w:tplc="8412406A" w:tentative="1">
      <w:start w:val="1"/>
      <w:numFmt w:val="bullet"/>
      <w:lvlText w:val=""/>
      <w:lvlJc w:val="left"/>
      <w:pPr>
        <w:ind w:left="2880" w:hanging="360"/>
      </w:pPr>
      <w:rPr>
        <w:rFonts w:ascii="Symbol" w:hAnsi="Symbol" w:hint="default"/>
      </w:rPr>
    </w:lvl>
    <w:lvl w:ilvl="4" w:tplc="B2F60210" w:tentative="1">
      <w:start w:val="1"/>
      <w:numFmt w:val="bullet"/>
      <w:lvlText w:val="o"/>
      <w:lvlJc w:val="left"/>
      <w:pPr>
        <w:ind w:left="3600" w:hanging="360"/>
      </w:pPr>
      <w:rPr>
        <w:rFonts w:ascii="Courier New" w:hAnsi="Courier New" w:cs="Courier New" w:hint="default"/>
      </w:rPr>
    </w:lvl>
    <w:lvl w:ilvl="5" w:tplc="80CA546E" w:tentative="1">
      <w:start w:val="1"/>
      <w:numFmt w:val="bullet"/>
      <w:lvlText w:val=""/>
      <w:lvlJc w:val="left"/>
      <w:pPr>
        <w:ind w:left="4320" w:hanging="360"/>
      </w:pPr>
      <w:rPr>
        <w:rFonts w:ascii="Wingdings" w:hAnsi="Wingdings" w:hint="default"/>
      </w:rPr>
    </w:lvl>
    <w:lvl w:ilvl="6" w:tplc="6DA81EAE" w:tentative="1">
      <w:start w:val="1"/>
      <w:numFmt w:val="bullet"/>
      <w:lvlText w:val=""/>
      <w:lvlJc w:val="left"/>
      <w:pPr>
        <w:ind w:left="5040" w:hanging="360"/>
      </w:pPr>
      <w:rPr>
        <w:rFonts w:ascii="Symbol" w:hAnsi="Symbol" w:hint="default"/>
      </w:rPr>
    </w:lvl>
    <w:lvl w:ilvl="7" w:tplc="61684328" w:tentative="1">
      <w:start w:val="1"/>
      <w:numFmt w:val="bullet"/>
      <w:lvlText w:val="o"/>
      <w:lvlJc w:val="left"/>
      <w:pPr>
        <w:ind w:left="5760" w:hanging="360"/>
      </w:pPr>
      <w:rPr>
        <w:rFonts w:ascii="Courier New" w:hAnsi="Courier New" w:cs="Courier New" w:hint="default"/>
      </w:rPr>
    </w:lvl>
    <w:lvl w:ilvl="8" w:tplc="D60AC944" w:tentative="1">
      <w:start w:val="1"/>
      <w:numFmt w:val="bullet"/>
      <w:lvlText w:val=""/>
      <w:lvlJc w:val="left"/>
      <w:pPr>
        <w:ind w:left="6480" w:hanging="360"/>
      </w:pPr>
      <w:rPr>
        <w:rFonts w:ascii="Wingdings" w:hAnsi="Wingdings" w:hint="default"/>
      </w:rPr>
    </w:lvl>
  </w:abstractNum>
  <w:abstractNum w:abstractNumId="35" w15:restartNumberingAfterBreak="0">
    <w:nsid w:val="1ABC20D9"/>
    <w:multiLevelType w:val="hybridMultilevel"/>
    <w:tmpl w:val="7BD8677E"/>
    <w:lvl w:ilvl="0" w:tplc="76B0B7DE">
      <w:start w:val="1"/>
      <w:numFmt w:val="bullet"/>
      <w:lvlText w:val=""/>
      <w:lvlJc w:val="left"/>
      <w:pPr>
        <w:ind w:left="720" w:hanging="360"/>
      </w:pPr>
      <w:rPr>
        <w:rFonts w:ascii="Symbol" w:hAnsi="Symbol"/>
      </w:rPr>
    </w:lvl>
    <w:lvl w:ilvl="1" w:tplc="747AF2A2">
      <w:start w:val="1"/>
      <w:numFmt w:val="bullet"/>
      <w:lvlText w:val="o"/>
      <w:lvlJc w:val="left"/>
      <w:pPr>
        <w:tabs>
          <w:tab w:val="num" w:pos="1440"/>
        </w:tabs>
        <w:ind w:left="1440" w:hanging="360"/>
      </w:pPr>
      <w:rPr>
        <w:rFonts w:ascii="Courier New" w:hAnsi="Courier New"/>
      </w:rPr>
    </w:lvl>
    <w:lvl w:ilvl="2" w:tplc="FBA6C010">
      <w:start w:val="1"/>
      <w:numFmt w:val="bullet"/>
      <w:lvlText w:val=""/>
      <w:lvlJc w:val="left"/>
      <w:pPr>
        <w:tabs>
          <w:tab w:val="num" w:pos="2160"/>
        </w:tabs>
        <w:ind w:left="2160" w:hanging="360"/>
      </w:pPr>
      <w:rPr>
        <w:rFonts w:ascii="Wingdings" w:hAnsi="Wingdings"/>
      </w:rPr>
    </w:lvl>
    <w:lvl w:ilvl="3" w:tplc="BAA849EE">
      <w:start w:val="1"/>
      <w:numFmt w:val="bullet"/>
      <w:lvlText w:val=""/>
      <w:lvlJc w:val="left"/>
      <w:pPr>
        <w:tabs>
          <w:tab w:val="num" w:pos="2880"/>
        </w:tabs>
        <w:ind w:left="2880" w:hanging="360"/>
      </w:pPr>
      <w:rPr>
        <w:rFonts w:ascii="Symbol" w:hAnsi="Symbol"/>
      </w:rPr>
    </w:lvl>
    <w:lvl w:ilvl="4" w:tplc="A3B4BDB2">
      <w:start w:val="1"/>
      <w:numFmt w:val="bullet"/>
      <w:lvlText w:val="o"/>
      <w:lvlJc w:val="left"/>
      <w:pPr>
        <w:tabs>
          <w:tab w:val="num" w:pos="3600"/>
        </w:tabs>
        <w:ind w:left="3600" w:hanging="360"/>
      </w:pPr>
      <w:rPr>
        <w:rFonts w:ascii="Courier New" w:hAnsi="Courier New"/>
      </w:rPr>
    </w:lvl>
    <w:lvl w:ilvl="5" w:tplc="DEF2AAA0">
      <w:start w:val="1"/>
      <w:numFmt w:val="bullet"/>
      <w:lvlText w:val=""/>
      <w:lvlJc w:val="left"/>
      <w:pPr>
        <w:tabs>
          <w:tab w:val="num" w:pos="4320"/>
        </w:tabs>
        <w:ind w:left="4320" w:hanging="360"/>
      </w:pPr>
      <w:rPr>
        <w:rFonts w:ascii="Wingdings" w:hAnsi="Wingdings"/>
      </w:rPr>
    </w:lvl>
    <w:lvl w:ilvl="6" w:tplc="6ADE2FC4">
      <w:start w:val="1"/>
      <w:numFmt w:val="bullet"/>
      <w:lvlText w:val=""/>
      <w:lvlJc w:val="left"/>
      <w:pPr>
        <w:tabs>
          <w:tab w:val="num" w:pos="5040"/>
        </w:tabs>
        <w:ind w:left="5040" w:hanging="360"/>
      </w:pPr>
      <w:rPr>
        <w:rFonts w:ascii="Symbol" w:hAnsi="Symbol"/>
      </w:rPr>
    </w:lvl>
    <w:lvl w:ilvl="7" w:tplc="0030686A">
      <w:start w:val="1"/>
      <w:numFmt w:val="bullet"/>
      <w:lvlText w:val="o"/>
      <w:lvlJc w:val="left"/>
      <w:pPr>
        <w:tabs>
          <w:tab w:val="num" w:pos="5760"/>
        </w:tabs>
        <w:ind w:left="5760" w:hanging="360"/>
      </w:pPr>
      <w:rPr>
        <w:rFonts w:ascii="Courier New" w:hAnsi="Courier New"/>
      </w:rPr>
    </w:lvl>
    <w:lvl w:ilvl="8" w:tplc="36ACAD06">
      <w:start w:val="1"/>
      <w:numFmt w:val="bullet"/>
      <w:lvlText w:val=""/>
      <w:lvlJc w:val="left"/>
      <w:pPr>
        <w:tabs>
          <w:tab w:val="num" w:pos="6480"/>
        </w:tabs>
        <w:ind w:left="6480" w:hanging="360"/>
      </w:pPr>
      <w:rPr>
        <w:rFonts w:ascii="Wingdings" w:hAnsi="Wingdings"/>
      </w:rPr>
    </w:lvl>
  </w:abstractNum>
  <w:abstractNum w:abstractNumId="36" w15:restartNumberingAfterBreak="0">
    <w:nsid w:val="1AE75069"/>
    <w:multiLevelType w:val="hybridMultilevel"/>
    <w:tmpl w:val="9B7675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1DA15B6A"/>
    <w:multiLevelType w:val="multilevel"/>
    <w:tmpl w:val="9B7ED07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8" w15:restartNumberingAfterBreak="0">
    <w:nsid w:val="1DEC645F"/>
    <w:multiLevelType w:val="hybridMultilevel"/>
    <w:tmpl w:val="7BD8677A"/>
    <w:lvl w:ilvl="0" w:tplc="81889C7C">
      <w:start w:val="1"/>
      <w:numFmt w:val="bullet"/>
      <w:lvlText w:val=""/>
      <w:lvlJc w:val="left"/>
      <w:pPr>
        <w:ind w:left="720" w:hanging="360"/>
      </w:pPr>
      <w:rPr>
        <w:rFonts w:ascii="Symbol" w:hAnsi="Symbol"/>
      </w:rPr>
    </w:lvl>
    <w:lvl w:ilvl="1" w:tplc="DEFE67CA">
      <w:start w:val="1"/>
      <w:numFmt w:val="bullet"/>
      <w:lvlText w:val="o"/>
      <w:lvlJc w:val="left"/>
      <w:pPr>
        <w:tabs>
          <w:tab w:val="num" w:pos="1440"/>
        </w:tabs>
        <w:ind w:left="1440" w:hanging="360"/>
      </w:pPr>
      <w:rPr>
        <w:rFonts w:ascii="Courier New" w:hAnsi="Courier New"/>
      </w:rPr>
    </w:lvl>
    <w:lvl w:ilvl="2" w:tplc="227675E2">
      <w:start w:val="1"/>
      <w:numFmt w:val="bullet"/>
      <w:lvlText w:val=""/>
      <w:lvlJc w:val="left"/>
      <w:pPr>
        <w:tabs>
          <w:tab w:val="num" w:pos="2160"/>
        </w:tabs>
        <w:ind w:left="2160" w:hanging="360"/>
      </w:pPr>
      <w:rPr>
        <w:rFonts w:ascii="Wingdings" w:hAnsi="Wingdings"/>
      </w:rPr>
    </w:lvl>
    <w:lvl w:ilvl="3" w:tplc="017C3DB2">
      <w:start w:val="1"/>
      <w:numFmt w:val="bullet"/>
      <w:lvlText w:val=""/>
      <w:lvlJc w:val="left"/>
      <w:pPr>
        <w:tabs>
          <w:tab w:val="num" w:pos="2880"/>
        </w:tabs>
        <w:ind w:left="2880" w:hanging="360"/>
      </w:pPr>
      <w:rPr>
        <w:rFonts w:ascii="Symbol" w:hAnsi="Symbol"/>
      </w:rPr>
    </w:lvl>
    <w:lvl w:ilvl="4" w:tplc="5ED82022">
      <w:start w:val="1"/>
      <w:numFmt w:val="bullet"/>
      <w:lvlText w:val="o"/>
      <w:lvlJc w:val="left"/>
      <w:pPr>
        <w:tabs>
          <w:tab w:val="num" w:pos="3600"/>
        </w:tabs>
        <w:ind w:left="3600" w:hanging="360"/>
      </w:pPr>
      <w:rPr>
        <w:rFonts w:ascii="Courier New" w:hAnsi="Courier New"/>
      </w:rPr>
    </w:lvl>
    <w:lvl w:ilvl="5" w:tplc="F91AF9C4">
      <w:start w:val="1"/>
      <w:numFmt w:val="bullet"/>
      <w:lvlText w:val=""/>
      <w:lvlJc w:val="left"/>
      <w:pPr>
        <w:tabs>
          <w:tab w:val="num" w:pos="4320"/>
        </w:tabs>
        <w:ind w:left="4320" w:hanging="360"/>
      </w:pPr>
      <w:rPr>
        <w:rFonts w:ascii="Wingdings" w:hAnsi="Wingdings"/>
      </w:rPr>
    </w:lvl>
    <w:lvl w:ilvl="6" w:tplc="7F6CF868">
      <w:start w:val="1"/>
      <w:numFmt w:val="bullet"/>
      <w:lvlText w:val=""/>
      <w:lvlJc w:val="left"/>
      <w:pPr>
        <w:tabs>
          <w:tab w:val="num" w:pos="5040"/>
        </w:tabs>
        <w:ind w:left="5040" w:hanging="360"/>
      </w:pPr>
      <w:rPr>
        <w:rFonts w:ascii="Symbol" w:hAnsi="Symbol"/>
      </w:rPr>
    </w:lvl>
    <w:lvl w:ilvl="7" w:tplc="3FA6514C">
      <w:start w:val="1"/>
      <w:numFmt w:val="bullet"/>
      <w:lvlText w:val="o"/>
      <w:lvlJc w:val="left"/>
      <w:pPr>
        <w:tabs>
          <w:tab w:val="num" w:pos="5760"/>
        </w:tabs>
        <w:ind w:left="5760" w:hanging="360"/>
      </w:pPr>
      <w:rPr>
        <w:rFonts w:ascii="Courier New" w:hAnsi="Courier New"/>
      </w:rPr>
    </w:lvl>
    <w:lvl w:ilvl="8" w:tplc="3DF8A99A">
      <w:start w:val="1"/>
      <w:numFmt w:val="bullet"/>
      <w:lvlText w:val=""/>
      <w:lvlJc w:val="left"/>
      <w:pPr>
        <w:tabs>
          <w:tab w:val="num" w:pos="6480"/>
        </w:tabs>
        <w:ind w:left="6480" w:hanging="360"/>
      </w:pPr>
      <w:rPr>
        <w:rFonts w:ascii="Wingdings" w:hAnsi="Wingdings"/>
      </w:rPr>
    </w:lvl>
  </w:abstractNum>
  <w:abstractNum w:abstractNumId="39" w15:restartNumberingAfterBreak="0">
    <w:nsid w:val="21225D97"/>
    <w:multiLevelType w:val="hybridMultilevel"/>
    <w:tmpl w:val="AFE69DB6"/>
    <w:lvl w:ilvl="0" w:tplc="E74E45D4">
      <w:start w:val="1"/>
      <w:numFmt w:val="decimal"/>
      <w:lvlText w:val="%1."/>
      <w:lvlJc w:val="left"/>
      <w:pPr>
        <w:ind w:left="1440" w:hanging="360"/>
      </w:pPr>
      <w:rPr>
        <w:b/>
      </w:rPr>
    </w:lvl>
    <w:lvl w:ilvl="1" w:tplc="28B28500" w:tentative="1">
      <w:start w:val="1"/>
      <w:numFmt w:val="lowerLetter"/>
      <w:lvlText w:val="%2."/>
      <w:lvlJc w:val="left"/>
      <w:pPr>
        <w:ind w:left="1440" w:hanging="360"/>
      </w:pPr>
    </w:lvl>
    <w:lvl w:ilvl="2" w:tplc="DA16125C" w:tentative="1">
      <w:start w:val="1"/>
      <w:numFmt w:val="lowerRoman"/>
      <w:lvlText w:val="%3."/>
      <w:lvlJc w:val="right"/>
      <w:pPr>
        <w:ind w:left="2160" w:hanging="180"/>
      </w:pPr>
    </w:lvl>
    <w:lvl w:ilvl="3" w:tplc="AD948EC8" w:tentative="1">
      <w:start w:val="1"/>
      <w:numFmt w:val="decimal"/>
      <w:lvlText w:val="%4."/>
      <w:lvlJc w:val="left"/>
      <w:pPr>
        <w:ind w:left="2880" w:hanging="360"/>
      </w:pPr>
    </w:lvl>
    <w:lvl w:ilvl="4" w:tplc="289EB2E2" w:tentative="1">
      <w:start w:val="1"/>
      <w:numFmt w:val="lowerLetter"/>
      <w:lvlText w:val="%5."/>
      <w:lvlJc w:val="left"/>
      <w:pPr>
        <w:ind w:left="3600" w:hanging="360"/>
      </w:pPr>
    </w:lvl>
    <w:lvl w:ilvl="5" w:tplc="116E147C" w:tentative="1">
      <w:start w:val="1"/>
      <w:numFmt w:val="lowerRoman"/>
      <w:lvlText w:val="%6."/>
      <w:lvlJc w:val="right"/>
      <w:pPr>
        <w:ind w:left="4320" w:hanging="180"/>
      </w:pPr>
    </w:lvl>
    <w:lvl w:ilvl="6" w:tplc="52E22008" w:tentative="1">
      <w:start w:val="1"/>
      <w:numFmt w:val="decimal"/>
      <w:lvlText w:val="%7."/>
      <w:lvlJc w:val="left"/>
      <w:pPr>
        <w:ind w:left="5040" w:hanging="360"/>
      </w:pPr>
    </w:lvl>
    <w:lvl w:ilvl="7" w:tplc="55EC9CCE" w:tentative="1">
      <w:start w:val="1"/>
      <w:numFmt w:val="lowerLetter"/>
      <w:lvlText w:val="%8."/>
      <w:lvlJc w:val="left"/>
      <w:pPr>
        <w:ind w:left="5760" w:hanging="360"/>
      </w:pPr>
    </w:lvl>
    <w:lvl w:ilvl="8" w:tplc="23E20A1C" w:tentative="1">
      <w:start w:val="1"/>
      <w:numFmt w:val="lowerRoman"/>
      <w:lvlText w:val="%9."/>
      <w:lvlJc w:val="right"/>
      <w:pPr>
        <w:ind w:left="6480" w:hanging="180"/>
      </w:pPr>
    </w:lvl>
  </w:abstractNum>
  <w:abstractNum w:abstractNumId="40" w15:restartNumberingAfterBreak="0">
    <w:nsid w:val="21376297"/>
    <w:multiLevelType w:val="hybridMultilevel"/>
    <w:tmpl w:val="9DF0877E"/>
    <w:lvl w:ilvl="0" w:tplc="63DA1432">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218D4D50"/>
    <w:multiLevelType w:val="hybridMultilevel"/>
    <w:tmpl w:val="C42415BA"/>
    <w:lvl w:ilvl="0" w:tplc="1AA23006">
      <w:start w:val="1"/>
      <w:numFmt w:val="lowerLetter"/>
      <w:lvlText w:val="%1."/>
      <w:lvlJc w:val="left"/>
      <w:pPr>
        <w:ind w:left="2880" w:hanging="360"/>
      </w:pPr>
      <w:rPr>
        <w:rFonts w:hint="default"/>
        <w:b/>
      </w:rPr>
    </w:lvl>
    <w:lvl w:ilvl="1" w:tplc="A552C602" w:tentative="1">
      <w:start w:val="1"/>
      <w:numFmt w:val="lowerLetter"/>
      <w:lvlText w:val="%2."/>
      <w:lvlJc w:val="left"/>
      <w:pPr>
        <w:ind w:left="3600" w:hanging="360"/>
      </w:pPr>
    </w:lvl>
    <w:lvl w:ilvl="2" w:tplc="B492C776" w:tentative="1">
      <w:start w:val="1"/>
      <w:numFmt w:val="lowerRoman"/>
      <w:lvlText w:val="%3."/>
      <w:lvlJc w:val="right"/>
      <w:pPr>
        <w:ind w:left="4320" w:hanging="180"/>
      </w:pPr>
    </w:lvl>
    <w:lvl w:ilvl="3" w:tplc="A62688D6" w:tentative="1">
      <w:start w:val="1"/>
      <w:numFmt w:val="decimal"/>
      <w:lvlText w:val="%4."/>
      <w:lvlJc w:val="left"/>
      <w:pPr>
        <w:ind w:left="5040" w:hanging="360"/>
      </w:pPr>
    </w:lvl>
    <w:lvl w:ilvl="4" w:tplc="05781F30" w:tentative="1">
      <w:start w:val="1"/>
      <w:numFmt w:val="lowerLetter"/>
      <w:lvlText w:val="%5."/>
      <w:lvlJc w:val="left"/>
      <w:pPr>
        <w:ind w:left="5760" w:hanging="360"/>
      </w:pPr>
    </w:lvl>
    <w:lvl w:ilvl="5" w:tplc="C290A3BA" w:tentative="1">
      <w:start w:val="1"/>
      <w:numFmt w:val="lowerRoman"/>
      <w:lvlText w:val="%6."/>
      <w:lvlJc w:val="right"/>
      <w:pPr>
        <w:ind w:left="6480" w:hanging="180"/>
      </w:pPr>
    </w:lvl>
    <w:lvl w:ilvl="6" w:tplc="A2D2C460" w:tentative="1">
      <w:start w:val="1"/>
      <w:numFmt w:val="decimal"/>
      <w:lvlText w:val="%7."/>
      <w:lvlJc w:val="left"/>
      <w:pPr>
        <w:ind w:left="7200" w:hanging="360"/>
      </w:pPr>
    </w:lvl>
    <w:lvl w:ilvl="7" w:tplc="46CEB71E" w:tentative="1">
      <w:start w:val="1"/>
      <w:numFmt w:val="lowerLetter"/>
      <w:lvlText w:val="%8."/>
      <w:lvlJc w:val="left"/>
      <w:pPr>
        <w:ind w:left="7920" w:hanging="360"/>
      </w:pPr>
    </w:lvl>
    <w:lvl w:ilvl="8" w:tplc="74821A4C" w:tentative="1">
      <w:start w:val="1"/>
      <w:numFmt w:val="lowerRoman"/>
      <w:lvlText w:val="%9."/>
      <w:lvlJc w:val="right"/>
      <w:pPr>
        <w:ind w:left="8640" w:hanging="180"/>
      </w:pPr>
    </w:lvl>
  </w:abstractNum>
  <w:abstractNum w:abstractNumId="42" w15:restartNumberingAfterBreak="0">
    <w:nsid w:val="24785621"/>
    <w:multiLevelType w:val="multilevel"/>
    <w:tmpl w:val="CC683D1A"/>
    <w:lvl w:ilvl="0">
      <w:start w:val="1"/>
      <w:numFmt w:val="bullet"/>
      <w:lvlText w:val="●"/>
      <w:lvlJc w:val="left"/>
      <w:pPr>
        <w:ind w:left="1980" w:hanging="360"/>
      </w:pPr>
      <w:rPr>
        <w:rFonts w:ascii="Noto Sans Symbols" w:eastAsia="Noto Sans Symbols" w:hAnsi="Noto Sans Symbols" w:cs="Noto Sans Symbols"/>
      </w:rPr>
    </w:lvl>
    <w:lvl w:ilvl="1">
      <w:start w:val="1"/>
      <w:numFmt w:val="bullet"/>
      <w:lvlText w:val="o"/>
      <w:lvlJc w:val="left"/>
      <w:pPr>
        <w:ind w:left="2700" w:hanging="360"/>
      </w:pPr>
      <w:rPr>
        <w:rFonts w:ascii="Courier New" w:eastAsia="Courier New" w:hAnsi="Courier New" w:cs="Courier New"/>
      </w:rPr>
    </w:lvl>
    <w:lvl w:ilvl="2">
      <w:start w:val="1"/>
      <w:numFmt w:val="bullet"/>
      <w:lvlText w:val="▪"/>
      <w:lvlJc w:val="left"/>
      <w:pPr>
        <w:ind w:left="3420" w:hanging="360"/>
      </w:pPr>
      <w:rPr>
        <w:rFonts w:ascii="Noto Sans Symbols" w:eastAsia="Noto Sans Symbols" w:hAnsi="Noto Sans Symbols" w:cs="Noto Sans Symbols"/>
      </w:rPr>
    </w:lvl>
    <w:lvl w:ilvl="3">
      <w:start w:val="1"/>
      <w:numFmt w:val="bullet"/>
      <w:lvlText w:val="●"/>
      <w:lvlJc w:val="left"/>
      <w:pPr>
        <w:ind w:left="4140" w:hanging="360"/>
      </w:pPr>
      <w:rPr>
        <w:rFonts w:ascii="Noto Sans Symbols" w:eastAsia="Noto Sans Symbols" w:hAnsi="Noto Sans Symbols" w:cs="Noto Sans Symbols"/>
      </w:rPr>
    </w:lvl>
    <w:lvl w:ilvl="4">
      <w:start w:val="1"/>
      <w:numFmt w:val="bullet"/>
      <w:lvlText w:val="o"/>
      <w:lvlJc w:val="left"/>
      <w:pPr>
        <w:ind w:left="4860" w:hanging="360"/>
      </w:pPr>
      <w:rPr>
        <w:rFonts w:ascii="Courier New" w:eastAsia="Courier New" w:hAnsi="Courier New" w:cs="Courier New"/>
      </w:rPr>
    </w:lvl>
    <w:lvl w:ilvl="5">
      <w:start w:val="1"/>
      <w:numFmt w:val="bullet"/>
      <w:lvlText w:val="▪"/>
      <w:lvlJc w:val="left"/>
      <w:pPr>
        <w:ind w:left="5580" w:hanging="360"/>
      </w:pPr>
      <w:rPr>
        <w:rFonts w:ascii="Noto Sans Symbols" w:eastAsia="Noto Sans Symbols" w:hAnsi="Noto Sans Symbols" w:cs="Noto Sans Symbols"/>
      </w:rPr>
    </w:lvl>
    <w:lvl w:ilvl="6">
      <w:start w:val="1"/>
      <w:numFmt w:val="bullet"/>
      <w:lvlText w:val="●"/>
      <w:lvlJc w:val="left"/>
      <w:pPr>
        <w:ind w:left="6300" w:hanging="360"/>
      </w:pPr>
      <w:rPr>
        <w:rFonts w:ascii="Noto Sans Symbols" w:eastAsia="Noto Sans Symbols" w:hAnsi="Noto Sans Symbols" w:cs="Noto Sans Symbols"/>
      </w:rPr>
    </w:lvl>
    <w:lvl w:ilvl="7">
      <w:start w:val="1"/>
      <w:numFmt w:val="bullet"/>
      <w:lvlText w:val="o"/>
      <w:lvlJc w:val="left"/>
      <w:pPr>
        <w:ind w:left="7020" w:hanging="360"/>
      </w:pPr>
      <w:rPr>
        <w:rFonts w:ascii="Courier New" w:eastAsia="Courier New" w:hAnsi="Courier New" w:cs="Courier New"/>
      </w:rPr>
    </w:lvl>
    <w:lvl w:ilvl="8">
      <w:start w:val="1"/>
      <w:numFmt w:val="bullet"/>
      <w:lvlText w:val="▪"/>
      <w:lvlJc w:val="left"/>
      <w:pPr>
        <w:ind w:left="7740" w:hanging="360"/>
      </w:pPr>
      <w:rPr>
        <w:rFonts w:ascii="Noto Sans Symbols" w:eastAsia="Noto Sans Symbols" w:hAnsi="Noto Sans Symbols" w:cs="Noto Sans Symbols"/>
      </w:rPr>
    </w:lvl>
  </w:abstractNum>
  <w:abstractNum w:abstractNumId="43" w15:restartNumberingAfterBreak="0">
    <w:nsid w:val="2487064C"/>
    <w:multiLevelType w:val="hybridMultilevel"/>
    <w:tmpl w:val="759C7A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252F24C1"/>
    <w:multiLevelType w:val="hybridMultilevel"/>
    <w:tmpl w:val="59384252"/>
    <w:lvl w:ilvl="0" w:tplc="52A6FFCA">
      <w:start w:val="1"/>
      <w:numFmt w:val="bullet"/>
      <w:lvlText w:val=""/>
      <w:lvlJc w:val="left"/>
      <w:pPr>
        <w:ind w:left="720" w:hanging="360"/>
      </w:pPr>
      <w:rPr>
        <w:rFonts w:ascii="Symbol" w:hAnsi="Symbol" w:hint="default"/>
      </w:rPr>
    </w:lvl>
    <w:lvl w:ilvl="1" w:tplc="A2DC6CA8" w:tentative="1">
      <w:start w:val="1"/>
      <w:numFmt w:val="bullet"/>
      <w:lvlText w:val="o"/>
      <w:lvlJc w:val="left"/>
      <w:pPr>
        <w:ind w:left="1440" w:hanging="360"/>
      </w:pPr>
      <w:rPr>
        <w:rFonts w:ascii="Courier New" w:hAnsi="Courier New" w:cs="Courier New" w:hint="default"/>
      </w:rPr>
    </w:lvl>
    <w:lvl w:ilvl="2" w:tplc="D598C544" w:tentative="1">
      <w:start w:val="1"/>
      <w:numFmt w:val="bullet"/>
      <w:lvlText w:val=""/>
      <w:lvlJc w:val="left"/>
      <w:pPr>
        <w:ind w:left="2160" w:hanging="360"/>
      </w:pPr>
      <w:rPr>
        <w:rFonts w:ascii="Wingdings" w:hAnsi="Wingdings" w:hint="default"/>
      </w:rPr>
    </w:lvl>
    <w:lvl w:ilvl="3" w:tplc="6B8A0218" w:tentative="1">
      <w:start w:val="1"/>
      <w:numFmt w:val="bullet"/>
      <w:lvlText w:val=""/>
      <w:lvlJc w:val="left"/>
      <w:pPr>
        <w:ind w:left="2880" w:hanging="360"/>
      </w:pPr>
      <w:rPr>
        <w:rFonts w:ascii="Symbol" w:hAnsi="Symbol" w:hint="default"/>
      </w:rPr>
    </w:lvl>
    <w:lvl w:ilvl="4" w:tplc="8CF8B20A" w:tentative="1">
      <w:start w:val="1"/>
      <w:numFmt w:val="bullet"/>
      <w:lvlText w:val="o"/>
      <w:lvlJc w:val="left"/>
      <w:pPr>
        <w:ind w:left="3600" w:hanging="360"/>
      </w:pPr>
      <w:rPr>
        <w:rFonts w:ascii="Courier New" w:hAnsi="Courier New" w:cs="Courier New" w:hint="default"/>
      </w:rPr>
    </w:lvl>
    <w:lvl w:ilvl="5" w:tplc="A9408F98" w:tentative="1">
      <w:start w:val="1"/>
      <w:numFmt w:val="bullet"/>
      <w:lvlText w:val=""/>
      <w:lvlJc w:val="left"/>
      <w:pPr>
        <w:ind w:left="4320" w:hanging="360"/>
      </w:pPr>
      <w:rPr>
        <w:rFonts w:ascii="Wingdings" w:hAnsi="Wingdings" w:hint="default"/>
      </w:rPr>
    </w:lvl>
    <w:lvl w:ilvl="6" w:tplc="3EE89A88" w:tentative="1">
      <w:start w:val="1"/>
      <w:numFmt w:val="bullet"/>
      <w:lvlText w:val=""/>
      <w:lvlJc w:val="left"/>
      <w:pPr>
        <w:ind w:left="5040" w:hanging="360"/>
      </w:pPr>
      <w:rPr>
        <w:rFonts w:ascii="Symbol" w:hAnsi="Symbol" w:hint="default"/>
      </w:rPr>
    </w:lvl>
    <w:lvl w:ilvl="7" w:tplc="DEDC5D12" w:tentative="1">
      <w:start w:val="1"/>
      <w:numFmt w:val="bullet"/>
      <w:lvlText w:val="o"/>
      <w:lvlJc w:val="left"/>
      <w:pPr>
        <w:ind w:left="5760" w:hanging="360"/>
      </w:pPr>
      <w:rPr>
        <w:rFonts w:ascii="Courier New" w:hAnsi="Courier New" w:cs="Courier New" w:hint="default"/>
      </w:rPr>
    </w:lvl>
    <w:lvl w:ilvl="8" w:tplc="E3F61630" w:tentative="1">
      <w:start w:val="1"/>
      <w:numFmt w:val="bullet"/>
      <w:lvlText w:val=""/>
      <w:lvlJc w:val="left"/>
      <w:pPr>
        <w:ind w:left="6480" w:hanging="360"/>
      </w:pPr>
      <w:rPr>
        <w:rFonts w:ascii="Wingdings" w:hAnsi="Wingdings" w:hint="default"/>
      </w:rPr>
    </w:lvl>
  </w:abstractNum>
  <w:abstractNum w:abstractNumId="45" w15:restartNumberingAfterBreak="0">
    <w:nsid w:val="270F17C8"/>
    <w:multiLevelType w:val="hybridMultilevel"/>
    <w:tmpl w:val="805E03C4"/>
    <w:lvl w:ilvl="0" w:tplc="FFFFFFFF">
      <w:start w:val="1"/>
      <w:numFmt w:val="decimal"/>
      <w:lvlText w:val="%1."/>
      <w:lvlJc w:val="left"/>
      <w:pPr>
        <w:ind w:left="5400" w:hanging="360"/>
      </w:pPr>
    </w:lvl>
    <w:lvl w:ilvl="1" w:tplc="FFFFFFFF" w:tentative="1">
      <w:start w:val="1"/>
      <w:numFmt w:val="lowerLetter"/>
      <w:lvlText w:val="%2."/>
      <w:lvlJc w:val="left"/>
      <w:pPr>
        <w:ind w:left="6120" w:hanging="360"/>
      </w:pPr>
    </w:lvl>
    <w:lvl w:ilvl="2" w:tplc="FFFFFFFF" w:tentative="1">
      <w:start w:val="1"/>
      <w:numFmt w:val="lowerRoman"/>
      <w:lvlText w:val="%3."/>
      <w:lvlJc w:val="right"/>
      <w:pPr>
        <w:ind w:left="6840" w:hanging="180"/>
      </w:pPr>
    </w:lvl>
    <w:lvl w:ilvl="3" w:tplc="FFFFFFFF" w:tentative="1">
      <w:start w:val="1"/>
      <w:numFmt w:val="decimal"/>
      <w:lvlText w:val="%4."/>
      <w:lvlJc w:val="left"/>
      <w:pPr>
        <w:ind w:left="7560" w:hanging="360"/>
      </w:pPr>
    </w:lvl>
    <w:lvl w:ilvl="4" w:tplc="FFFFFFFF" w:tentative="1">
      <w:start w:val="1"/>
      <w:numFmt w:val="lowerLetter"/>
      <w:lvlText w:val="%5."/>
      <w:lvlJc w:val="left"/>
      <w:pPr>
        <w:ind w:left="8280" w:hanging="360"/>
      </w:pPr>
    </w:lvl>
    <w:lvl w:ilvl="5" w:tplc="FFFFFFFF" w:tentative="1">
      <w:start w:val="1"/>
      <w:numFmt w:val="lowerRoman"/>
      <w:lvlText w:val="%6."/>
      <w:lvlJc w:val="right"/>
      <w:pPr>
        <w:ind w:left="9000" w:hanging="180"/>
      </w:pPr>
    </w:lvl>
    <w:lvl w:ilvl="6" w:tplc="FFFFFFFF" w:tentative="1">
      <w:start w:val="1"/>
      <w:numFmt w:val="decimal"/>
      <w:lvlText w:val="%7."/>
      <w:lvlJc w:val="left"/>
      <w:pPr>
        <w:ind w:left="9720" w:hanging="360"/>
      </w:pPr>
    </w:lvl>
    <w:lvl w:ilvl="7" w:tplc="FFFFFFFF" w:tentative="1">
      <w:start w:val="1"/>
      <w:numFmt w:val="lowerLetter"/>
      <w:lvlText w:val="%8."/>
      <w:lvlJc w:val="left"/>
      <w:pPr>
        <w:ind w:left="10440" w:hanging="360"/>
      </w:pPr>
    </w:lvl>
    <w:lvl w:ilvl="8" w:tplc="FFFFFFFF" w:tentative="1">
      <w:start w:val="1"/>
      <w:numFmt w:val="lowerRoman"/>
      <w:lvlText w:val="%9."/>
      <w:lvlJc w:val="right"/>
      <w:pPr>
        <w:ind w:left="11160" w:hanging="180"/>
      </w:pPr>
    </w:lvl>
  </w:abstractNum>
  <w:abstractNum w:abstractNumId="46" w15:restartNumberingAfterBreak="0">
    <w:nsid w:val="286B5513"/>
    <w:multiLevelType w:val="hybridMultilevel"/>
    <w:tmpl w:val="E4785784"/>
    <w:lvl w:ilvl="0" w:tplc="70863CA4">
      <w:start w:val="1"/>
      <w:numFmt w:val="lowerLetter"/>
      <w:lvlText w:val="%1."/>
      <w:lvlJc w:val="left"/>
      <w:pPr>
        <w:ind w:left="720" w:hanging="360"/>
      </w:pPr>
      <w:rPr>
        <w:rFonts w:hint="default"/>
        <w:b/>
      </w:rPr>
    </w:lvl>
    <w:lvl w:ilvl="1" w:tplc="BA34E1AC" w:tentative="1">
      <w:start w:val="1"/>
      <w:numFmt w:val="lowerLetter"/>
      <w:lvlText w:val="%2."/>
      <w:lvlJc w:val="left"/>
      <w:pPr>
        <w:ind w:left="1440" w:hanging="360"/>
      </w:pPr>
    </w:lvl>
    <w:lvl w:ilvl="2" w:tplc="1E727BF0" w:tentative="1">
      <w:start w:val="1"/>
      <w:numFmt w:val="lowerRoman"/>
      <w:lvlText w:val="%3."/>
      <w:lvlJc w:val="right"/>
      <w:pPr>
        <w:ind w:left="2160" w:hanging="180"/>
      </w:pPr>
    </w:lvl>
    <w:lvl w:ilvl="3" w:tplc="09821DC6" w:tentative="1">
      <w:start w:val="1"/>
      <w:numFmt w:val="decimal"/>
      <w:lvlText w:val="%4."/>
      <w:lvlJc w:val="left"/>
      <w:pPr>
        <w:ind w:left="2880" w:hanging="360"/>
      </w:pPr>
    </w:lvl>
    <w:lvl w:ilvl="4" w:tplc="BAC8FBB4" w:tentative="1">
      <w:start w:val="1"/>
      <w:numFmt w:val="lowerLetter"/>
      <w:lvlText w:val="%5."/>
      <w:lvlJc w:val="left"/>
      <w:pPr>
        <w:ind w:left="3600" w:hanging="360"/>
      </w:pPr>
    </w:lvl>
    <w:lvl w:ilvl="5" w:tplc="CDD891C4" w:tentative="1">
      <w:start w:val="1"/>
      <w:numFmt w:val="lowerRoman"/>
      <w:lvlText w:val="%6."/>
      <w:lvlJc w:val="right"/>
      <w:pPr>
        <w:ind w:left="4320" w:hanging="180"/>
      </w:pPr>
    </w:lvl>
    <w:lvl w:ilvl="6" w:tplc="878EFADA" w:tentative="1">
      <w:start w:val="1"/>
      <w:numFmt w:val="decimal"/>
      <w:lvlText w:val="%7."/>
      <w:lvlJc w:val="left"/>
      <w:pPr>
        <w:ind w:left="5040" w:hanging="360"/>
      </w:pPr>
    </w:lvl>
    <w:lvl w:ilvl="7" w:tplc="2250D1E4" w:tentative="1">
      <w:start w:val="1"/>
      <w:numFmt w:val="lowerLetter"/>
      <w:lvlText w:val="%8."/>
      <w:lvlJc w:val="left"/>
      <w:pPr>
        <w:ind w:left="5760" w:hanging="360"/>
      </w:pPr>
    </w:lvl>
    <w:lvl w:ilvl="8" w:tplc="9E5A5040" w:tentative="1">
      <w:start w:val="1"/>
      <w:numFmt w:val="lowerRoman"/>
      <w:lvlText w:val="%9."/>
      <w:lvlJc w:val="right"/>
      <w:pPr>
        <w:ind w:left="6480" w:hanging="180"/>
      </w:pPr>
    </w:lvl>
  </w:abstractNum>
  <w:abstractNum w:abstractNumId="47" w15:restartNumberingAfterBreak="0">
    <w:nsid w:val="28DD5428"/>
    <w:multiLevelType w:val="hybridMultilevel"/>
    <w:tmpl w:val="79868BB2"/>
    <w:lvl w:ilvl="0" w:tplc="AB80ED48">
      <w:start w:val="1"/>
      <w:numFmt w:val="bullet"/>
      <w:lvlText w:val=""/>
      <w:lvlJc w:val="left"/>
      <w:pPr>
        <w:ind w:left="1800" w:hanging="360"/>
      </w:pPr>
      <w:rPr>
        <w:rFonts w:ascii="Symbol" w:hAnsi="Symbol" w:hint="default"/>
      </w:rPr>
    </w:lvl>
    <w:lvl w:ilvl="1" w:tplc="93245536" w:tentative="1">
      <w:start w:val="1"/>
      <w:numFmt w:val="bullet"/>
      <w:lvlText w:val="o"/>
      <w:lvlJc w:val="left"/>
      <w:pPr>
        <w:ind w:left="2520" w:hanging="360"/>
      </w:pPr>
      <w:rPr>
        <w:rFonts w:ascii="Courier New" w:hAnsi="Courier New" w:cs="Courier New" w:hint="default"/>
      </w:rPr>
    </w:lvl>
    <w:lvl w:ilvl="2" w:tplc="713C7988" w:tentative="1">
      <w:start w:val="1"/>
      <w:numFmt w:val="bullet"/>
      <w:lvlText w:val=""/>
      <w:lvlJc w:val="left"/>
      <w:pPr>
        <w:ind w:left="3240" w:hanging="360"/>
      </w:pPr>
      <w:rPr>
        <w:rFonts w:ascii="Wingdings" w:hAnsi="Wingdings" w:hint="default"/>
      </w:rPr>
    </w:lvl>
    <w:lvl w:ilvl="3" w:tplc="F3468576" w:tentative="1">
      <w:start w:val="1"/>
      <w:numFmt w:val="bullet"/>
      <w:lvlText w:val=""/>
      <w:lvlJc w:val="left"/>
      <w:pPr>
        <w:ind w:left="3960" w:hanging="360"/>
      </w:pPr>
      <w:rPr>
        <w:rFonts w:ascii="Symbol" w:hAnsi="Symbol" w:hint="default"/>
      </w:rPr>
    </w:lvl>
    <w:lvl w:ilvl="4" w:tplc="658AEEDA" w:tentative="1">
      <w:start w:val="1"/>
      <w:numFmt w:val="bullet"/>
      <w:lvlText w:val="o"/>
      <w:lvlJc w:val="left"/>
      <w:pPr>
        <w:ind w:left="4680" w:hanging="360"/>
      </w:pPr>
      <w:rPr>
        <w:rFonts w:ascii="Courier New" w:hAnsi="Courier New" w:cs="Courier New" w:hint="default"/>
      </w:rPr>
    </w:lvl>
    <w:lvl w:ilvl="5" w:tplc="CB3C51D4" w:tentative="1">
      <w:start w:val="1"/>
      <w:numFmt w:val="bullet"/>
      <w:lvlText w:val=""/>
      <w:lvlJc w:val="left"/>
      <w:pPr>
        <w:ind w:left="5400" w:hanging="360"/>
      </w:pPr>
      <w:rPr>
        <w:rFonts w:ascii="Wingdings" w:hAnsi="Wingdings" w:hint="default"/>
      </w:rPr>
    </w:lvl>
    <w:lvl w:ilvl="6" w:tplc="B18A88D8" w:tentative="1">
      <w:start w:val="1"/>
      <w:numFmt w:val="bullet"/>
      <w:lvlText w:val=""/>
      <w:lvlJc w:val="left"/>
      <w:pPr>
        <w:ind w:left="6120" w:hanging="360"/>
      </w:pPr>
      <w:rPr>
        <w:rFonts w:ascii="Symbol" w:hAnsi="Symbol" w:hint="default"/>
      </w:rPr>
    </w:lvl>
    <w:lvl w:ilvl="7" w:tplc="51F4774C" w:tentative="1">
      <w:start w:val="1"/>
      <w:numFmt w:val="bullet"/>
      <w:lvlText w:val="o"/>
      <w:lvlJc w:val="left"/>
      <w:pPr>
        <w:ind w:left="6840" w:hanging="360"/>
      </w:pPr>
      <w:rPr>
        <w:rFonts w:ascii="Courier New" w:hAnsi="Courier New" w:cs="Courier New" w:hint="default"/>
      </w:rPr>
    </w:lvl>
    <w:lvl w:ilvl="8" w:tplc="13423C7A" w:tentative="1">
      <w:start w:val="1"/>
      <w:numFmt w:val="bullet"/>
      <w:lvlText w:val=""/>
      <w:lvlJc w:val="left"/>
      <w:pPr>
        <w:ind w:left="7560" w:hanging="360"/>
      </w:pPr>
      <w:rPr>
        <w:rFonts w:ascii="Wingdings" w:hAnsi="Wingdings" w:hint="default"/>
      </w:rPr>
    </w:lvl>
  </w:abstractNum>
  <w:abstractNum w:abstractNumId="48" w15:restartNumberingAfterBreak="0">
    <w:nsid w:val="28FE4E91"/>
    <w:multiLevelType w:val="hybridMultilevel"/>
    <w:tmpl w:val="AAA400AE"/>
    <w:lvl w:ilvl="0" w:tplc="59B4A2D8">
      <w:start w:val="1"/>
      <w:numFmt w:val="bullet"/>
      <w:lvlText w:val=""/>
      <w:lvlJc w:val="left"/>
      <w:pPr>
        <w:ind w:left="2520" w:hanging="360"/>
      </w:pPr>
      <w:rPr>
        <w:rFonts w:ascii="Symbol" w:hAnsi="Symbol" w:hint="default"/>
      </w:rPr>
    </w:lvl>
    <w:lvl w:ilvl="1" w:tplc="D9DEAC5E" w:tentative="1">
      <w:start w:val="1"/>
      <w:numFmt w:val="bullet"/>
      <w:lvlText w:val="o"/>
      <w:lvlJc w:val="left"/>
      <w:pPr>
        <w:ind w:left="3240" w:hanging="360"/>
      </w:pPr>
      <w:rPr>
        <w:rFonts w:ascii="Courier New" w:hAnsi="Courier New" w:cs="Courier New" w:hint="default"/>
      </w:rPr>
    </w:lvl>
    <w:lvl w:ilvl="2" w:tplc="084821A8" w:tentative="1">
      <w:start w:val="1"/>
      <w:numFmt w:val="bullet"/>
      <w:lvlText w:val=""/>
      <w:lvlJc w:val="left"/>
      <w:pPr>
        <w:ind w:left="3960" w:hanging="360"/>
      </w:pPr>
      <w:rPr>
        <w:rFonts w:ascii="Wingdings" w:hAnsi="Wingdings" w:hint="default"/>
      </w:rPr>
    </w:lvl>
    <w:lvl w:ilvl="3" w:tplc="9E94FF38" w:tentative="1">
      <w:start w:val="1"/>
      <w:numFmt w:val="bullet"/>
      <w:lvlText w:val=""/>
      <w:lvlJc w:val="left"/>
      <w:pPr>
        <w:ind w:left="4680" w:hanging="360"/>
      </w:pPr>
      <w:rPr>
        <w:rFonts w:ascii="Symbol" w:hAnsi="Symbol" w:hint="default"/>
      </w:rPr>
    </w:lvl>
    <w:lvl w:ilvl="4" w:tplc="8C9E168E" w:tentative="1">
      <w:start w:val="1"/>
      <w:numFmt w:val="bullet"/>
      <w:lvlText w:val="o"/>
      <w:lvlJc w:val="left"/>
      <w:pPr>
        <w:ind w:left="5400" w:hanging="360"/>
      </w:pPr>
      <w:rPr>
        <w:rFonts w:ascii="Courier New" w:hAnsi="Courier New" w:cs="Courier New" w:hint="default"/>
      </w:rPr>
    </w:lvl>
    <w:lvl w:ilvl="5" w:tplc="AEF21ECA" w:tentative="1">
      <w:start w:val="1"/>
      <w:numFmt w:val="bullet"/>
      <w:lvlText w:val=""/>
      <w:lvlJc w:val="left"/>
      <w:pPr>
        <w:ind w:left="6120" w:hanging="360"/>
      </w:pPr>
      <w:rPr>
        <w:rFonts w:ascii="Wingdings" w:hAnsi="Wingdings" w:hint="default"/>
      </w:rPr>
    </w:lvl>
    <w:lvl w:ilvl="6" w:tplc="73F27F26" w:tentative="1">
      <w:start w:val="1"/>
      <w:numFmt w:val="bullet"/>
      <w:lvlText w:val=""/>
      <w:lvlJc w:val="left"/>
      <w:pPr>
        <w:ind w:left="6840" w:hanging="360"/>
      </w:pPr>
      <w:rPr>
        <w:rFonts w:ascii="Symbol" w:hAnsi="Symbol" w:hint="default"/>
      </w:rPr>
    </w:lvl>
    <w:lvl w:ilvl="7" w:tplc="494A0174" w:tentative="1">
      <w:start w:val="1"/>
      <w:numFmt w:val="bullet"/>
      <w:lvlText w:val="o"/>
      <w:lvlJc w:val="left"/>
      <w:pPr>
        <w:ind w:left="7560" w:hanging="360"/>
      </w:pPr>
      <w:rPr>
        <w:rFonts w:ascii="Courier New" w:hAnsi="Courier New" w:cs="Courier New" w:hint="default"/>
      </w:rPr>
    </w:lvl>
    <w:lvl w:ilvl="8" w:tplc="0FE4165A" w:tentative="1">
      <w:start w:val="1"/>
      <w:numFmt w:val="bullet"/>
      <w:lvlText w:val=""/>
      <w:lvlJc w:val="left"/>
      <w:pPr>
        <w:ind w:left="8280" w:hanging="360"/>
      </w:pPr>
      <w:rPr>
        <w:rFonts w:ascii="Wingdings" w:hAnsi="Wingdings" w:hint="default"/>
      </w:rPr>
    </w:lvl>
  </w:abstractNum>
  <w:abstractNum w:abstractNumId="49" w15:restartNumberingAfterBreak="0">
    <w:nsid w:val="2AA12B1B"/>
    <w:multiLevelType w:val="hybridMultilevel"/>
    <w:tmpl w:val="E108B50C"/>
    <w:lvl w:ilvl="0" w:tplc="AD96DD3E">
      <w:start w:val="1"/>
      <w:numFmt w:val="bullet"/>
      <w:lvlText w:val=""/>
      <w:lvlJc w:val="left"/>
      <w:pPr>
        <w:ind w:left="1800" w:hanging="360"/>
      </w:pPr>
      <w:rPr>
        <w:rFonts w:ascii="Symbol" w:hAnsi="Symbol" w:hint="default"/>
        <w:color w:val="auto"/>
      </w:rPr>
    </w:lvl>
    <w:lvl w:ilvl="1" w:tplc="44BEB862" w:tentative="1">
      <w:start w:val="1"/>
      <w:numFmt w:val="bullet"/>
      <w:lvlText w:val="o"/>
      <w:lvlJc w:val="left"/>
      <w:pPr>
        <w:ind w:left="2520" w:hanging="360"/>
      </w:pPr>
      <w:rPr>
        <w:rFonts w:ascii="Courier New" w:hAnsi="Courier New" w:cs="Courier New" w:hint="default"/>
      </w:rPr>
    </w:lvl>
    <w:lvl w:ilvl="2" w:tplc="FFB2ECAA" w:tentative="1">
      <w:start w:val="1"/>
      <w:numFmt w:val="bullet"/>
      <w:lvlText w:val=""/>
      <w:lvlJc w:val="left"/>
      <w:pPr>
        <w:ind w:left="3240" w:hanging="360"/>
      </w:pPr>
      <w:rPr>
        <w:rFonts w:ascii="Wingdings" w:hAnsi="Wingdings" w:hint="default"/>
      </w:rPr>
    </w:lvl>
    <w:lvl w:ilvl="3" w:tplc="DA5E07CA" w:tentative="1">
      <w:start w:val="1"/>
      <w:numFmt w:val="bullet"/>
      <w:lvlText w:val=""/>
      <w:lvlJc w:val="left"/>
      <w:pPr>
        <w:ind w:left="3960" w:hanging="360"/>
      </w:pPr>
      <w:rPr>
        <w:rFonts w:ascii="Symbol" w:hAnsi="Symbol" w:hint="default"/>
      </w:rPr>
    </w:lvl>
    <w:lvl w:ilvl="4" w:tplc="31DC0D6C" w:tentative="1">
      <w:start w:val="1"/>
      <w:numFmt w:val="bullet"/>
      <w:lvlText w:val="o"/>
      <w:lvlJc w:val="left"/>
      <w:pPr>
        <w:ind w:left="4680" w:hanging="360"/>
      </w:pPr>
      <w:rPr>
        <w:rFonts w:ascii="Courier New" w:hAnsi="Courier New" w:cs="Courier New" w:hint="default"/>
      </w:rPr>
    </w:lvl>
    <w:lvl w:ilvl="5" w:tplc="55CCD132" w:tentative="1">
      <w:start w:val="1"/>
      <w:numFmt w:val="bullet"/>
      <w:lvlText w:val=""/>
      <w:lvlJc w:val="left"/>
      <w:pPr>
        <w:ind w:left="5400" w:hanging="360"/>
      </w:pPr>
      <w:rPr>
        <w:rFonts w:ascii="Wingdings" w:hAnsi="Wingdings" w:hint="default"/>
      </w:rPr>
    </w:lvl>
    <w:lvl w:ilvl="6" w:tplc="E4342874" w:tentative="1">
      <w:start w:val="1"/>
      <w:numFmt w:val="bullet"/>
      <w:lvlText w:val=""/>
      <w:lvlJc w:val="left"/>
      <w:pPr>
        <w:ind w:left="6120" w:hanging="360"/>
      </w:pPr>
      <w:rPr>
        <w:rFonts w:ascii="Symbol" w:hAnsi="Symbol" w:hint="default"/>
      </w:rPr>
    </w:lvl>
    <w:lvl w:ilvl="7" w:tplc="7908B8B8" w:tentative="1">
      <w:start w:val="1"/>
      <w:numFmt w:val="bullet"/>
      <w:lvlText w:val="o"/>
      <w:lvlJc w:val="left"/>
      <w:pPr>
        <w:ind w:left="6840" w:hanging="360"/>
      </w:pPr>
      <w:rPr>
        <w:rFonts w:ascii="Courier New" w:hAnsi="Courier New" w:cs="Courier New" w:hint="default"/>
      </w:rPr>
    </w:lvl>
    <w:lvl w:ilvl="8" w:tplc="F80C7A1C" w:tentative="1">
      <w:start w:val="1"/>
      <w:numFmt w:val="bullet"/>
      <w:lvlText w:val=""/>
      <w:lvlJc w:val="left"/>
      <w:pPr>
        <w:ind w:left="7560" w:hanging="360"/>
      </w:pPr>
      <w:rPr>
        <w:rFonts w:ascii="Wingdings" w:hAnsi="Wingdings" w:hint="default"/>
      </w:rPr>
    </w:lvl>
  </w:abstractNum>
  <w:abstractNum w:abstractNumId="50" w15:restartNumberingAfterBreak="0">
    <w:nsid w:val="2AB47944"/>
    <w:multiLevelType w:val="hybridMultilevel"/>
    <w:tmpl w:val="CB7C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C73C65"/>
    <w:multiLevelType w:val="hybridMultilevel"/>
    <w:tmpl w:val="EAB01462"/>
    <w:lvl w:ilvl="0" w:tplc="4DF29C52">
      <w:start w:val="1"/>
      <w:numFmt w:val="decimal"/>
      <w:lvlText w:val="%1."/>
      <w:lvlJc w:val="left"/>
      <w:pPr>
        <w:ind w:left="720" w:hanging="360"/>
      </w:pPr>
      <w:rPr>
        <w:b/>
      </w:rPr>
    </w:lvl>
    <w:lvl w:ilvl="1" w:tplc="A25C11F4" w:tentative="1">
      <w:start w:val="1"/>
      <w:numFmt w:val="lowerLetter"/>
      <w:lvlText w:val="%2."/>
      <w:lvlJc w:val="left"/>
      <w:pPr>
        <w:ind w:left="1440" w:hanging="360"/>
      </w:pPr>
    </w:lvl>
    <w:lvl w:ilvl="2" w:tplc="21CE3F00" w:tentative="1">
      <w:start w:val="1"/>
      <w:numFmt w:val="lowerRoman"/>
      <w:lvlText w:val="%3."/>
      <w:lvlJc w:val="right"/>
      <w:pPr>
        <w:ind w:left="2160" w:hanging="180"/>
      </w:pPr>
    </w:lvl>
    <w:lvl w:ilvl="3" w:tplc="6FD820C4" w:tentative="1">
      <w:start w:val="1"/>
      <w:numFmt w:val="decimal"/>
      <w:lvlText w:val="%4."/>
      <w:lvlJc w:val="left"/>
      <w:pPr>
        <w:ind w:left="2880" w:hanging="360"/>
      </w:pPr>
    </w:lvl>
    <w:lvl w:ilvl="4" w:tplc="502CFA98" w:tentative="1">
      <w:start w:val="1"/>
      <w:numFmt w:val="lowerLetter"/>
      <w:lvlText w:val="%5."/>
      <w:lvlJc w:val="left"/>
      <w:pPr>
        <w:ind w:left="3600" w:hanging="360"/>
      </w:pPr>
    </w:lvl>
    <w:lvl w:ilvl="5" w:tplc="5762A89A" w:tentative="1">
      <w:start w:val="1"/>
      <w:numFmt w:val="lowerRoman"/>
      <w:lvlText w:val="%6."/>
      <w:lvlJc w:val="right"/>
      <w:pPr>
        <w:ind w:left="4320" w:hanging="180"/>
      </w:pPr>
    </w:lvl>
    <w:lvl w:ilvl="6" w:tplc="A126ABE4" w:tentative="1">
      <w:start w:val="1"/>
      <w:numFmt w:val="decimal"/>
      <w:lvlText w:val="%7."/>
      <w:lvlJc w:val="left"/>
      <w:pPr>
        <w:ind w:left="5040" w:hanging="360"/>
      </w:pPr>
    </w:lvl>
    <w:lvl w:ilvl="7" w:tplc="B4BC3BE2" w:tentative="1">
      <w:start w:val="1"/>
      <w:numFmt w:val="lowerLetter"/>
      <w:lvlText w:val="%8."/>
      <w:lvlJc w:val="left"/>
      <w:pPr>
        <w:ind w:left="5760" w:hanging="360"/>
      </w:pPr>
    </w:lvl>
    <w:lvl w:ilvl="8" w:tplc="D7045A8C" w:tentative="1">
      <w:start w:val="1"/>
      <w:numFmt w:val="lowerRoman"/>
      <w:lvlText w:val="%9."/>
      <w:lvlJc w:val="right"/>
      <w:pPr>
        <w:ind w:left="6480" w:hanging="180"/>
      </w:pPr>
    </w:lvl>
  </w:abstractNum>
  <w:abstractNum w:abstractNumId="52" w15:restartNumberingAfterBreak="0">
    <w:nsid w:val="2BD67CB9"/>
    <w:multiLevelType w:val="multilevel"/>
    <w:tmpl w:val="110EC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2CBB4D6D"/>
    <w:multiLevelType w:val="hybridMultilevel"/>
    <w:tmpl w:val="294A76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2E8C6B63"/>
    <w:multiLevelType w:val="multilevel"/>
    <w:tmpl w:val="D45A172E"/>
    <w:lvl w:ilvl="0">
      <w:start w:val="1"/>
      <w:numFmt w:val="bullet"/>
      <w:lvlText w:val="●"/>
      <w:lvlJc w:val="left"/>
      <w:pPr>
        <w:ind w:left="765" w:hanging="360"/>
      </w:pPr>
      <w:rPr>
        <w:rFonts w:ascii="Noto Sans Symbols" w:hAnsi="Noto Sans Symbols" w:hint="default"/>
      </w:rPr>
    </w:lvl>
    <w:lvl w:ilvl="1">
      <w:start w:val="1"/>
      <w:numFmt w:val="bullet"/>
      <w:lvlText w:val=""/>
      <w:lvlJc w:val="left"/>
      <w:pPr>
        <w:ind w:left="1485" w:hanging="360"/>
      </w:pPr>
      <w:rPr>
        <w:rFonts w:ascii="Symbol" w:hAnsi="Symbol" w:hint="default"/>
      </w:rPr>
    </w:lvl>
    <w:lvl w:ilvl="2">
      <w:start w:val="1"/>
      <w:numFmt w:val="bullet"/>
      <w:lvlText w:val="o"/>
      <w:lvlJc w:val="left"/>
      <w:pPr>
        <w:ind w:left="2205" w:hanging="360"/>
      </w:pPr>
      <w:rPr>
        <w:rFonts w:ascii="Courier New" w:hAnsi="Courier New" w:hint="default"/>
      </w:rPr>
    </w:lvl>
    <w:lvl w:ilvl="3">
      <w:start w:val="1"/>
      <w:numFmt w:val="bullet"/>
      <w:lvlText w:val="●"/>
      <w:lvlJc w:val="left"/>
      <w:pPr>
        <w:ind w:left="2925" w:hanging="360"/>
      </w:pPr>
      <w:rPr>
        <w:rFonts w:ascii="Noto Sans Symbols" w:eastAsia="Noto Sans Symbols" w:hAnsi="Noto Sans Symbols" w:cs="Noto Sans Symbols" w:hint="default"/>
      </w:rPr>
    </w:lvl>
    <w:lvl w:ilvl="4">
      <w:start w:val="1"/>
      <w:numFmt w:val="bullet"/>
      <w:lvlText w:val="o"/>
      <w:lvlJc w:val="left"/>
      <w:pPr>
        <w:ind w:left="3645" w:hanging="360"/>
      </w:pPr>
      <w:rPr>
        <w:rFonts w:ascii="Courier New" w:eastAsia="Courier New" w:hAnsi="Courier New" w:cs="Courier New" w:hint="default"/>
      </w:rPr>
    </w:lvl>
    <w:lvl w:ilvl="5">
      <w:start w:val="1"/>
      <w:numFmt w:val="bullet"/>
      <w:lvlText w:val="▪"/>
      <w:lvlJc w:val="left"/>
      <w:pPr>
        <w:ind w:left="4365" w:hanging="360"/>
      </w:pPr>
      <w:rPr>
        <w:rFonts w:ascii="Noto Sans Symbols" w:eastAsia="Noto Sans Symbols" w:hAnsi="Noto Sans Symbols" w:cs="Noto Sans Symbols" w:hint="default"/>
      </w:rPr>
    </w:lvl>
    <w:lvl w:ilvl="6">
      <w:start w:val="1"/>
      <w:numFmt w:val="bullet"/>
      <w:lvlText w:val="●"/>
      <w:lvlJc w:val="left"/>
      <w:pPr>
        <w:ind w:left="5085" w:hanging="360"/>
      </w:pPr>
      <w:rPr>
        <w:rFonts w:ascii="Noto Sans Symbols" w:eastAsia="Noto Sans Symbols" w:hAnsi="Noto Sans Symbols" w:cs="Noto Sans Symbols" w:hint="default"/>
      </w:rPr>
    </w:lvl>
    <w:lvl w:ilvl="7">
      <w:start w:val="1"/>
      <w:numFmt w:val="bullet"/>
      <w:lvlText w:val="o"/>
      <w:lvlJc w:val="left"/>
      <w:pPr>
        <w:ind w:left="5805" w:hanging="360"/>
      </w:pPr>
      <w:rPr>
        <w:rFonts w:ascii="Courier New" w:eastAsia="Courier New" w:hAnsi="Courier New" w:cs="Courier New" w:hint="default"/>
      </w:rPr>
    </w:lvl>
    <w:lvl w:ilvl="8">
      <w:start w:val="1"/>
      <w:numFmt w:val="bullet"/>
      <w:lvlText w:val="▪"/>
      <w:lvlJc w:val="left"/>
      <w:pPr>
        <w:ind w:left="6525" w:hanging="360"/>
      </w:pPr>
      <w:rPr>
        <w:rFonts w:ascii="Noto Sans Symbols" w:eastAsia="Noto Sans Symbols" w:hAnsi="Noto Sans Symbols" w:cs="Noto Sans Symbols" w:hint="default"/>
      </w:rPr>
    </w:lvl>
  </w:abstractNum>
  <w:abstractNum w:abstractNumId="55" w15:restartNumberingAfterBreak="0">
    <w:nsid w:val="2EF40601"/>
    <w:multiLevelType w:val="hybridMultilevel"/>
    <w:tmpl w:val="49BABD16"/>
    <w:lvl w:ilvl="0" w:tplc="570AA66C">
      <w:start w:val="1"/>
      <w:numFmt w:val="decimal"/>
      <w:lvlText w:val="(%1)"/>
      <w:lvlJc w:val="left"/>
      <w:pPr>
        <w:ind w:left="720" w:hanging="360"/>
      </w:pPr>
      <w:rPr>
        <w:rFonts w:hint="default"/>
        <w:b/>
      </w:rPr>
    </w:lvl>
    <w:lvl w:ilvl="1" w:tplc="E7DA4642">
      <w:start w:val="1"/>
      <w:numFmt w:val="lowerLetter"/>
      <w:lvlText w:val="%2."/>
      <w:lvlJc w:val="left"/>
      <w:pPr>
        <w:ind w:left="1440" w:hanging="360"/>
      </w:pPr>
    </w:lvl>
    <w:lvl w:ilvl="2" w:tplc="BFFA808A" w:tentative="1">
      <w:start w:val="1"/>
      <w:numFmt w:val="lowerRoman"/>
      <w:lvlText w:val="%3."/>
      <w:lvlJc w:val="right"/>
      <w:pPr>
        <w:ind w:left="2160" w:hanging="180"/>
      </w:pPr>
    </w:lvl>
    <w:lvl w:ilvl="3" w:tplc="B74EDFC0" w:tentative="1">
      <w:start w:val="1"/>
      <w:numFmt w:val="decimal"/>
      <w:lvlText w:val="%4."/>
      <w:lvlJc w:val="left"/>
      <w:pPr>
        <w:ind w:left="2880" w:hanging="360"/>
      </w:pPr>
    </w:lvl>
    <w:lvl w:ilvl="4" w:tplc="72EE9612" w:tentative="1">
      <w:start w:val="1"/>
      <w:numFmt w:val="lowerLetter"/>
      <w:lvlText w:val="%5."/>
      <w:lvlJc w:val="left"/>
      <w:pPr>
        <w:ind w:left="3600" w:hanging="360"/>
      </w:pPr>
    </w:lvl>
    <w:lvl w:ilvl="5" w:tplc="B9301078" w:tentative="1">
      <w:start w:val="1"/>
      <w:numFmt w:val="lowerRoman"/>
      <w:lvlText w:val="%6."/>
      <w:lvlJc w:val="right"/>
      <w:pPr>
        <w:ind w:left="4320" w:hanging="180"/>
      </w:pPr>
    </w:lvl>
    <w:lvl w:ilvl="6" w:tplc="15E8B746" w:tentative="1">
      <w:start w:val="1"/>
      <w:numFmt w:val="decimal"/>
      <w:lvlText w:val="%7."/>
      <w:lvlJc w:val="left"/>
      <w:pPr>
        <w:ind w:left="5040" w:hanging="360"/>
      </w:pPr>
    </w:lvl>
    <w:lvl w:ilvl="7" w:tplc="B1C08AA6" w:tentative="1">
      <w:start w:val="1"/>
      <w:numFmt w:val="lowerLetter"/>
      <w:lvlText w:val="%8."/>
      <w:lvlJc w:val="left"/>
      <w:pPr>
        <w:ind w:left="5760" w:hanging="360"/>
      </w:pPr>
    </w:lvl>
    <w:lvl w:ilvl="8" w:tplc="808AD036" w:tentative="1">
      <w:start w:val="1"/>
      <w:numFmt w:val="lowerRoman"/>
      <w:lvlText w:val="%9."/>
      <w:lvlJc w:val="right"/>
      <w:pPr>
        <w:ind w:left="6480" w:hanging="180"/>
      </w:pPr>
    </w:lvl>
  </w:abstractNum>
  <w:abstractNum w:abstractNumId="56" w15:restartNumberingAfterBreak="0">
    <w:nsid w:val="32C43E12"/>
    <w:multiLevelType w:val="hybridMultilevel"/>
    <w:tmpl w:val="D1D0C5A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333F368B"/>
    <w:multiLevelType w:val="hybridMultilevel"/>
    <w:tmpl w:val="7F86C67C"/>
    <w:lvl w:ilvl="0" w:tplc="7E70F106">
      <w:start w:val="1"/>
      <w:numFmt w:val="decimal"/>
      <w:lvlText w:val="%1."/>
      <w:lvlJc w:val="left"/>
      <w:pPr>
        <w:ind w:left="2520" w:hanging="360"/>
      </w:pPr>
    </w:lvl>
    <w:lvl w:ilvl="1" w:tplc="3690A98E" w:tentative="1">
      <w:start w:val="1"/>
      <w:numFmt w:val="lowerLetter"/>
      <w:lvlText w:val="%2."/>
      <w:lvlJc w:val="left"/>
      <w:pPr>
        <w:ind w:left="3240" w:hanging="360"/>
      </w:pPr>
    </w:lvl>
    <w:lvl w:ilvl="2" w:tplc="25B84D94" w:tentative="1">
      <w:start w:val="1"/>
      <w:numFmt w:val="lowerRoman"/>
      <w:lvlText w:val="%3."/>
      <w:lvlJc w:val="right"/>
      <w:pPr>
        <w:ind w:left="3960" w:hanging="180"/>
      </w:pPr>
    </w:lvl>
    <w:lvl w:ilvl="3" w:tplc="BD3E8AF0" w:tentative="1">
      <w:start w:val="1"/>
      <w:numFmt w:val="decimal"/>
      <w:lvlText w:val="%4."/>
      <w:lvlJc w:val="left"/>
      <w:pPr>
        <w:ind w:left="4680" w:hanging="360"/>
      </w:pPr>
    </w:lvl>
    <w:lvl w:ilvl="4" w:tplc="BC42BF5C" w:tentative="1">
      <w:start w:val="1"/>
      <w:numFmt w:val="lowerLetter"/>
      <w:lvlText w:val="%5."/>
      <w:lvlJc w:val="left"/>
      <w:pPr>
        <w:ind w:left="5400" w:hanging="360"/>
      </w:pPr>
    </w:lvl>
    <w:lvl w:ilvl="5" w:tplc="B2D29C0E" w:tentative="1">
      <w:start w:val="1"/>
      <w:numFmt w:val="lowerRoman"/>
      <w:lvlText w:val="%6."/>
      <w:lvlJc w:val="right"/>
      <w:pPr>
        <w:ind w:left="6120" w:hanging="180"/>
      </w:pPr>
    </w:lvl>
    <w:lvl w:ilvl="6" w:tplc="2FCC2E5C" w:tentative="1">
      <w:start w:val="1"/>
      <w:numFmt w:val="decimal"/>
      <w:lvlText w:val="%7."/>
      <w:lvlJc w:val="left"/>
      <w:pPr>
        <w:ind w:left="6840" w:hanging="360"/>
      </w:pPr>
    </w:lvl>
    <w:lvl w:ilvl="7" w:tplc="03621708" w:tentative="1">
      <w:start w:val="1"/>
      <w:numFmt w:val="lowerLetter"/>
      <w:lvlText w:val="%8."/>
      <w:lvlJc w:val="left"/>
      <w:pPr>
        <w:ind w:left="7560" w:hanging="360"/>
      </w:pPr>
    </w:lvl>
    <w:lvl w:ilvl="8" w:tplc="F40AEDA4" w:tentative="1">
      <w:start w:val="1"/>
      <w:numFmt w:val="lowerRoman"/>
      <w:lvlText w:val="%9."/>
      <w:lvlJc w:val="right"/>
      <w:pPr>
        <w:ind w:left="8280" w:hanging="180"/>
      </w:pPr>
    </w:lvl>
  </w:abstractNum>
  <w:abstractNum w:abstractNumId="58" w15:restartNumberingAfterBreak="0">
    <w:nsid w:val="356E7DB7"/>
    <w:multiLevelType w:val="hybridMultilevel"/>
    <w:tmpl w:val="53E845A2"/>
    <w:lvl w:ilvl="0" w:tplc="F1F4E37C">
      <w:start w:val="1"/>
      <w:numFmt w:val="bullet"/>
      <w:lvlText w:val=""/>
      <w:lvlJc w:val="left"/>
      <w:pPr>
        <w:ind w:left="2520" w:hanging="360"/>
      </w:pPr>
      <w:rPr>
        <w:rFonts w:ascii="Symbol" w:hAnsi="Symbol" w:hint="default"/>
      </w:rPr>
    </w:lvl>
    <w:lvl w:ilvl="1" w:tplc="B2A02690" w:tentative="1">
      <w:start w:val="1"/>
      <w:numFmt w:val="bullet"/>
      <w:lvlText w:val="o"/>
      <w:lvlJc w:val="left"/>
      <w:pPr>
        <w:ind w:left="3240" w:hanging="360"/>
      </w:pPr>
      <w:rPr>
        <w:rFonts w:ascii="Courier New" w:hAnsi="Courier New" w:cs="Courier New" w:hint="default"/>
      </w:rPr>
    </w:lvl>
    <w:lvl w:ilvl="2" w:tplc="D1484432" w:tentative="1">
      <w:start w:val="1"/>
      <w:numFmt w:val="bullet"/>
      <w:lvlText w:val=""/>
      <w:lvlJc w:val="left"/>
      <w:pPr>
        <w:ind w:left="3960" w:hanging="360"/>
      </w:pPr>
      <w:rPr>
        <w:rFonts w:ascii="Wingdings" w:hAnsi="Wingdings" w:hint="default"/>
      </w:rPr>
    </w:lvl>
    <w:lvl w:ilvl="3" w:tplc="C91811DE" w:tentative="1">
      <w:start w:val="1"/>
      <w:numFmt w:val="bullet"/>
      <w:lvlText w:val=""/>
      <w:lvlJc w:val="left"/>
      <w:pPr>
        <w:ind w:left="4680" w:hanging="360"/>
      </w:pPr>
      <w:rPr>
        <w:rFonts w:ascii="Symbol" w:hAnsi="Symbol" w:hint="default"/>
      </w:rPr>
    </w:lvl>
    <w:lvl w:ilvl="4" w:tplc="AFE22008" w:tentative="1">
      <w:start w:val="1"/>
      <w:numFmt w:val="bullet"/>
      <w:lvlText w:val="o"/>
      <w:lvlJc w:val="left"/>
      <w:pPr>
        <w:ind w:left="5400" w:hanging="360"/>
      </w:pPr>
      <w:rPr>
        <w:rFonts w:ascii="Courier New" w:hAnsi="Courier New" w:cs="Courier New" w:hint="default"/>
      </w:rPr>
    </w:lvl>
    <w:lvl w:ilvl="5" w:tplc="43349624" w:tentative="1">
      <w:start w:val="1"/>
      <w:numFmt w:val="bullet"/>
      <w:lvlText w:val=""/>
      <w:lvlJc w:val="left"/>
      <w:pPr>
        <w:ind w:left="6120" w:hanging="360"/>
      </w:pPr>
      <w:rPr>
        <w:rFonts w:ascii="Wingdings" w:hAnsi="Wingdings" w:hint="default"/>
      </w:rPr>
    </w:lvl>
    <w:lvl w:ilvl="6" w:tplc="4B18434E" w:tentative="1">
      <w:start w:val="1"/>
      <w:numFmt w:val="bullet"/>
      <w:lvlText w:val=""/>
      <w:lvlJc w:val="left"/>
      <w:pPr>
        <w:ind w:left="6840" w:hanging="360"/>
      </w:pPr>
      <w:rPr>
        <w:rFonts w:ascii="Symbol" w:hAnsi="Symbol" w:hint="default"/>
      </w:rPr>
    </w:lvl>
    <w:lvl w:ilvl="7" w:tplc="95B48736" w:tentative="1">
      <w:start w:val="1"/>
      <w:numFmt w:val="bullet"/>
      <w:lvlText w:val="o"/>
      <w:lvlJc w:val="left"/>
      <w:pPr>
        <w:ind w:left="7560" w:hanging="360"/>
      </w:pPr>
      <w:rPr>
        <w:rFonts w:ascii="Courier New" w:hAnsi="Courier New" w:cs="Courier New" w:hint="default"/>
      </w:rPr>
    </w:lvl>
    <w:lvl w:ilvl="8" w:tplc="A2809198" w:tentative="1">
      <w:start w:val="1"/>
      <w:numFmt w:val="bullet"/>
      <w:lvlText w:val=""/>
      <w:lvlJc w:val="left"/>
      <w:pPr>
        <w:ind w:left="8280" w:hanging="360"/>
      </w:pPr>
      <w:rPr>
        <w:rFonts w:ascii="Wingdings" w:hAnsi="Wingdings" w:hint="default"/>
      </w:rPr>
    </w:lvl>
  </w:abstractNum>
  <w:abstractNum w:abstractNumId="59" w15:restartNumberingAfterBreak="0">
    <w:nsid w:val="35AC46E8"/>
    <w:multiLevelType w:val="hybridMultilevel"/>
    <w:tmpl w:val="9B7675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37E47217"/>
    <w:multiLevelType w:val="hybridMultilevel"/>
    <w:tmpl w:val="7896957C"/>
    <w:lvl w:ilvl="0" w:tplc="4C18C774">
      <w:start w:val="1"/>
      <w:numFmt w:val="lowerLetter"/>
      <w:lvlText w:val="%1."/>
      <w:lvlJc w:val="left"/>
      <w:pPr>
        <w:ind w:left="3240" w:hanging="360"/>
      </w:pPr>
      <w:rPr>
        <w:rFonts w:hint="default"/>
        <w:b/>
      </w:rPr>
    </w:lvl>
    <w:lvl w:ilvl="1" w:tplc="3F064F94" w:tentative="1">
      <w:start w:val="1"/>
      <w:numFmt w:val="lowerLetter"/>
      <w:lvlText w:val="%2."/>
      <w:lvlJc w:val="left"/>
      <w:pPr>
        <w:ind w:left="3960" w:hanging="360"/>
      </w:pPr>
    </w:lvl>
    <w:lvl w:ilvl="2" w:tplc="4218279A" w:tentative="1">
      <w:start w:val="1"/>
      <w:numFmt w:val="lowerRoman"/>
      <w:lvlText w:val="%3."/>
      <w:lvlJc w:val="right"/>
      <w:pPr>
        <w:ind w:left="4680" w:hanging="180"/>
      </w:pPr>
    </w:lvl>
    <w:lvl w:ilvl="3" w:tplc="C57CB49C" w:tentative="1">
      <w:start w:val="1"/>
      <w:numFmt w:val="decimal"/>
      <w:lvlText w:val="%4."/>
      <w:lvlJc w:val="left"/>
      <w:pPr>
        <w:ind w:left="5400" w:hanging="360"/>
      </w:pPr>
    </w:lvl>
    <w:lvl w:ilvl="4" w:tplc="4968B29C" w:tentative="1">
      <w:start w:val="1"/>
      <w:numFmt w:val="lowerLetter"/>
      <w:lvlText w:val="%5."/>
      <w:lvlJc w:val="left"/>
      <w:pPr>
        <w:ind w:left="6120" w:hanging="360"/>
      </w:pPr>
    </w:lvl>
    <w:lvl w:ilvl="5" w:tplc="A2508578" w:tentative="1">
      <w:start w:val="1"/>
      <w:numFmt w:val="lowerRoman"/>
      <w:lvlText w:val="%6."/>
      <w:lvlJc w:val="right"/>
      <w:pPr>
        <w:ind w:left="6840" w:hanging="180"/>
      </w:pPr>
    </w:lvl>
    <w:lvl w:ilvl="6" w:tplc="B11ACF7E" w:tentative="1">
      <w:start w:val="1"/>
      <w:numFmt w:val="decimal"/>
      <w:lvlText w:val="%7."/>
      <w:lvlJc w:val="left"/>
      <w:pPr>
        <w:ind w:left="7560" w:hanging="360"/>
      </w:pPr>
    </w:lvl>
    <w:lvl w:ilvl="7" w:tplc="B51C6EE8" w:tentative="1">
      <w:start w:val="1"/>
      <w:numFmt w:val="lowerLetter"/>
      <w:lvlText w:val="%8."/>
      <w:lvlJc w:val="left"/>
      <w:pPr>
        <w:ind w:left="8280" w:hanging="360"/>
      </w:pPr>
    </w:lvl>
    <w:lvl w:ilvl="8" w:tplc="4D5E7344" w:tentative="1">
      <w:start w:val="1"/>
      <w:numFmt w:val="lowerRoman"/>
      <w:lvlText w:val="%9."/>
      <w:lvlJc w:val="right"/>
      <w:pPr>
        <w:ind w:left="9000" w:hanging="180"/>
      </w:pPr>
    </w:lvl>
  </w:abstractNum>
  <w:abstractNum w:abstractNumId="61" w15:restartNumberingAfterBreak="0">
    <w:nsid w:val="37E51AC4"/>
    <w:multiLevelType w:val="hybridMultilevel"/>
    <w:tmpl w:val="306C18FE"/>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62" w15:restartNumberingAfterBreak="0">
    <w:nsid w:val="385B28EB"/>
    <w:multiLevelType w:val="hybridMultilevel"/>
    <w:tmpl w:val="CD3E3F82"/>
    <w:lvl w:ilvl="0" w:tplc="D0D4FC2A">
      <w:start w:val="1"/>
      <w:numFmt w:val="decimal"/>
      <w:lvlText w:val="%1)"/>
      <w:lvlJc w:val="left"/>
      <w:pPr>
        <w:ind w:left="1920" w:hanging="360"/>
      </w:pPr>
      <w:rPr>
        <w:rFonts w:hint="default"/>
        <w:b/>
        <w:bCs w:val="0"/>
        <w:w w:val="100"/>
        <w:lang w:val="en-US" w:eastAsia="en-US" w:bidi="ar-SA"/>
      </w:rPr>
    </w:lvl>
    <w:lvl w:ilvl="1" w:tplc="33C2F762">
      <w:numFmt w:val="bullet"/>
      <w:lvlText w:val="•"/>
      <w:lvlJc w:val="left"/>
      <w:pPr>
        <w:ind w:left="2774" w:hanging="360"/>
      </w:pPr>
      <w:rPr>
        <w:rFonts w:hint="default"/>
        <w:lang w:val="en-US" w:eastAsia="en-US" w:bidi="ar-SA"/>
      </w:rPr>
    </w:lvl>
    <w:lvl w:ilvl="2" w:tplc="03F42564">
      <w:numFmt w:val="bullet"/>
      <w:lvlText w:val="•"/>
      <w:lvlJc w:val="left"/>
      <w:pPr>
        <w:ind w:left="3628" w:hanging="360"/>
      </w:pPr>
      <w:rPr>
        <w:rFonts w:hint="default"/>
        <w:lang w:val="en-US" w:eastAsia="en-US" w:bidi="ar-SA"/>
      </w:rPr>
    </w:lvl>
    <w:lvl w:ilvl="3" w:tplc="F670DAC8">
      <w:numFmt w:val="bullet"/>
      <w:lvlText w:val="•"/>
      <w:lvlJc w:val="left"/>
      <w:pPr>
        <w:ind w:left="4482" w:hanging="360"/>
      </w:pPr>
      <w:rPr>
        <w:rFonts w:hint="default"/>
        <w:lang w:val="en-US" w:eastAsia="en-US" w:bidi="ar-SA"/>
      </w:rPr>
    </w:lvl>
    <w:lvl w:ilvl="4" w:tplc="EA50BCB6">
      <w:numFmt w:val="bullet"/>
      <w:lvlText w:val="•"/>
      <w:lvlJc w:val="left"/>
      <w:pPr>
        <w:ind w:left="5336" w:hanging="360"/>
      </w:pPr>
      <w:rPr>
        <w:rFonts w:hint="default"/>
        <w:lang w:val="en-US" w:eastAsia="en-US" w:bidi="ar-SA"/>
      </w:rPr>
    </w:lvl>
    <w:lvl w:ilvl="5" w:tplc="388E2792">
      <w:numFmt w:val="bullet"/>
      <w:lvlText w:val="•"/>
      <w:lvlJc w:val="left"/>
      <w:pPr>
        <w:ind w:left="6190" w:hanging="360"/>
      </w:pPr>
      <w:rPr>
        <w:rFonts w:hint="default"/>
        <w:lang w:val="en-US" w:eastAsia="en-US" w:bidi="ar-SA"/>
      </w:rPr>
    </w:lvl>
    <w:lvl w:ilvl="6" w:tplc="5044D7B4">
      <w:numFmt w:val="bullet"/>
      <w:lvlText w:val="•"/>
      <w:lvlJc w:val="left"/>
      <w:pPr>
        <w:ind w:left="7044" w:hanging="360"/>
      </w:pPr>
      <w:rPr>
        <w:rFonts w:hint="default"/>
        <w:lang w:val="en-US" w:eastAsia="en-US" w:bidi="ar-SA"/>
      </w:rPr>
    </w:lvl>
    <w:lvl w:ilvl="7" w:tplc="9D9CF402">
      <w:numFmt w:val="bullet"/>
      <w:lvlText w:val="•"/>
      <w:lvlJc w:val="left"/>
      <w:pPr>
        <w:ind w:left="7898" w:hanging="360"/>
      </w:pPr>
      <w:rPr>
        <w:rFonts w:hint="default"/>
        <w:lang w:val="en-US" w:eastAsia="en-US" w:bidi="ar-SA"/>
      </w:rPr>
    </w:lvl>
    <w:lvl w:ilvl="8" w:tplc="B50E6EB0">
      <w:numFmt w:val="bullet"/>
      <w:lvlText w:val="•"/>
      <w:lvlJc w:val="left"/>
      <w:pPr>
        <w:ind w:left="8752" w:hanging="360"/>
      </w:pPr>
      <w:rPr>
        <w:rFonts w:hint="default"/>
        <w:lang w:val="en-US" w:eastAsia="en-US" w:bidi="ar-SA"/>
      </w:rPr>
    </w:lvl>
  </w:abstractNum>
  <w:abstractNum w:abstractNumId="63" w15:restartNumberingAfterBreak="0">
    <w:nsid w:val="3C2294AF"/>
    <w:multiLevelType w:val="hybridMultilevel"/>
    <w:tmpl w:val="7BD8677F"/>
    <w:lvl w:ilvl="0" w:tplc="AFD63F38">
      <w:start w:val="1"/>
      <w:numFmt w:val="bullet"/>
      <w:lvlText w:val=""/>
      <w:lvlJc w:val="left"/>
      <w:pPr>
        <w:ind w:left="720" w:hanging="360"/>
      </w:pPr>
      <w:rPr>
        <w:rFonts w:ascii="Symbol" w:hAnsi="Symbol"/>
      </w:rPr>
    </w:lvl>
    <w:lvl w:ilvl="1" w:tplc="BAF4C37A">
      <w:start w:val="1"/>
      <w:numFmt w:val="bullet"/>
      <w:lvlText w:val="o"/>
      <w:lvlJc w:val="left"/>
      <w:pPr>
        <w:tabs>
          <w:tab w:val="num" w:pos="1440"/>
        </w:tabs>
        <w:ind w:left="1440" w:hanging="360"/>
      </w:pPr>
      <w:rPr>
        <w:rFonts w:ascii="Courier New" w:hAnsi="Courier New"/>
      </w:rPr>
    </w:lvl>
    <w:lvl w:ilvl="2" w:tplc="94C26408">
      <w:start w:val="1"/>
      <w:numFmt w:val="bullet"/>
      <w:lvlText w:val=""/>
      <w:lvlJc w:val="left"/>
      <w:pPr>
        <w:tabs>
          <w:tab w:val="num" w:pos="2160"/>
        </w:tabs>
        <w:ind w:left="2160" w:hanging="360"/>
      </w:pPr>
      <w:rPr>
        <w:rFonts w:ascii="Wingdings" w:hAnsi="Wingdings"/>
      </w:rPr>
    </w:lvl>
    <w:lvl w:ilvl="3" w:tplc="136EA2D0">
      <w:start w:val="1"/>
      <w:numFmt w:val="bullet"/>
      <w:lvlText w:val=""/>
      <w:lvlJc w:val="left"/>
      <w:pPr>
        <w:tabs>
          <w:tab w:val="num" w:pos="2880"/>
        </w:tabs>
        <w:ind w:left="2880" w:hanging="360"/>
      </w:pPr>
      <w:rPr>
        <w:rFonts w:ascii="Symbol" w:hAnsi="Symbol"/>
      </w:rPr>
    </w:lvl>
    <w:lvl w:ilvl="4" w:tplc="A006A102">
      <w:start w:val="1"/>
      <w:numFmt w:val="bullet"/>
      <w:lvlText w:val="o"/>
      <w:lvlJc w:val="left"/>
      <w:pPr>
        <w:tabs>
          <w:tab w:val="num" w:pos="3600"/>
        </w:tabs>
        <w:ind w:left="3600" w:hanging="360"/>
      </w:pPr>
      <w:rPr>
        <w:rFonts w:ascii="Courier New" w:hAnsi="Courier New"/>
      </w:rPr>
    </w:lvl>
    <w:lvl w:ilvl="5" w:tplc="3FF87600">
      <w:start w:val="1"/>
      <w:numFmt w:val="bullet"/>
      <w:lvlText w:val=""/>
      <w:lvlJc w:val="left"/>
      <w:pPr>
        <w:tabs>
          <w:tab w:val="num" w:pos="4320"/>
        </w:tabs>
        <w:ind w:left="4320" w:hanging="360"/>
      </w:pPr>
      <w:rPr>
        <w:rFonts w:ascii="Wingdings" w:hAnsi="Wingdings"/>
      </w:rPr>
    </w:lvl>
    <w:lvl w:ilvl="6" w:tplc="814C9DC0">
      <w:start w:val="1"/>
      <w:numFmt w:val="bullet"/>
      <w:lvlText w:val=""/>
      <w:lvlJc w:val="left"/>
      <w:pPr>
        <w:tabs>
          <w:tab w:val="num" w:pos="5040"/>
        </w:tabs>
        <w:ind w:left="5040" w:hanging="360"/>
      </w:pPr>
      <w:rPr>
        <w:rFonts w:ascii="Symbol" w:hAnsi="Symbol"/>
      </w:rPr>
    </w:lvl>
    <w:lvl w:ilvl="7" w:tplc="34A64646">
      <w:start w:val="1"/>
      <w:numFmt w:val="bullet"/>
      <w:lvlText w:val="o"/>
      <w:lvlJc w:val="left"/>
      <w:pPr>
        <w:tabs>
          <w:tab w:val="num" w:pos="5760"/>
        </w:tabs>
        <w:ind w:left="5760" w:hanging="360"/>
      </w:pPr>
      <w:rPr>
        <w:rFonts w:ascii="Courier New" w:hAnsi="Courier New"/>
      </w:rPr>
    </w:lvl>
    <w:lvl w:ilvl="8" w:tplc="79201D3A">
      <w:start w:val="1"/>
      <w:numFmt w:val="bullet"/>
      <w:lvlText w:val=""/>
      <w:lvlJc w:val="left"/>
      <w:pPr>
        <w:tabs>
          <w:tab w:val="num" w:pos="6480"/>
        </w:tabs>
        <w:ind w:left="6480" w:hanging="360"/>
      </w:pPr>
      <w:rPr>
        <w:rFonts w:ascii="Wingdings" w:hAnsi="Wingdings"/>
      </w:rPr>
    </w:lvl>
  </w:abstractNum>
  <w:abstractNum w:abstractNumId="64" w15:restartNumberingAfterBreak="0">
    <w:nsid w:val="3C77634B"/>
    <w:multiLevelType w:val="hybridMultilevel"/>
    <w:tmpl w:val="09160BE8"/>
    <w:lvl w:ilvl="0" w:tplc="08A4E98C">
      <w:start w:val="1"/>
      <w:numFmt w:val="bullet"/>
      <w:lvlText w:val=""/>
      <w:lvlJc w:val="left"/>
      <w:pPr>
        <w:ind w:left="2160" w:hanging="360"/>
      </w:pPr>
      <w:rPr>
        <w:rFonts w:ascii="Symbol" w:hAnsi="Symbol" w:hint="default"/>
      </w:rPr>
    </w:lvl>
    <w:lvl w:ilvl="1" w:tplc="67BC196E">
      <w:numFmt w:val="bullet"/>
      <w:lvlText w:val="•"/>
      <w:lvlJc w:val="left"/>
      <w:pPr>
        <w:ind w:left="3240" w:hanging="720"/>
      </w:pPr>
      <w:rPr>
        <w:rFonts w:ascii="Calibri" w:eastAsiaTheme="minorHAnsi" w:hAnsi="Calibri" w:cstheme="minorBidi" w:hint="default"/>
      </w:rPr>
    </w:lvl>
    <w:lvl w:ilvl="2" w:tplc="E81C220A">
      <w:start w:val="1"/>
      <w:numFmt w:val="bullet"/>
      <w:lvlText w:val=""/>
      <w:lvlJc w:val="left"/>
      <w:pPr>
        <w:ind w:left="3600" w:hanging="360"/>
      </w:pPr>
      <w:rPr>
        <w:rFonts w:ascii="Wingdings" w:hAnsi="Wingdings" w:hint="default"/>
      </w:rPr>
    </w:lvl>
    <w:lvl w:ilvl="3" w:tplc="46D85D10">
      <w:start w:val="1"/>
      <w:numFmt w:val="bullet"/>
      <w:lvlText w:val=""/>
      <w:lvlJc w:val="left"/>
      <w:pPr>
        <w:ind w:left="4320" w:hanging="360"/>
      </w:pPr>
      <w:rPr>
        <w:rFonts w:ascii="Symbol" w:hAnsi="Symbol" w:hint="default"/>
      </w:rPr>
    </w:lvl>
    <w:lvl w:ilvl="4" w:tplc="974000B6">
      <w:start w:val="1"/>
      <w:numFmt w:val="bullet"/>
      <w:lvlText w:val="o"/>
      <w:lvlJc w:val="left"/>
      <w:pPr>
        <w:ind w:left="5040" w:hanging="360"/>
      </w:pPr>
      <w:rPr>
        <w:rFonts w:ascii="Courier New" w:hAnsi="Courier New" w:cs="Courier New" w:hint="default"/>
      </w:rPr>
    </w:lvl>
    <w:lvl w:ilvl="5" w:tplc="7F14B1D8">
      <w:start w:val="1"/>
      <w:numFmt w:val="bullet"/>
      <w:lvlText w:val=""/>
      <w:lvlJc w:val="left"/>
      <w:pPr>
        <w:ind w:left="5760" w:hanging="360"/>
      </w:pPr>
      <w:rPr>
        <w:rFonts w:ascii="Wingdings" w:hAnsi="Wingdings" w:hint="default"/>
      </w:rPr>
    </w:lvl>
    <w:lvl w:ilvl="6" w:tplc="5F0EF0A0">
      <w:start w:val="1"/>
      <w:numFmt w:val="bullet"/>
      <w:lvlText w:val=""/>
      <w:lvlJc w:val="left"/>
      <w:pPr>
        <w:ind w:left="6480" w:hanging="360"/>
      </w:pPr>
      <w:rPr>
        <w:rFonts w:ascii="Symbol" w:hAnsi="Symbol" w:hint="default"/>
      </w:rPr>
    </w:lvl>
    <w:lvl w:ilvl="7" w:tplc="D2A0FB9C">
      <w:start w:val="1"/>
      <w:numFmt w:val="bullet"/>
      <w:lvlText w:val="o"/>
      <w:lvlJc w:val="left"/>
      <w:pPr>
        <w:ind w:left="7200" w:hanging="360"/>
      </w:pPr>
      <w:rPr>
        <w:rFonts w:ascii="Courier New" w:hAnsi="Courier New" w:cs="Courier New" w:hint="default"/>
      </w:rPr>
    </w:lvl>
    <w:lvl w:ilvl="8" w:tplc="22129558">
      <w:start w:val="1"/>
      <w:numFmt w:val="bullet"/>
      <w:lvlText w:val=""/>
      <w:lvlJc w:val="left"/>
      <w:pPr>
        <w:ind w:left="7920" w:hanging="360"/>
      </w:pPr>
      <w:rPr>
        <w:rFonts w:ascii="Wingdings" w:hAnsi="Wingdings" w:hint="default"/>
      </w:rPr>
    </w:lvl>
  </w:abstractNum>
  <w:abstractNum w:abstractNumId="65" w15:restartNumberingAfterBreak="0">
    <w:nsid w:val="3DFD4C1A"/>
    <w:multiLevelType w:val="hybridMultilevel"/>
    <w:tmpl w:val="AEEACE1E"/>
    <w:lvl w:ilvl="0" w:tplc="F10C0A92">
      <w:start w:val="1"/>
      <w:numFmt w:val="decimal"/>
      <w:lvlText w:val="%1."/>
      <w:lvlJc w:val="left"/>
      <w:pPr>
        <w:ind w:left="360" w:hanging="360"/>
      </w:pPr>
    </w:lvl>
    <w:lvl w:ilvl="1" w:tplc="04AC74C4">
      <w:start w:val="1"/>
      <w:numFmt w:val="lowerLetter"/>
      <w:lvlText w:val="%2."/>
      <w:lvlJc w:val="left"/>
      <w:pPr>
        <w:ind w:left="1080" w:hanging="360"/>
      </w:pPr>
    </w:lvl>
    <w:lvl w:ilvl="2" w:tplc="0D640D18" w:tentative="1">
      <w:start w:val="1"/>
      <w:numFmt w:val="lowerRoman"/>
      <w:lvlText w:val="%3."/>
      <w:lvlJc w:val="right"/>
      <w:pPr>
        <w:ind w:left="1800" w:hanging="180"/>
      </w:pPr>
    </w:lvl>
    <w:lvl w:ilvl="3" w:tplc="9F6ED652" w:tentative="1">
      <w:start w:val="1"/>
      <w:numFmt w:val="decimal"/>
      <w:lvlText w:val="%4."/>
      <w:lvlJc w:val="left"/>
      <w:pPr>
        <w:ind w:left="2520" w:hanging="360"/>
      </w:pPr>
    </w:lvl>
    <w:lvl w:ilvl="4" w:tplc="B8065050" w:tentative="1">
      <w:start w:val="1"/>
      <w:numFmt w:val="lowerLetter"/>
      <w:lvlText w:val="%5."/>
      <w:lvlJc w:val="left"/>
      <w:pPr>
        <w:ind w:left="3240" w:hanging="360"/>
      </w:pPr>
    </w:lvl>
    <w:lvl w:ilvl="5" w:tplc="8AB826A8" w:tentative="1">
      <w:start w:val="1"/>
      <w:numFmt w:val="lowerRoman"/>
      <w:lvlText w:val="%6."/>
      <w:lvlJc w:val="right"/>
      <w:pPr>
        <w:ind w:left="3960" w:hanging="180"/>
      </w:pPr>
    </w:lvl>
    <w:lvl w:ilvl="6" w:tplc="57C21A2E" w:tentative="1">
      <w:start w:val="1"/>
      <w:numFmt w:val="decimal"/>
      <w:lvlText w:val="%7."/>
      <w:lvlJc w:val="left"/>
      <w:pPr>
        <w:ind w:left="4680" w:hanging="360"/>
      </w:pPr>
    </w:lvl>
    <w:lvl w:ilvl="7" w:tplc="AE76846A" w:tentative="1">
      <w:start w:val="1"/>
      <w:numFmt w:val="lowerLetter"/>
      <w:lvlText w:val="%8."/>
      <w:lvlJc w:val="left"/>
      <w:pPr>
        <w:ind w:left="5400" w:hanging="360"/>
      </w:pPr>
    </w:lvl>
    <w:lvl w:ilvl="8" w:tplc="7FFC43AA" w:tentative="1">
      <w:start w:val="1"/>
      <w:numFmt w:val="lowerRoman"/>
      <w:lvlText w:val="%9."/>
      <w:lvlJc w:val="right"/>
      <w:pPr>
        <w:ind w:left="6120" w:hanging="180"/>
      </w:pPr>
    </w:lvl>
  </w:abstractNum>
  <w:abstractNum w:abstractNumId="66" w15:restartNumberingAfterBreak="0">
    <w:nsid w:val="43F67595"/>
    <w:multiLevelType w:val="hybridMultilevel"/>
    <w:tmpl w:val="55AC33DC"/>
    <w:lvl w:ilvl="0" w:tplc="163EBE40">
      <w:start w:val="1"/>
      <w:numFmt w:val="bullet"/>
      <w:lvlText w:val=""/>
      <w:lvlJc w:val="left"/>
      <w:pPr>
        <w:ind w:left="1800" w:hanging="360"/>
      </w:pPr>
      <w:rPr>
        <w:rFonts w:ascii="Symbol" w:hAnsi="Symbol" w:hint="default"/>
      </w:rPr>
    </w:lvl>
    <w:lvl w:ilvl="1" w:tplc="4E5A493C" w:tentative="1">
      <w:start w:val="1"/>
      <w:numFmt w:val="bullet"/>
      <w:lvlText w:val="o"/>
      <w:lvlJc w:val="left"/>
      <w:pPr>
        <w:ind w:left="2520" w:hanging="360"/>
      </w:pPr>
      <w:rPr>
        <w:rFonts w:ascii="Courier New" w:hAnsi="Courier New" w:cs="Courier New" w:hint="default"/>
      </w:rPr>
    </w:lvl>
    <w:lvl w:ilvl="2" w:tplc="165650FE" w:tentative="1">
      <w:start w:val="1"/>
      <w:numFmt w:val="bullet"/>
      <w:lvlText w:val=""/>
      <w:lvlJc w:val="left"/>
      <w:pPr>
        <w:ind w:left="3240" w:hanging="360"/>
      </w:pPr>
      <w:rPr>
        <w:rFonts w:ascii="Wingdings" w:hAnsi="Wingdings" w:hint="default"/>
      </w:rPr>
    </w:lvl>
    <w:lvl w:ilvl="3" w:tplc="B91AB228" w:tentative="1">
      <w:start w:val="1"/>
      <w:numFmt w:val="bullet"/>
      <w:lvlText w:val=""/>
      <w:lvlJc w:val="left"/>
      <w:pPr>
        <w:ind w:left="3960" w:hanging="360"/>
      </w:pPr>
      <w:rPr>
        <w:rFonts w:ascii="Symbol" w:hAnsi="Symbol" w:hint="default"/>
      </w:rPr>
    </w:lvl>
    <w:lvl w:ilvl="4" w:tplc="5C629A78" w:tentative="1">
      <w:start w:val="1"/>
      <w:numFmt w:val="bullet"/>
      <w:lvlText w:val="o"/>
      <w:lvlJc w:val="left"/>
      <w:pPr>
        <w:ind w:left="4680" w:hanging="360"/>
      </w:pPr>
      <w:rPr>
        <w:rFonts w:ascii="Courier New" w:hAnsi="Courier New" w:cs="Courier New" w:hint="default"/>
      </w:rPr>
    </w:lvl>
    <w:lvl w:ilvl="5" w:tplc="5BB81F74" w:tentative="1">
      <w:start w:val="1"/>
      <w:numFmt w:val="bullet"/>
      <w:lvlText w:val=""/>
      <w:lvlJc w:val="left"/>
      <w:pPr>
        <w:ind w:left="5400" w:hanging="360"/>
      </w:pPr>
      <w:rPr>
        <w:rFonts w:ascii="Wingdings" w:hAnsi="Wingdings" w:hint="default"/>
      </w:rPr>
    </w:lvl>
    <w:lvl w:ilvl="6" w:tplc="293EB7F0" w:tentative="1">
      <w:start w:val="1"/>
      <w:numFmt w:val="bullet"/>
      <w:lvlText w:val=""/>
      <w:lvlJc w:val="left"/>
      <w:pPr>
        <w:ind w:left="6120" w:hanging="360"/>
      </w:pPr>
      <w:rPr>
        <w:rFonts w:ascii="Symbol" w:hAnsi="Symbol" w:hint="default"/>
      </w:rPr>
    </w:lvl>
    <w:lvl w:ilvl="7" w:tplc="0BF0421E" w:tentative="1">
      <w:start w:val="1"/>
      <w:numFmt w:val="bullet"/>
      <w:lvlText w:val="o"/>
      <w:lvlJc w:val="left"/>
      <w:pPr>
        <w:ind w:left="6840" w:hanging="360"/>
      </w:pPr>
      <w:rPr>
        <w:rFonts w:ascii="Courier New" w:hAnsi="Courier New" w:cs="Courier New" w:hint="default"/>
      </w:rPr>
    </w:lvl>
    <w:lvl w:ilvl="8" w:tplc="E2E4024C" w:tentative="1">
      <w:start w:val="1"/>
      <w:numFmt w:val="bullet"/>
      <w:lvlText w:val=""/>
      <w:lvlJc w:val="left"/>
      <w:pPr>
        <w:ind w:left="7560" w:hanging="360"/>
      </w:pPr>
      <w:rPr>
        <w:rFonts w:ascii="Wingdings" w:hAnsi="Wingdings" w:hint="default"/>
      </w:rPr>
    </w:lvl>
  </w:abstractNum>
  <w:abstractNum w:abstractNumId="67" w15:restartNumberingAfterBreak="0">
    <w:nsid w:val="45AA4B2E"/>
    <w:multiLevelType w:val="hybridMultilevel"/>
    <w:tmpl w:val="C99AA98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15:restartNumberingAfterBreak="0">
    <w:nsid w:val="46015FD0"/>
    <w:multiLevelType w:val="hybridMultilevel"/>
    <w:tmpl w:val="9B7675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47F669B0"/>
    <w:multiLevelType w:val="hybridMultilevel"/>
    <w:tmpl w:val="9B7675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82E5E58"/>
    <w:multiLevelType w:val="hybridMultilevel"/>
    <w:tmpl w:val="737E0438"/>
    <w:lvl w:ilvl="0" w:tplc="C0425F98">
      <w:start w:val="1"/>
      <w:numFmt w:val="bullet"/>
      <w:lvlText w:val=""/>
      <w:lvlJc w:val="left"/>
      <w:pPr>
        <w:ind w:left="2160" w:hanging="360"/>
      </w:pPr>
      <w:rPr>
        <w:rFonts w:ascii="Symbol" w:hAnsi="Symbol" w:hint="default"/>
        <w:color w:val="auto"/>
      </w:rPr>
    </w:lvl>
    <w:lvl w:ilvl="1" w:tplc="C1F2009E">
      <w:start w:val="1"/>
      <w:numFmt w:val="bullet"/>
      <w:lvlText w:val="o"/>
      <w:lvlJc w:val="left"/>
      <w:pPr>
        <w:ind w:left="2880" w:hanging="360"/>
      </w:pPr>
      <w:rPr>
        <w:rFonts w:ascii="Courier New" w:hAnsi="Courier New" w:cs="Courier New" w:hint="default"/>
      </w:rPr>
    </w:lvl>
    <w:lvl w:ilvl="2" w:tplc="3056CAFC">
      <w:start w:val="1"/>
      <w:numFmt w:val="bullet"/>
      <w:lvlText w:val=""/>
      <w:lvlJc w:val="left"/>
      <w:pPr>
        <w:ind w:left="3600" w:hanging="360"/>
      </w:pPr>
      <w:rPr>
        <w:rFonts w:ascii="Wingdings" w:hAnsi="Wingdings" w:hint="default"/>
      </w:rPr>
    </w:lvl>
    <w:lvl w:ilvl="3" w:tplc="9CA4E0A2">
      <w:start w:val="1"/>
      <w:numFmt w:val="bullet"/>
      <w:lvlText w:val=""/>
      <w:lvlJc w:val="left"/>
      <w:pPr>
        <w:ind w:left="4320" w:hanging="360"/>
      </w:pPr>
      <w:rPr>
        <w:rFonts w:ascii="Symbol" w:hAnsi="Symbol" w:hint="default"/>
      </w:rPr>
    </w:lvl>
    <w:lvl w:ilvl="4" w:tplc="547C82C6">
      <w:start w:val="1"/>
      <w:numFmt w:val="bullet"/>
      <w:lvlText w:val="o"/>
      <w:lvlJc w:val="left"/>
      <w:pPr>
        <w:ind w:left="5040" w:hanging="360"/>
      </w:pPr>
      <w:rPr>
        <w:rFonts w:ascii="Courier New" w:hAnsi="Courier New" w:cs="Courier New" w:hint="default"/>
      </w:rPr>
    </w:lvl>
    <w:lvl w:ilvl="5" w:tplc="8D101D44">
      <w:start w:val="1"/>
      <w:numFmt w:val="bullet"/>
      <w:lvlText w:val=""/>
      <w:lvlJc w:val="left"/>
      <w:pPr>
        <w:ind w:left="5760" w:hanging="360"/>
      </w:pPr>
      <w:rPr>
        <w:rFonts w:ascii="Wingdings" w:hAnsi="Wingdings" w:hint="default"/>
      </w:rPr>
    </w:lvl>
    <w:lvl w:ilvl="6" w:tplc="FC1205F6">
      <w:start w:val="1"/>
      <w:numFmt w:val="bullet"/>
      <w:lvlText w:val=""/>
      <w:lvlJc w:val="left"/>
      <w:pPr>
        <w:ind w:left="6480" w:hanging="360"/>
      </w:pPr>
      <w:rPr>
        <w:rFonts w:ascii="Symbol" w:hAnsi="Symbol" w:hint="default"/>
      </w:rPr>
    </w:lvl>
    <w:lvl w:ilvl="7" w:tplc="F070BD16">
      <w:start w:val="1"/>
      <w:numFmt w:val="bullet"/>
      <w:lvlText w:val="o"/>
      <w:lvlJc w:val="left"/>
      <w:pPr>
        <w:ind w:left="7200" w:hanging="360"/>
      </w:pPr>
      <w:rPr>
        <w:rFonts w:ascii="Courier New" w:hAnsi="Courier New" w:cs="Courier New" w:hint="default"/>
      </w:rPr>
    </w:lvl>
    <w:lvl w:ilvl="8" w:tplc="9954A07C">
      <w:start w:val="1"/>
      <w:numFmt w:val="bullet"/>
      <w:lvlText w:val=""/>
      <w:lvlJc w:val="left"/>
      <w:pPr>
        <w:ind w:left="7920" w:hanging="360"/>
      </w:pPr>
      <w:rPr>
        <w:rFonts w:ascii="Wingdings" w:hAnsi="Wingdings" w:hint="default"/>
      </w:rPr>
    </w:lvl>
  </w:abstractNum>
  <w:abstractNum w:abstractNumId="71" w15:restartNumberingAfterBreak="0">
    <w:nsid w:val="48790827"/>
    <w:multiLevelType w:val="multilevel"/>
    <w:tmpl w:val="BC5ED7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48BE531C"/>
    <w:multiLevelType w:val="hybridMultilevel"/>
    <w:tmpl w:val="472CD57E"/>
    <w:lvl w:ilvl="0" w:tplc="FA30B110">
      <w:numFmt w:val="bullet"/>
      <w:lvlText w:val=""/>
      <w:lvlJc w:val="left"/>
      <w:pPr>
        <w:ind w:left="2136" w:hanging="360"/>
      </w:pPr>
      <w:rPr>
        <w:rFonts w:ascii="Symbol" w:eastAsia="Symbol" w:hAnsi="Symbol" w:cs="Symbol" w:hint="default"/>
        <w:b w:val="0"/>
        <w:bCs w:val="0"/>
        <w:i w:val="0"/>
        <w:iCs w:val="0"/>
        <w:w w:val="100"/>
        <w:sz w:val="24"/>
        <w:szCs w:val="24"/>
        <w:lang w:val="en-US" w:eastAsia="en-US" w:bidi="ar-SA"/>
      </w:rPr>
    </w:lvl>
    <w:lvl w:ilvl="1" w:tplc="3F307DF0">
      <w:numFmt w:val="bullet"/>
      <w:lvlText w:val="•"/>
      <w:lvlJc w:val="left"/>
      <w:pPr>
        <w:ind w:left="2972" w:hanging="360"/>
      </w:pPr>
      <w:rPr>
        <w:rFonts w:hint="default"/>
        <w:lang w:val="en-US" w:eastAsia="en-US" w:bidi="ar-SA"/>
      </w:rPr>
    </w:lvl>
    <w:lvl w:ilvl="2" w:tplc="D2EAE1B8">
      <w:numFmt w:val="bullet"/>
      <w:lvlText w:val="•"/>
      <w:lvlJc w:val="left"/>
      <w:pPr>
        <w:ind w:left="3804" w:hanging="360"/>
      </w:pPr>
      <w:rPr>
        <w:rFonts w:hint="default"/>
        <w:lang w:val="en-US" w:eastAsia="en-US" w:bidi="ar-SA"/>
      </w:rPr>
    </w:lvl>
    <w:lvl w:ilvl="3" w:tplc="EBA6DF4A">
      <w:numFmt w:val="bullet"/>
      <w:lvlText w:val="•"/>
      <w:lvlJc w:val="left"/>
      <w:pPr>
        <w:ind w:left="4636" w:hanging="360"/>
      </w:pPr>
      <w:rPr>
        <w:rFonts w:hint="default"/>
        <w:lang w:val="en-US" w:eastAsia="en-US" w:bidi="ar-SA"/>
      </w:rPr>
    </w:lvl>
    <w:lvl w:ilvl="4" w:tplc="ADE4B39A">
      <w:numFmt w:val="bullet"/>
      <w:lvlText w:val="•"/>
      <w:lvlJc w:val="left"/>
      <w:pPr>
        <w:ind w:left="5468" w:hanging="360"/>
      </w:pPr>
      <w:rPr>
        <w:rFonts w:hint="default"/>
        <w:lang w:val="en-US" w:eastAsia="en-US" w:bidi="ar-SA"/>
      </w:rPr>
    </w:lvl>
    <w:lvl w:ilvl="5" w:tplc="BD642A06">
      <w:numFmt w:val="bullet"/>
      <w:lvlText w:val="•"/>
      <w:lvlJc w:val="left"/>
      <w:pPr>
        <w:ind w:left="6300" w:hanging="360"/>
      </w:pPr>
      <w:rPr>
        <w:rFonts w:hint="default"/>
        <w:lang w:val="en-US" w:eastAsia="en-US" w:bidi="ar-SA"/>
      </w:rPr>
    </w:lvl>
    <w:lvl w:ilvl="6" w:tplc="A0C6438E">
      <w:numFmt w:val="bullet"/>
      <w:lvlText w:val="•"/>
      <w:lvlJc w:val="left"/>
      <w:pPr>
        <w:ind w:left="7132" w:hanging="360"/>
      </w:pPr>
      <w:rPr>
        <w:rFonts w:hint="default"/>
        <w:lang w:val="en-US" w:eastAsia="en-US" w:bidi="ar-SA"/>
      </w:rPr>
    </w:lvl>
    <w:lvl w:ilvl="7" w:tplc="26980C58">
      <w:numFmt w:val="bullet"/>
      <w:lvlText w:val="•"/>
      <w:lvlJc w:val="left"/>
      <w:pPr>
        <w:ind w:left="7964" w:hanging="360"/>
      </w:pPr>
      <w:rPr>
        <w:rFonts w:hint="default"/>
        <w:lang w:val="en-US" w:eastAsia="en-US" w:bidi="ar-SA"/>
      </w:rPr>
    </w:lvl>
    <w:lvl w:ilvl="8" w:tplc="E3D616A0">
      <w:numFmt w:val="bullet"/>
      <w:lvlText w:val="•"/>
      <w:lvlJc w:val="left"/>
      <w:pPr>
        <w:ind w:left="8796" w:hanging="360"/>
      </w:pPr>
      <w:rPr>
        <w:rFonts w:hint="default"/>
        <w:lang w:val="en-US" w:eastAsia="en-US" w:bidi="ar-SA"/>
      </w:rPr>
    </w:lvl>
  </w:abstractNum>
  <w:abstractNum w:abstractNumId="73" w15:restartNumberingAfterBreak="0">
    <w:nsid w:val="49E63D7C"/>
    <w:multiLevelType w:val="hybridMultilevel"/>
    <w:tmpl w:val="8F124B5A"/>
    <w:lvl w:ilvl="0" w:tplc="3654A838">
      <w:start w:val="1"/>
      <w:numFmt w:val="upperLetter"/>
      <w:lvlText w:val="(%1)"/>
      <w:lvlJc w:val="left"/>
      <w:pPr>
        <w:ind w:left="720" w:hanging="360"/>
      </w:pPr>
      <w:rPr>
        <w:rFonts w:hint="default"/>
        <w:b/>
      </w:rPr>
    </w:lvl>
    <w:lvl w:ilvl="1" w:tplc="E23CAA52" w:tentative="1">
      <w:start w:val="1"/>
      <w:numFmt w:val="lowerLetter"/>
      <w:lvlText w:val="%2."/>
      <w:lvlJc w:val="left"/>
      <w:pPr>
        <w:ind w:left="1440" w:hanging="360"/>
      </w:pPr>
    </w:lvl>
    <w:lvl w:ilvl="2" w:tplc="87787804" w:tentative="1">
      <w:start w:val="1"/>
      <w:numFmt w:val="lowerRoman"/>
      <w:lvlText w:val="%3."/>
      <w:lvlJc w:val="right"/>
      <w:pPr>
        <w:ind w:left="2160" w:hanging="180"/>
      </w:pPr>
    </w:lvl>
    <w:lvl w:ilvl="3" w:tplc="CC5C7A78" w:tentative="1">
      <w:start w:val="1"/>
      <w:numFmt w:val="decimal"/>
      <w:lvlText w:val="%4."/>
      <w:lvlJc w:val="left"/>
      <w:pPr>
        <w:ind w:left="2880" w:hanging="360"/>
      </w:pPr>
    </w:lvl>
    <w:lvl w:ilvl="4" w:tplc="F3A6B954" w:tentative="1">
      <w:start w:val="1"/>
      <w:numFmt w:val="lowerLetter"/>
      <w:lvlText w:val="%5."/>
      <w:lvlJc w:val="left"/>
      <w:pPr>
        <w:ind w:left="3600" w:hanging="360"/>
      </w:pPr>
    </w:lvl>
    <w:lvl w:ilvl="5" w:tplc="63F8B45C" w:tentative="1">
      <w:start w:val="1"/>
      <w:numFmt w:val="lowerRoman"/>
      <w:lvlText w:val="%6."/>
      <w:lvlJc w:val="right"/>
      <w:pPr>
        <w:ind w:left="4320" w:hanging="180"/>
      </w:pPr>
    </w:lvl>
    <w:lvl w:ilvl="6" w:tplc="AD52AC04" w:tentative="1">
      <w:start w:val="1"/>
      <w:numFmt w:val="decimal"/>
      <w:lvlText w:val="%7."/>
      <w:lvlJc w:val="left"/>
      <w:pPr>
        <w:ind w:left="5040" w:hanging="360"/>
      </w:pPr>
    </w:lvl>
    <w:lvl w:ilvl="7" w:tplc="846815B6" w:tentative="1">
      <w:start w:val="1"/>
      <w:numFmt w:val="lowerLetter"/>
      <w:lvlText w:val="%8."/>
      <w:lvlJc w:val="left"/>
      <w:pPr>
        <w:ind w:left="5760" w:hanging="360"/>
      </w:pPr>
    </w:lvl>
    <w:lvl w:ilvl="8" w:tplc="25FA57F0" w:tentative="1">
      <w:start w:val="1"/>
      <w:numFmt w:val="lowerRoman"/>
      <w:lvlText w:val="%9."/>
      <w:lvlJc w:val="right"/>
      <w:pPr>
        <w:ind w:left="6480" w:hanging="180"/>
      </w:pPr>
    </w:lvl>
  </w:abstractNum>
  <w:abstractNum w:abstractNumId="74" w15:restartNumberingAfterBreak="0">
    <w:nsid w:val="49F18FFB"/>
    <w:multiLevelType w:val="hybridMultilevel"/>
    <w:tmpl w:val="7BD86777"/>
    <w:lvl w:ilvl="0" w:tplc="83E21736">
      <w:start w:val="1"/>
      <w:numFmt w:val="bullet"/>
      <w:lvlText w:val="o"/>
      <w:lvlJc w:val="left"/>
      <w:pPr>
        <w:tabs>
          <w:tab w:val="num" w:pos="720"/>
        </w:tabs>
        <w:ind w:left="720" w:hanging="360"/>
      </w:pPr>
      <w:rPr>
        <w:rFonts w:ascii="Courier New" w:hAnsi="Courier New"/>
      </w:rPr>
    </w:lvl>
    <w:lvl w:ilvl="1" w:tplc="FA68EBBE">
      <w:start w:val="1"/>
      <w:numFmt w:val="bullet"/>
      <w:lvlText w:val="o"/>
      <w:lvlJc w:val="left"/>
      <w:pPr>
        <w:ind w:left="1440" w:hanging="360"/>
      </w:pPr>
      <w:rPr>
        <w:rFonts w:ascii="Courier New" w:hAnsi="Courier New"/>
      </w:rPr>
    </w:lvl>
    <w:lvl w:ilvl="2" w:tplc="62D64690">
      <w:start w:val="1"/>
      <w:numFmt w:val="bullet"/>
      <w:lvlText w:val=""/>
      <w:lvlJc w:val="left"/>
      <w:pPr>
        <w:tabs>
          <w:tab w:val="num" w:pos="2160"/>
        </w:tabs>
        <w:ind w:left="2160" w:hanging="360"/>
      </w:pPr>
      <w:rPr>
        <w:rFonts w:ascii="Wingdings" w:hAnsi="Wingdings"/>
      </w:rPr>
    </w:lvl>
    <w:lvl w:ilvl="3" w:tplc="55948BD6">
      <w:start w:val="1"/>
      <w:numFmt w:val="bullet"/>
      <w:lvlText w:val=""/>
      <w:lvlJc w:val="left"/>
      <w:pPr>
        <w:tabs>
          <w:tab w:val="num" w:pos="2880"/>
        </w:tabs>
        <w:ind w:left="2880" w:hanging="360"/>
      </w:pPr>
      <w:rPr>
        <w:rFonts w:ascii="Symbol" w:hAnsi="Symbol"/>
      </w:rPr>
    </w:lvl>
    <w:lvl w:ilvl="4" w:tplc="13A0261E">
      <w:start w:val="1"/>
      <w:numFmt w:val="bullet"/>
      <w:lvlText w:val="o"/>
      <w:lvlJc w:val="left"/>
      <w:pPr>
        <w:tabs>
          <w:tab w:val="num" w:pos="3600"/>
        </w:tabs>
        <w:ind w:left="3600" w:hanging="360"/>
      </w:pPr>
      <w:rPr>
        <w:rFonts w:ascii="Courier New" w:hAnsi="Courier New"/>
      </w:rPr>
    </w:lvl>
    <w:lvl w:ilvl="5" w:tplc="D52696FC">
      <w:start w:val="1"/>
      <w:numFmt w:val="bullet"/>
      <w:lvlText w:val=""/>
      <w:lvlJc w:val="left"/>
      <w:pPr>
        <w:tabs>
          <w:tab w:val="num" w:pos="4320"/>
        </w:tabs>
        <w:ind w:left="4320" w:hanging="360"/>
      </w:pPr>
      <w:rPr>
        <w:rFonts w:ascii="Wingdings" w:hAnsi="Wingdings"/>
      </w:rPr>
    </w:lvl>
    <w:lvl w:ilvl="6" w:tplc="A8CC02D8">
      <w:start w:val="1"/>
      <w:numFmt w:val="bullet"/>
      <w:lvlText w:val=""/>
      <w:lvlJc w:val="left"/>
      <w:pPr>
        <w:tabs>
          <w:tab w:val="num" w:pos="5040"/>
        </w:tabs>
        <w:ind w:left="5040" w:hanging="360"/>
      </w:pPr>
      <w:rPr>
        <w:rFonts w:ascii="Symbol" w:hAnsi="Symbol"/>
      </w:rPr>
    </w:lvl>
    <w:lvl w:ilvl="7" w:tplc="7D8A90C8">
      <w:start w:val="1"/>
      <w:numFmt w:val="bullet"/>
      <w:lvlText w:val="o"/>
      <w:lvlJc w:val="left"/>
      <w:pPr>
        <w:tabs>
          <w:tab w:val="num" w:pos="5760"/>
        </w:tabs>
        <w:ind w:left="5760" w:hanging="360"/>
      </w:pPr>
      <w:rPr>
        <w:rFonts w:ascii="Courier New" w:hAnsi="Courier New"/>
      </w:rPr>
    </w:lvl>
    <w:lvl w:ilvl="8" w:tplc="F47839BE">
      <w:start w:val="1"/>
      <w:numFmt w:val="bullet"/>
      <w:lvlText w:val=""/>
      <w:lvlJc w:val="left"/>
      <w:pPr>
        <w:tabs>
          <w:tab w:val="num" w:pos="6480"/>
        </w:tabs>
        <w:ind w:left="6480" w:hanging="360"/>
      </w:pPr>
      <w:rPr>
        <w:rFonts w:ascii="Wingdings" w:hAnsi="Wingdings"/>
      </w:rPr>
    </w:lvl>
  </w:abstractNum>
  <w:abstractNum w:abstractNumId="75" w15:restartNumberingAfterBreak="0">
    <w:nsid w:val="4A7B1AAF"/>
    <w:multiLevelType w:val="hybridMultilevel"/>
    <w:tmpl w:val="7BD8677C"/>
    <w:lvl w:ilvl="0" w:tplc="68A4EEC0">
      <w:start w:val="1"/>
      <w:numFmt w:val="bullet"/>
      <w:lvlText w:val=""/>
      <w:lvlJc w:val="left"/>
      <w:pPr>
        <w:ind w:left="720" w:hanging="360"/>
      </w:pPr>
      <w:rPr>
        <w:rFonts w:ascii="Symbol" w:hAnsi="Symbol"/>
      </w:rPr>
    </w:lvl>
    <w:lvl w:ilvl="1" w:tplc="FC70049E">
      <w:start w:val="1"/>
      <w:numFmt w:val="bullet"/>
      <w:lvlText w:val="o"/>
      <w:lvlJc w:val="left"/>
      <w:pPr>
        <w:tabs>
          <w:tab w:val="num" w:pos="1440"/>
        </w:tabs>
        <w:ind w:left="1440" w:hanging="360"/>
      </w:pPr>
      <w:rPr>
        <w:rFonts w:ascii="Courier New" w:hAnsi="Courier New"/>
      </w:rPr>
    </w:lvl>
    <w:lvl w:ilvl="2" w:tplc="7960E880">
      <w:start w:val="1"/>
      <w:numFmt w:val="bullet"/>
      <w:lvlText w:val=""/>
      <w:lvlJc w:val="left"/>
      <w:pPr>
        <w:tabs>
          <w:tab w:val="num" w:pos="2160"/>
        </w:tabs>
        <w:ind w:left="2160" w:hanging="360"/>
      </w:pPr>
      <w:rPr>
        <w:rFonts w:ascii="Wingdings" w:hAnsi="Wingdings"/>
      </w:rPr>
    </w:lvl>
    <w:lvl w:ilvl="3" w:tplc="2C0299FA">
      <w:start w:val="1"/>
      <w:numFmt w:val="bullet"/>
      <w:lvlText w:val=""/>
      <w:lvlJc w:val="left"/>
      <w:pPr>
        <w:tabs>
          <w:tab w:val="num" w:pos="2880"/>
        </w:tabs>
        <w:ind w:left="2880" w:hanging="360"/>
      </w:pPr>
      <w:rPr>
        <w:rFonts w:ascii="Symbol" w:hAnsi="Symbol"/>
      </w:rPr>
    </w:lvl>
    <w:lvl w:ilvl="4" w:tplc="82C8A7AA">
      <w:start w:val="1"/>
      <w:numFmt w:val="bullet"/>
      <w:lvlText w:val="o"/>
      <w:lvlJc w:val="left"/>
      <w:pPr>
        <w:tabs>
          <w:tab w:val="num" w:pos="3600"/>
        </w:tabs>
        <w:ind w:left="3600" w:hanging="360"/>
      </w:pPr>
      <w:rPr>
        <w:rFonts w:ascii="Courier New" w:hAnsi="Courier New"/>
      </w:rPr>
    </w:lvl>
    <w:lvl w:ilvl="5" w:tplc="AFFA9E92">
      <w:start w:val="1"/>
      <w:numFmt w:val="bullet"/>
      <w:lvlText w:val=""/>
      <w:lvlJc w:val="left"/>
      <w:pPr>
        <w:tabs>
          <w:tab w:val="num" w:pos="4320"/>
        </w:tabs>
        <w:ind w:left="4320" w:hanging="360"/>
      </w:pPr>
      <w:rPr>
        <w:rFonts w:ascii="Wingdings" w:hAnsi="Wingdings"/>
      </w:rPr>
    </w:lvl>
    <w:lvl w:ilvl="6" w:tplc="AE36D63C">
      <w:start w:val="1"/>
      <w:numFmt w:val="bullet"/>
      <w:lvlText w:val=""/>
      <w:lvlJc w:val="left"/>
      <w:pPr>
        <w:tabs>
          <w:tab w:val="num" w:pos="5040"/>
        </w:tabs>
        <w:ind w:left="5040" w:hanging="360"/>
      </w:pPr>
      <w:rPr>
        <w:rFonts w:ascii="Symbol" w:hAnsi="Symbol"/>
      </w:rPr>
    </w:lvl>
    <w:lvl w:ilvl="7" w:tplc="5DAE5D2A">
      <w:start w:val="1"/>
      <w:numFmt w:val="bullet"/>
      <w:lvlText w:val="o"/>
      <w:lvlJc w:val="left"/>
      <w:pPr>
        <w:tabs>
          <w:tab w:val="num" w:pos="5760"/>
        </w:tabs>
        <w:ind w:left="5760" w:hanging="360"/>
      </w:pPr>
      <w:rPr>
        <w:rFonts w:ascii="Courier New" w:hAnsi="Courier New"/>
      </w:rPr>
    </w:lvl>
    <w:lvl w:ilvl="8" w:tplc="6E9E02A0">
      <w:start w:val="1"/>
      <w:numFmt w:val="bullet"/>
      <w:lvlText w:val=""/>
      <w:lvlJc w:val="left"/>
      <w:pPr>
        <w:tabs>
          <w:tab w:val="num" w:pos="6480"/>
        </w:tabs>
        <w:ind w:left="6480" w:hanging="360"/>
      </w:pPr>
      <w:rPr>
        <w:rFonts w:ascii="Wingdings" w:hAnsi="Wingdings"/>
      </w:rPr>
    </w:lvl>
  </w:abstractNum>
  <w:abstractNum w:abstractNumId="76" w15:restartNumberingAfterBreak="0">
    <w:nsid w:val="4C220073"/>
    <w:multiLevelType w:val="hybridMultilevel"/>
    <w:tmpl w:val="FB9AE19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7" w15:restartNumberingAfterBreak="0">
    <w:nsid w:val="4D945FD0"/>
    <w:multiLevelType w:val="hybridMultilevel"/>
    <w:tmpl w:val="9FAC2828"/>
    <w:lvl w:ilvl="0" w:tplc="8ACC43CC">
      <w:start w:val="1"/>
      <w:numFmt w:val="lowerLetter"/>
      <w:lvlText w:val="%1."/>
      <w:lvlJc w:val="left"/>
      <w:pPr>
        <w:ind w:left="720" w:hanging="360"/>
      </w:pPr>
      <w:rPr>
        <w:rFonts w:hint="default"/>
        <w:b/>
      </w:rPr>
    </w:lvl>
    <w:lvl w:ilvl="1" w:tplc="5A92FC16" w:tentative="1">
      <w:start w:val="1"/>
      <w:numFmt w:val="lowerLetter"/>
      <w:lvlText w:val="%2."/>
      <w:lvlJc w:val="left"/>
      <w:pPr>
        <w:ind w:left="1440" w:hanging="360"/>
      </w:pPr>
    </w:lvl>
    <w:lvl w:ilvl="2" w:tplc="9C587784" w:tentative="1">
      <w:start w:val="1"/>
      <w:numFmt w:val="lowerRoman"/>
      <w:lvlText w:val="%3."/>
      <w:lvlJc w:val="right"/>
      <w:pPr>
        <w:ind w:left="2160" w:hanging="180"/>
      </w:pPr>
    </w:lvl>
    <w:lvl w:ilvl="3" w:tplc="6B8EB706" w:tentative="1">
      <w:start w:val="1"/>
      <w:numFmt w:val="decimal"/>
      <w:lvlText w:val="%4."/>
      <w:lvlJc w:val="left"/>
      <w:pPr>
        <w:ind w:left="2880" w:hanging="360"/>
      </w:pPr>
    </w:lvl>
    <w:lvl w:ilvl="4" w:tplc="ED58F198" w:tentative="1">
      <w:start w:val="1"/>
      <w:numFmt w:val="lowerLetter"/>
      <w:lvlText w:val="%5."/>
      <w:lvlJc w:val="left"/>
      <w:pPr>
        <w:ind w:left="3600" w:hanging="360"/>
      </w:pPr>
    </w:lvl>
    <w:lvl w:ilvl="5" w:tplc="04D84176" w:tentative="1">
      <w:start w:val="1"/>
      <w:numFmt w:val="lowerRoman"/>
      <w:lvlText w:val="%6."/>
      <w:lvlJc w:val="right"/>
      <w:pPr>
        <w:ind w:left="4320" w:hanging="180"/>
      </w:pPr>
    </w:lvl>
    <w:lvl w:ilvl="6" w:tplc="98E4CABC" w:tentative="1">
      <w:start w:val="1"/>
      <w:numFmt w:val="decimal"/>
      <w:lvlText w:val="%7."/>
      <w:lvlJc w:val="left"/>
      <w:pPr>
        <w:ind w:left="5040" w:hanging="360"/>
      </w:pPr>
    </w:lvl>
    <w:lvl w:ilvl="7" w:tplc="2ECEFACE" w:tentative="1">
      <w:start w:val="1"/>
      <w:numFmt w:val="lowerLetter"/>
      <w:lvlText w:val="%8."/>
      <w:lvlJc w:val="left"/>
      <w:pPr>
        <w:ind w:left="5760" w:hanging="360"/>
      </w:pPr>
    </w:lvl>
    <w:lvl w:ilvl="8" w:tplc="4548465C" w:tentative="1">
      <w:start w:val="1"/>
      <w:numFmt w:val="lowerRoman"/>
      <w:lvlText w:val="%9."/>
      <w:lvlJc w:val="right"/>
      <w:pPr>
        <w:ind w:left="6480" w:hanging="180"/>
      </w:pPr>
    </w:lvl>
  </w:abstractNum>
  <w:abstractNum w:abstractNumId="78" w15:restartNumberingAfterBreak="0">
    <w:nsid w:val="4DB61088"/>
    <w:multiLevelType w:val="hybridMultilevel"/>
    <w:tmpl w:val="C102DB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15:restartNumberingAfterBreak="0">
    <w:nsid w:val="4E2223B6"/>
    <w:multiLevelType w:val="hybridMultilevel"/>
    <w:tmpl w:val="9938908E"/>
    <w:lvl w:ilvl="0" w:tplc="A06E0450">
      <w:start w:val="1"/>
      <w:numFmt w:val="bullet"/>
      <w:lvlText w:val=""/>
      <w:lvlJc w:val="left"/>
      <w:pPr>
        <w:ind w:left="2520" w:hanging="360"/>
      </w:pPr>
      <w:rPr>
        <w:rFonts w:ascii="Symbol" w:hAnsi="Symbol" w:hint="default"/>
      </w:rPr>
    </w:lvl>
    <w:lvl w:ilvl="1" w:tplc="D69CC384" w:tentative="1">
      <w:start w:val="1"/>
      <w:numFmt w:val="bullet"/>
      <w:lvlText w:val="o"/>
      <w:lvlJc w:val="left"/>
      <w:pPr>
        <w:ind w:left="3240" w:hanging="360"/>
      </w:pPr>
      <w:rPr>
        <w:rFonts w:ascii="Courier New" w:hAnsi="Courier New" w:cs="Courier New" w:hint="default"/>
      </w:rPr>
    </w:lvl>
    <w:lvl w:ilvl="2" w:tplc="370651FC" w:tentative="1">
      <w:start w:val="1"/>
      <w:numFmt w:val="bullet"/>
      <w:lvlText w:val=""/>
      <w:lvlJc w:val="left"/>
      <w:pPr>
        <w:ind w:left="3960" w:hanging="360"/>
      </w:pPr>
      <w:rPr>
        <w:rFonts w:ascii="Wingdings" w:hAnsi="Wingdings" w:hint="default"/>
      </w:rPr>
    </w:lvl>
    <w:lvl w:ilvl="3" w:tplc="A4DC1ED0" w:tentative="1">
      <w:start w:val="1"/>
      <w:numFmt w:val="bullet"/>
      <w:lvlText w:val=""/>
      <w:lvlJc w:val="left"/>
      <w:pPr>
        <w:ind w:left="4680" w:hanging="360"/>
      </w:pPr>
      <w:rPr>
        <w:rFonts w:ascii="Symbol" w:hAnsi="Symbol" w:hint="default"/>
      </w:rPr>
    </w:lvl>
    <w:lvl w:ilvl="4" w:tplc="7B6E94FE" w:tentative="1">
      <w:start w:val="1"/>
      <w:numFmt w:val="bullet"/>
      <w:lvlText w:val="o"/>
      <w:lvlJc w:val="left"/>
      <w:pPr>
        <w:ind w:left="5400" w:hanging="360"/>
      </w:pPr>
      <w:rPr>
        <w:rFonts w:ascii="Courier New" w:hAnsi="Courier New" w:cs="Courier New" w:hint="default"/>
      </w:rPr>
    </w:lvl>
    <w:lvl w:ilvl="5" w:tplc="571075F6" w:tentative="1">
      <w:start w:val="1"/>
      <w:numFmt w:val="bullet"/>
      <w:lvlText w:val=""/>
      <w:lvlJc w:val="left"/>
      <w:pPr>
        <w:ind w:left="6120" w:hanging="360"/>
      </w:pPr>
      <w:rPr>
        <w:rFonts w:ascii="Wingdings" w:hAnsi="Wingdings" w:hint="default"/>
      </w:rPr>
    </w:lvl>
    <w:lvl w:ilvl="6" w:tplc="C08A0162" w:tentative="1">
      <w:start w:val="1"/>
      <w:numFmt w:val="bullet"/>
      <w:lvlText w:val=""/>
      <w:lvlJc w:val="left"/>
      <w:pPr>
        <w:ind w:left="6840" w:hanging="360"/>
      </w:pPr>
      <w:rPr>
        <w:rFonts w:ascii="Symbol" w:hAnsi="Symbol" w:hint="default"/>
      </w:rPr>
    </w:lvl>
    <w:lvl w:ilvl="7" w:tplc="76B435D6" w:tentative="1">
      <w:start w:val="1"/>
      <w:numFmt w:val="bullet"/>
      <w:lvlText w:val="o"/>
      <w:lvlJc w:val="left"/>
      <w:pPr>
        <w:ind w:left="7560" w:hanging="360"/>
      </w:pPr>
      <w:rPr>
        <w:rFonts w:ascii="Courier New" w:hAnsi="Courier New" w:cs="Courier New" w:hint="default"/>
      </w:rPr>
    </w:lvl>
    <w:lvl w:ilvl="8" w:tplc="C0E0E602" w:tentative="1">
      <w:start w:val="1"/>
      <w:numFmt w:val="bullet"/>
      <w:lvlText w:val=""/>
      <w:lvlJc w:val="left"/>
      <w:pPr>
        <w:ind w:left="8280" w:hanging="360"/>
      </w:pPr>
      <w:rPr>
        <w:rFonts w:ascii="Wingdings" w:hAnsi="Wingdings" w:hint="default"/>
      </w:rPr>
    </w:lvl>
  </w:abstractNum>
  <w:abstractNum w:abstractNumId="80" w15:restartNumberingAfterBreak="0">
    <w:nsid w:val="4E350131"/>
    <w:multiLevelType w:val="hybridMultilevel"/>
    <w:tmpl w:val="C2001B38"/>
    <w:lvl w:ilvl="0" w:tplc="EFB20430">
      <w:start w:val="1"/>
      <w:numFmt w:val="bullet"/>
      <w:lvlText w:val=""/>
      <w:lvlJc w:val="left"/>
      <w:pPr>
        <w:ind w:left="36" w:hanging="360"/>
      </w:pPr>
      <w:rPr>
        <w:rFonts w:ascii="Symbol" w:hAnsi="Symbol" w:hint="default"/>
      </w:rPr>
    </w:lvl>
    <w:lvl w:ilvl="1" w:tplc="FCF4B80A">
      <w:start w:val="1"/>
      <w:numFmt w:val="bullet"/>
      <w:lvlText w:val="o"/>
      <w:lvlJc w:val="left"/>
      <w:pPr>
        <w:ind w:left="756" w:hanging="360"/>
      </w:pPr>
      <w:rPr>
        <w:rFonts w:ascii="Courier New" w:hAnsi="Courier New" w:cs="Courier New" w:hint="default"/>
      </w:rPr>
    </w:lvl>
    <w:lvl w:ilvl="2" w:tplc="C76E5EDC">
      <w:start w:val="1"/>
      <w:numFmt w:val="bullet"/>
      <w:lvlText w:val=""/>
      <w:lvlJc w:val="left"/>
      <w:pPr>
        <w:ind w:left="1476" w:hanging="360"/>
      </w:pPr>
      <w:rPr>
        <w:rFonts w:ascii="Wingdings" w:hAnsi="Wingdings" w:hint="default"/>
      </w:rPr>
    </w:lvl>
    <w:lvl w:ilvl="3" w:tplc="88C2ED58">
      <w:start w:val="1"/>
      <w:numFmt w:val="bullet"/>
      <w:lvlText w:val=""/>
      <w:lvlJc w:val="left"/>
      <w:pPr>
        <w:ind w:left="2196" w:hanging="360"/>
      </w:pPr>
      <w:rPr>
        <w:rFonts w:ascii="Symbol" w:hAnsi="Symbol" w:hint="default"/>
      </w:rPr>
    </w:lvl>
    <w:lvl w:ilvl="4" w:tplc="E110DE88" w:tentative="1">
      <w:start w:val="1"/>
      <w:numFmt w:val="bullet"/>
      <w:lvlText w:val="o"/>
      <w:lvlJc w:val="left"/>
      <w:pPr>
        <w:ind w:left="2916" w:hanging="360"/>
      </w:pPr>
      <w:rPr>
        <w:rFonts w:ascii="Courier New" w:hAnsi="Courier New" w:cs="Courier New" w:hint="default"/>
      </w:rPr>
    </w:lvl>
    <w:lvl w:ilvl="5" w:tplc="BFC47D66" w:tentative="1">
      <w:start w:val="1"/>
      <w:numFmt w:val="bullet"/>
      <w:lvlText w:val=""/>
      <w:lvlJc w:val="left"/>
      <w:pPr>
        <w:ind w:left="3636" w:hanging="360"/>
      </w:pPr>
      <w:rPr>
        <w:rFonts w:ascii="Wingdings" w:hAnsi="Wingdings" w:hint="default"/>
      </w:rPr>
    </w:lvl>
    <w:lvl w:ilvl="6" w:tplc="4FA8612E" w:tentative="1">
      <w:start w:val="1"/>
      <w:numFmt w:val="bullet"/>
      <w:lvlText w:val=""/>
      <w:lvlJc w:val="left"/>
      <w:pPr>
        <w:ind w:left="4356" w:hanging="360"/>
      </w:pPr>
      <w:rPr>
        <w:rFonts w:ascii="Symbol" w:hAnsi="Symbol" w:hint="default"/>
      </w:rPr>
    </w:lvl>
    <w:lvl w:ilvl="7" w:tplc="BC964450" w:tentative="1">
      <w:start w:val="1"/>
      <w:numFmt w:val="bullet"/>
      <w:lvlText w:val="o"/>
      <w:lvlJc w:val="left"/>
      <w:pPr>
        <w:ind w:left="5076" w:hanging="360"/>
      </w:pPr>
      <w:rPr>
        <w:rFonts w:ascii="Courier New" w:hAnsi="Courier New" w:cs="Courier New" w:hint="default"/>
      </w:rPr>
    </w:lvl>
    <w:lvl w:ilvl="8" w:tplc="0E5C2FEC" w:tentative="1">
      <w:start w:val="1"/>
      <w:numFmt w:val="bullet"/>
      <w:lvlText w:val=""/>
      <w:lvlJc w:val="left"/>
      <w:pPr>
        <w:ind w:left="5796" w:hanging="360"/>
      </w:pPr>
      <w:rPr>
        <w:rFonts w:ascii="Wingdings" w:hAnsi="Wingdings" w:hint="default"/>
      </w:rPr>
    </w:lvl>
  </w:abstractNum>
  <w:abstractNum w:abstractNumId="81" w15:restartNumberingAfterBreak="0">
    <w:nsid w:val="4F0D2BEA"/>
    <w:multiLevelType w:val="hybridMultilevel"/>
    <w:tmpl w:val="7BD86779"/>
    <w:lvl w:ilvl="0" w:tplc="B686D912">
      <w:start w:val="1"/>
      <w:numFmt w:val="bullet"/>
      <w:lvlText w:val=""/>
      <w:lvlJc w:val="left"/>
      <w:pPr>
        <w:ind w:left="720" w:hanging="360"/>
      </w:pPr>
      <w:rPr>
        <w:rFonts w:ascii="Symbol" w:hAnsi="Symbol"/>
      </w:rPr>
    </w:lvl>
    <w:lvl w:ilvl="1" w:tplc="307A2BB4">
      <w:start w:val="1"/>
      <w:numFmt w:val="bullet"/>
      <w:lvlText w:val="o"/>
      <w:lvlJc w:val="left"/>
      <w:pPr>
        <w:tabs>
          <w:tab w:val="num" w:pos="1440"/>
        </w:tabs>
        <w:ind w:left="1440" w:hanging="360"/>
      </w:pPr>
      <w:rPr>
        <w:rFonts w:ascii="Courier New" w:hAnsi="Courier New"/>
      </w:rPr>
    </w:lvl>
    <w:lvl w:ilvl="2" w:tplc="17BCD12E">
      <w:start w:val="1"/>
      <w:numFmt w:val="bullet"/>
      <w:lvlText w:val=""/>
      <w:lvlJc w:val="left"/>
      <w:pPr>
        <w:tabs>
          <w:tab w:val="num" w:pos="2160"/>
        </w:tabs>
        <w:ind w:left="2160" w:hanging="360"/>
      </w:pPr>
      <w:rPr>
        <w:rFonts w:ascii="Wingdings" w:hAnsi="Wingdings"/>
      </w:rPr>
    </w:lvl>
    <w:lvl w:ilvl="3" w:tplc="8188E040">
      <w:start w:val="1"/>
      <w:numFmt w:val="bullet"/>
      <w:lvlText w:val=""/>
      <w:lvlJc w:val="left"/>
      <w:pPr>
        <w:tabs>
          <w:tab w:val="num" w:pos="2880"/>
        </w:tabs>
        <w:ind w:left="2880" w:hanging="360"/>
      </w:pPr>
      <w:rPr>
        <w:rFonts w:ascii="Symbol" w:hAnsi="Symbol"/>
      </w:rPr>
    </w:lvl>
    <w:lvl w:ilvl="4" w:tplc="A4CCBA24">
      <w:start w:val="1"/>
      <w:numFmt w:val="bullet"/>
      <w:lvlText w:val="o"/>
      <w:lvlJc w:val="left"/>
      <w:pPr>
        <w:tabs>
          <w:tab w:val="num" w:pos="3600"/>
        </w:tabs>
        <w:ind w:left="3600" w:hanging="360"/>
      </w:pPr>
      <w:rPr>
        <w:rFonts w:ascii="Courier New" w:hAnsi="Courier New"/>
      </w:rPr>
    </w:lvl>
    <w:lvl w:ilvl="5" w:tplc="70EC6624">
      <w:start w:val="1"/>
      <w:numFmt w:val="bullet"/>
      <w:lvlText w:val=""/>
      <w:lvlJc w:val="left"/>
      <w:pPr>
        <w:tabs>
          <w:tab w:val="num" w:pos="4320"/>
        </w:tabs>
        <w:ind w:left="4320" w:hanging="360"/>
      </w:pPr>
      <w:rPr>
        <w:rFonts w:ascii="Wingdings" w:hAnsi="Wingdings"/>
      </w:rPr>
    </w:lvl>
    <w:lvl w:ilvl="6" w:tplc="1192511C">
      <w:start w:val="1"/>
      <w:numFmt w:val="bullet"/>
      <w:lvlText w:val=""/>
      <w:lvlJc w:val="left"/>
      <w:pPr>
        <w:tabs>
          <w:tab w:val="num" w:pos="5040"/>
        </w:tabs>
        <w:ind w:left="5040" w:hanging="360"/>
      </w:pPr>
      <w:rPr>
        <w:rFonts w:ascii="Symbol" w:hAnsi="Symbol"/>
      </w:rPr>
    </w:lvl>
    <w:lvl w:ilvl="7" w:tplc="1DE64FBC">
      <w:start w:val="1"/>
      <w:numFmt w:val="bullet"/>
      <w:lvlText w:val="o"/>
      <w:lvlJc w:val="left"/>
      <w:pPr>
        <w:tabs>
          <w:tab w:val="num" w:pos="5760"/>
        </w:tabs>
        <w:ind w:left="5760" w:hanging="360"/>
      </w:pPr>
      <w:rPr>
        <w:rFonts w:ascii="Courier New" w:hAnsi="Courier New"/>
      </w:rPr>
    </w:lvl>
    <w:lvl w:ilvl="8" w:tplc="2E0AADFA">
      <w:start w:val="1"/>
      <w:numFmt w:val="bullet"/>
      <w:lvlText w:val=""/>
      <w:lvlJc w:val="left"/>
      <w:pPr>
        <w:tabs>
          <w:tab w:val="num" w:pos="6480"/>
        </w:tabs>
        <w:ind w:left="6480" w:hanging="360"/>
      </w:pPr>
      <w:rPr>
        <w:rFonts w:ascii="Wingdings" w:hAnsi="Wingdings"/>
      </w:rPr>
    </w:lvl>
  </w:abstractNum>
  <w:abstractNum w:abstractNumId="82" w15:restartNumberingAfterBreak="0">
    <w:nsid w:val="51101846"/>
    <w:multiLevelType w:val="hybridMultilevel"/>
    <w:tmpl w:val="C9124BB2"/>
    <w:lvl w:ilvl="0" w:tplc="0B0629B0">
      <w:start w:val="1"/>
      <w:numFmt w:val="bullet"/>
      <w:lvlText w:val=""/>
      <w:lvlJc w:val="left"/>
      <w:pPr>
        <w:ind w:left="3384" w:hanging="360"/>
      </w:pPr>
      <w:rPr>
        <w:rFonts w:ascii="Symbol" w:hAnsi="Symbol" w:hint="default"/>
        <w:color w:val="auto"/>
      </w:rPr>
    </w:lvl>
    <w:lvl w:ilvl="1" w:tplc="CB6A5000">
      <w:start w:val="1"/>
      <w:numFmt w:val="bullet"/>
      <w:lvlText w:val="o"/>
      <w:lvlJc w:val="left"/>
      <w:pPr>
        <w:ind w:left="4104" w:hanging="360"/>
      </w:pPr>
      <w:rPr>
        <w:rFonts w:ascii="Courier New" w:hAnsi="Courier New" w:cs="Courier New" w:hint="default"/>
      </w:rPr>
    </w:lvl>
    <w:lvl w:ilvl="2" w:tplc="92069E7E" w:tentative="1">
      <w:start w:val="1"/>
      <w:numFmt w:val="bullet"/>
      <w:lvlText w:val=""/>
      <w:lvlJc w:val="left"/>
      <w:pPr>
        <w:ind w:left="4824" w:hanging="360"/>
      </w:pPr>
      <w:rPr>
        <w:rFonts w:ascii="Wingdings" w:hAnsi="Wingdings" w:hint="default"/>
      </w:rPr>
    </w:lvl>
    <w:lvl w:ilvl="3" w:tplc="F5A2CCE0" w:tentative="1">
      <w:start w:val="1"/>
      <w:numFmt w:val="bullet"/>
      <w:lvlText w:val=""/>
      <w:lvlJc w:val="left"/>
      <w:pPr>
        <w:ind w:left="5544" w:hanging="360"/>
      </w:pPr>
      <w:rPr>
        <w:rFonts w:ascii="Symbol" w:hAnsi="Symbol" w:hint="default"/>
      </w:rPr>
    </w:lvl>
    <w:lvl w:ilvl="4" w:tplc="6460102C" w:tentative="1">
      <w:start w:val="1"/>
      <w:numFmt w:val="bullet"/>
      <w:lvlText w:val="o"/>
      <w:lvlJc w:val="left"/>
      <w:pPr>
        <w:ind w:left="6264" w:hanging="360"/>
      </w:pPr>
      <w:rPr>
        <w:rFonts w:ascii="Courier New" w:hAnsi="Courier New" w:cs="Courier New" w:hint="default"/>
      </w:rPr>
    </w:lvl>
    <w:lvl w:ilvl="5" w:tplc="E1285ABE" w:tentative="1">
      <w:start w:val="1"/>
      <w:numFmt w:val="bullet"/>
      <w:lvlText w:val=""/>
      <w:lvlJc w:val="left"/>
      <w:pPr>
        <w:ind w:left="6984" w:hanging="360"/>
      </w:pPr>
      <w:rPr>
        <w:rFonts w:ascii="Wingdings" w:hAnsi="Wingdings" w:hint="default"/>
      </w:rPr>
    </w:lvl>
    <w:lvl w:ilvl="6" w:tplc="8D821FF4" w:tentative="1">
      <w:start w:val="1"/>
      <w:numFmt w:val="bullet"/>
      <w:lvlText w:val=""/>
      <w:lvlJc w:val="left"/>
      <w:pPr>
        <w:ind w:left="7704" w:hanging="360"/>
      </w:pPr>
      <w:rPr>
        <w:rFonts w:ascii="Symbol" w:hAnsi="Symbol" w:hint="default"/>
      </w:rPr>
    </w:lvl>
    <w:lvl w:ilvl="7" w:tplc="322E728E" w:tentative="1">
      <w:start w:val="1"/>
      <w:numFmt w:val="bullet"/>
      <w:lvlText w:val="o"/>
      <w:lvlJc w:val="left"/>
      <w:pPr>
        <w:ind w:left="8424" w:hanging="360"/>
      </w:pPr>
      <w:rPr>
        <w:rFonts w:ascii="Courier New" w:hAnsi="Courier New" w:cs="Courier New" w:hint="default"/>
      </w:rPr>
    </w:lvl>
    <w:lvl w:ilvl="8" w:tplc="3AB23B30" w:tentative="1">
      <w:start w:val="1"/>
      <w:numFmt w:val="bullet"/>
      <w:lvlText w:val=""/>
      <w:lvlJc w:val="left"/>
      <w:pPr>
        <w:ind w:left="9144" w:hanging="360"/>
      </w:pPr>
      <w:rPr>
        <w:rFonts w:ascii="Wingdings" w:hAnsi="Wingdings" w:hint="default"/>
      </w:rPr>
    </w:lvl>
  </w:abstractNum>
  <w:abstractNum w:abstractNumId="83" w15:restartNumberingAfterBreak="0">
    <w:nsid w:val="511A079A"/>
    <w:multiLevelType w:val="hybridMultilevel"/>
    <w:tmpl w:val="DA28ACFE"/>
    <w:lvl w:ilvl="0" w:tplc="6D5E2502">
      <w:start w:val="1"/>
      <w:numFmt w:val="lowerRoman"/>
      <w:lvlText w:val="%1."/>
      <w:lvlJc w:val="right"/>
      <w:pPr>
        <w:ind w:left="720" w:hanging="360"/>
      </w:pPr>
      <w:rPr>
        <w:rFonts w:hint="default"/>
        <w:b/>
      </w:rPr>
    </w:lvl>
    <w:lvl w:ilvl="1" w:tplc="2F122666" w:tentative="1">
      <w:start w:val="1"/>
      <w:numFmt w:val="lowerLetter"/>
      <w:lvlText w:val="%2."/>
      <w:lvlJc w:val="left"/>
      <w:pPr>
        <w:ind w:left="1440" w:hanging="360"/>
      </w:pPr>
    </w:lvl>
    <w:lvl w:ilvl="2" w:tplc="81342676" w:tentative="1">
      <w:start w:val="1"/>
      <w:numFmt w:val="lowerRoman"/>
      <w:lvlText w:val="%3."/>
      <w:lvlJc w:val="right"/>
      <w:pPr>
        <w:ind w:left="2160" w:hanging="180"/>
      </w:pPr>
    </w:lvl>
    <w:lvl w:ilvl="3" w:tplc="D1CAC574" w:tentative="1">
      <w:start w:val="1"/>
      <w:numFmt w:val="decimal"/>
      <w:lvlText w:val="%4."/>
      <w:lvlJc w:val="left"/>
      <w:pPr>
        <w:ind w:left="2880" w:hanging="360"/>
      </w:pPr>
    </w:lvl>
    <w:lvl w:ilvl="4" w:tplc="86D4D268" w:tentative="1">
      <w:start w:val="1"/>
      <w:numFmt w:val="lowerLetter"/>
      <w:lvlText w:val="%5."/>
      <w:lvlJc w:val="left"/>
      <w:pPr>
        <w:ind w:left="3600" w:hanging="360"/>
      </w:pPr>
    </w:lvl>
    <w:lvl w:ilvl="5" w:tplc="87E28204" w:tentative="1">
      <w:start w:val="1"/>
      <w:numFmt w:val="lowerRoman"/>
      <w:lvlText w:val="%6."/>
      <w:lvlJc w:val="right"/>
      <w:pPr>
        <w:ind w:left="4320" w:hanging="180"/>
      </w:pPr>
    </w:lvl>
    <w:lvl w:ilvl="6" w:tplc="4FDABC02" w:tentative="1">
      <w:start w:val="1"/>
      <w:numFmt w:val="decimal"/>
      <w:lvlText w:val="%7."/>
      <w:lvlJc w:val="left"/>
      <w:pPr>
        <w:ind w:left="5040" w:hanging="360"/>
      </w:pPr>
    </w:lvl>
    <w:lvl w:ilvl="7" w:tplc="2BEEC550" w:tentative="1">
      <w:start w:val="1"/>
      <w:numFmt w:val="lowerLetter"/>
      <w:lvlText w:val="%8."/>
      <w:lvlJc w:val="left"/>
      <w:pPr>
        <w:ind w:left="5760" w:hanging="360"/>
      </w:pPr>
    </w:lvl>
    <w:lvl w:ilvl="8" w:tplc="19228164" w:tentative="1">
      <w:start w:val="1"/>
      <w:numFmt w:val="lowerRoman"/>
      <w:lvlText w:val="%9."/>
      <w:lvlJc w:val="right"/>
      <w:pPr>
        <w:ind w:left="6480" w:hanging="180"/>
      </w:pPr>
    </w:lvl>
  </w:abstractNum>
  <w:abstractNum w:abstractNumId="84" w15:restartNumberingAfterBreak="0">
    <w:nsid w:val="540D483F"/>
    <w:multiLevelType w:val="hybridMultilevel"/>
    <w:tmpl w:val="132606CE"/>
    <w:lvl w:ilvl="0" w:tplc="F482BE34">
      <w:start w:val="1"/>
      <w:numFmt w:val="bullet"/>
      <w:lvlText w:val=""/>
      <w:lvlJc w:val="left"/>
      <w:pPr>
        <w:ind w:left="720" w:hanging="360"/>
      </w:pPr>
      <w:rPr>
        <w:rFonts w:ascii="Symbol" w:hAnsi="Symbol" w:hint="default"/>
      </w:rPr>
    </w:lvl>
    <w:lvl w:ilvl="1" w:tplc="7A6857DA">
      <w:start w:val="1"/>
      <w:numFmt w:val="bullet"/>
      <w:lvlText w:val=""/>
      <w:lvlJc w:val="left"/>
      <w:pPr>
        <w:ind w:left="1440" w:hanging="360"/>
      </w:pPr>
      <w:rPr>
        <w:rFonts w:ascii="Symbol" w:hAnsi="Symbol" w:hint="default"/>
      </w:rPr>
    </w:lvl>
    <w:lvl w:ilvl="2" w:tplc="D6D084A6">
      <w:start w:val="1"/>
      <w:numFmt w:val="bullet"/>
      <w:lvlText w:val=""/>
      <w:lvlJc w:val="left"/>
      <w:pPr>
        <w:ind w:left="2160" w:hanging="360"/>
      </w:pPr>
      <w:rPr>
        <w:rFonts w:ascii="Wingdings" w:hAnsi="Wingdings" w:hint="default"/>
      </w:rPr>
    </w:lvl>
    <w:lvl w:ilvl="3" w:tplc="40D4652A" w:tentative="1">
      <w:start w:val="1"/>
      <w:numFmt w:val="bullet"/>
      <w:lvlText w:val=""/>
      <w:lvlJc w:val="left"/>
      <w:pPr>
        <w:ind w:left="2880" w:hanging="360"/>
      </w:pPr>
      <w:rPr>
        <w:rFonts w:ascii="Symbol" w:hAnsi="Symbol" w:hint="default"/>
      </w:rPr>
    </w:lvl>
    <w:lvl w:ilvl="4" w:tplc="7624BEB2" w:tentative="1">
      <w:start w:val="1"/>
      <w:numFmt w:val="bullet"/>
      <w:lvlText w:val="o"/>
      <w:lvlJc w:val="left"/>
      <w:pPr>
        <w:ind w:left="3600" w:hanging="360"/>
      </w:pPr>
      <w:rPr>
        <w:rFonts w:ascii="Courier New" w:hAnsi="Courier New" w:cs="Courier New" w:hint="default"/>
      </w:rPr>
    </w:lvl>
    <w:lvl w:ilvl="5" w:tplc="60B8ECB0" w:tentative="1">
      <w:start w:val="1"/>
      <w:numFmt w:val="bullet"/>
      <w:lvlText w:val=""/>
      <w:lvlJc w:val="left"/>
      <w:pPr>
        <w:ind w:left="4320" w:hanging="360"/>
      </w:pPr>
      <w:rPr>
        <w:rFonts w:ascii="Wingdings" w:hAnsi="Wingdings" w:hint="default"/>
      </w:rPr>
    </w:lvl>
    <w:lvl w:ilvl="6" w:tplc="AAC847EA" w:tentative="1">
      <w:start w:val="1"/>
      <w:numFmt w:val="bullet"/>
      <w:lvlText w:val=""/>
      <w:lvlJc w:val="left"/>
      <w:pPr>
        <w:ind w:left="5040" w:hanging="360"/>
      </w:pPr>
      <w:rPr>
        <w:rFonts w:ascii="Symbol" w:hAnsi="Symbol" w:hint="default"/>
      </w:rPr>
    </w:lvl>
    <w:lvl w:ilvl="7" w:tplc="51246764" w:tentative="1">
      <w:start w:val="1"/>
      <w:numFmt w:val="bullet"/>
      <w:lvlText w:val="o"/>
      <w:lvlJc w:val="left"/>
      <w:pPr>
        <w:ind w:left="5760" w:hanging="360"/>
      </w:pPr>
      <w:rPr>
        <w:rFonts w:ascii="Courier New" w:hAnsi="Courier New" w:cs="Courier New" w:hint="default"/>
      </w:rPr>
    </w:lvl>
    <w:lvl w:ilvl="8" w:tplc="EB5A6A66" w:tentative="1">
      <w:start w:val="1"/>
      <w:numFmt w:val="bullet"/>
      <w:lvlText w:val=""/>
      <w:lvlJc w:val="left"/>
      <w:pPr>
        <w:ind w:left="6480" w:hanging="360"/>
      </w:pPr>
      <w:rPr>
        <w:rFonts w:ascii="Wingdings" w:hAnsi="Wingdings" w:hint="default"/>
      </w:rPr>
    </w:lvl>
  </w:abstractNum>
  <w:abstractNum w:abstractNumId="85" w15:restartNumberingAfterBreak="0">
    <w:nsid w:val="548E0DD0"/>
    <w:multiLevelType w:val="multilevel"/>
    <w:tmpl w:val="4FE8CD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55E905FF"/>
    <w:multiLevelType w:val="multilevel"/>
    <w:tmpl w:val="5476AB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574367CB"/>
    <w:multiLevelType w:val="hybridMultilevel"/>
    <w:tmpl w:val="26A4E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57D96B99"/>
    <w:multiLevelType w:val="hybridMultilevel"/>
    <w:tmpl w:val="229E5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87F46C4"/>
    <w:multiLevelType w:val="hybridMultilevel"/>
    <w:tmpl w:val="B87AD86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E9EC9A14">
      <w:start w:val="1"/>
      <w:numFmt w:val="lowerRoman"/>
      <w:lvlText w:val="%3."/>
      <w:lvlJc w:val="right"/>
      <w:pPr>
        <w:ind w:left="2160" w:hanging="180"/>
      </w:pPr>
      <w:rPr>
        <w:b w:val="0"/>
        <w:bCs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88A7ED3"/>
    <w:multiLevelType w:val="hybridMultilevel"/>
    <w:tmpl w:val="EBE093C6"/>
    <w:lvl w:ilvl="0" w:tplc="DC6A6F3C">
      <w:start w:val="1"/>
      <w:numFmt w:val="bullet"/>
      <w:lvlText w:val=""/>
      <w:lvlJc w:val="left"/>
      <w:pPr>
        <w:ind w:left="2520" w:hanging="360"/>
      </w:pPr>
      <w:rPr>
        <w:rFonts w:ascii="Symbol" w:hAnsi="Symbol" w:hint="default"/>
        <w:i w:val="0"/>
      </w:rPr>
    </w:lvl>
    <w:lvl w:ilvl="1" w:tplc="D1E6F430" w:tentative="1">
      <w:start w:val="1"/>
      <w:numFmt w:val="lowerLetter"/>
      <w:lvlText w:val="%2."/>
      <w:lvlJc w:val="left"/>
      <w:pPr>
        <w:ind w:left="3240" w:hanging="360"/>
      </w:pPr>
    </w:lvl>
    <w:lvl w:ilvl="2" w:tplc="81F64A08" w:tentative="1">
      <w:start w:val="1"/>
      <w:numFmt w:val="lowerRoman"/>
      <w:lvlText w:val="%3."/>
      <w:lvlJc w:val="right"/>
      <w:pPr>
        <w:ind w:left="3960" w:hanging="180"/>
      </w:pPr>
    </w:lvl>
    <w:lvl w:ilvl="3" w:tplc="A7EEFBBA" w:tentative="1">
      <w:start w:val="1"/>
      <w:numFmt w:val="decimal"/>
      <w:lvlText w:val="%4."/>
      <w:lvlJc w:val="left"/>
      <w:pPr>
        <w:ind w:left="4680" w:hanging="360"/>
      </w:pPr>
    </w:lvl>
    <w:lvl w:ilvl="4" w:tplc="B5ECC41A" w:tentative="1">
      <w:start w:val="1"/>
      <w:numFmt w:val="lowerLetter"/>
      <w:lvlText w:val="%5."/>
      <w:lvlJc w:val="left"/>
      <w:pPr>
        <w:ind w:left="5400" w:hanging="360"/>
      </w:pPr>
    </w:lvl>
    <w:lvl w:ilvl="5" w:tplc="AC2A42B6" w:tentative="1">
      <w:start w:val="1"/>
      <w:numFmt w:val="lowerRoman"/>
      <w:lvlText w:val="%6."/>
      <w:lvlJc w:val="right"/>
      <w:pPr>
        <w:ind w:left="6120" w:hanging="180"/>
      </w:pPr>
    </w:lvl>
    <w:lvl w:ilvl="6" w:tplc="C32E3C50" w:tentative="1">
      <w:start w:val="1"/>
      <w:numFmt w:val="decimal"/>
      <w:lvlText w:val="%7."/>
      <w:lvlJc w:val="left"/>
      <w:pPr>
        <w:ind w:left="6840" w:hanging="360"/>
      </w:pPr>
    </w:lvl>
    <w:lvl w:ilvl="7" w:tplc="27FA2C92" w:tentative="1">
      <w:start w:val="1"/>
      <w:numFmt w:val="lowerLetter"/>
      <w:lvlText w:val="%8."/>
      <w:lvlJc w:val="left"/>
      <w:pPr>
        <w:ind w:left="7560" w:hanging="360"/>
      </w:pPr>
    </w:lvl>
    <w:lvl w:ilvl="8" w:tplc="251AA386" w:tentative="1">
      <w:start w:val="1"/>
      <w:numFmt w:val="lowerRoman"/>
      <w:lvlText w:val="%9."/>
      <w:lvlJc w:val="right"/>
      <w:pPr>
        <w:ind w:left="8280" w:hanging="180"/>
      </w:pPr>
    </w:lvl>
  </w:abstractNum>
  <w:abstractNum w:abstractNumId="91" w15:restartNumberingAfterBreak="0">
    <w:nsid w:val="59456F61"/>
    <w:multiLevelType w:val="hybridMultilevel"/>
    <w:tmpl w:val="C1767382"/>
    <w:lvl w:ilvl="0" w:tplc="4DECB8D0">
      <w:start w:val="1"/>
      <w:numFmt w:val="lowerLetter"/>
      <w:lvlText w:val="%1."/>
      <w:lvlJc w:val="left"/>
      <w:pPr>
        <w:ind w:left="720" w:hanging="360"/>
      </w:pPr>
      <w:rPr>
        <w:rFonts w:hint="default"/>
        <w:b/>
      </w:rPr>
    </w:lvl>
    <w:lvl w:ilvl="1" w:tplc="AFF24C42" w:tentative="1">
      <w:start w:val="1"/>
      <w:numFmt w:val="lowerLetter"/>
      <w:lvlText w:val="%2."/>
      <w:lvlJc w:val="left"/>
      <w:pPr>
        <w:ind w:left="1440" w:hanging="360"/>
      </w:pPr>
    </w:lvl>
    <w:lvl w:ilvl="2" w:tplc="EF4E3782" w:tentative="1">
      <w:start w:val="1"/>
      <w:numFmt w:val="lowerRoman"/>
      <w:lvlText w:val="%3."/>
      <w:lvlJc w:val="right"/>
      <w:pPr>
        <w:ind w:left="2160" w:hanging="180"/>
      </w:pPr>
    </w:lvl>
    <w:lvl w:ilvl="3" w:tplc="E4CCE594" w:tentative="1">
      <w:start w:val="1"/>
      <w:numFmt w:val="decimal"/>
      <w:lvlText w:val="%4."/>
      <w:lvlJc w:val="left"/>
      <w:pPr>
        <w:ind w:left="2880" w:hanging="360"/>
      </w:pPr>
    </w:lvl>
    <w:lvl w:ilvl="4" w:tplc="DF24FDBA" w:tentative="1">
      <w:start w:val="1"/>
      <w:numFmt w:val="lowerLetter"/>
      <w:lvlText w:val="%5."/>
      <w:lvlJc w:val="left"/>
      <w:pPr>
        <w:ind w:left="3600" w:hanging="360"/>
      </w:pPr>
    </w:lvl>
    <w:lvl w:ilvl="5" w:tplc="6C16F604" w:tentative="1">
      <w:start w:val="1"/>
      <w:numFmt w:val="lowerRoman"/>
      <w:lvlText w:val="%6."/>
      <w:lvlJc w:val="right"/>
      <w:pPr>
        <w:ind w:left="4320" w:hanging="180"/>
      </w:pPr>
    </w:lvl>
    <w:lvl w:ilvl="6" w:tplc="B6EC1944" w:tentative="1">
      <w:start w:val="1"/>
      <w:numFmt w:val="decimal"/>
      <w:lvlText w:val="%7."/>
      <w:lvlJc w:val="left"/>
      <w:pPr>
        <w:ind w:left="5040" w:hanging="360"/>
      </w:pPr>
    </w:lvl>
    <w:lvl w:ilvl="7" w:tplc="8DEAB9E8" w:tentative="1">
      <w:start w:val="1"/>
      <w:numFmt w:val="lowerLetter"/>
      <w:lvlText w:val="%8."/>
      <w:lvlJc w:val="left"/>
      <w:pPr>
        <w:ind w:left="5760" w:hanging="360"/>
      </w:pPr>
    </w:lvl>
    <w:lvl w:ilvl="8" w:tplc="82461A66" w:tentative="1">
      <w:start w:val="1"/>
      <w:numFmt w:val="lowerRoman"/>
      <w:lvlText w:val="%9."/>
      <w:lvlJc w:val="right"/>
      <w:pPr>
        <w:ind w:left="6480" w:hanging="180"/>
      </w:pPr>
    </w:lvl>
  </w:abstractNum>
  <w:abstractNum w:abstractNumId="92" w15:restartNumberingAfterBreak="0">
    <w:nsid w:val="5E63FDAD"/>
    <w:multiLevelType w:val="hybridMultilevel"/>
    <w:tmpl w:val="7BD86775"/>
    <w:lvl w:ilvl="0" w:tplc="DD546E78">
      <w:start w:val="1"/>
      <w:numFmt w:val="bullet"/>
      <w:lvlText w:val=""/>
      <w:lvlJc w:val="left"/>
      <w:pPr>
        <w:ind w:left="720" w:hanging="360"/>
      </w:pPr>
      <w:rPr>
        <w:rFonts w:ascii="Symbol" w:hAnsi="Symbol"/>
      </w:rPr>
    </w:lvl>
    <w:lvl w:ilvl="1" w:tplc="910862A0">
      <w:start w:val="1"/>
      <w:numFmt w:val="bullet"/>
      <w:lvlText w:val="o"/>
      <w:lvlJc w:val="left"/>
      <w:pPr>
        <w:tabs>
          <w:tab w:val="num" w:pos="1440"/>
        </w:tabs>
        <w:ind w:left="1440" w:hanging="360"/>
      </w:pPr>
      <w:rPr>
        <w:rFonts w:ascii="Courier New" w:hAnsi="Courier New"/>
      </w:rPr>
    </w:lvl>
    <w:lvl w:ilvl="2" w:tplc="2D86FD60">
      <w:start w:val="1"/>
      <w:numFmt w:val="bullet"/>
      <w:lvlText w:val=""/>
      <w:lvlJc w:val="left"/>
      <w:pPr>
        <w:tabs>
          <w:tab w:val="num" w:pos="2160"/>
        </w:tabs>
        <w:ind w:left="2160" w:hanging="360"/>
      </w:pPr>
      <w:rPr>
        <w:rFonts w:ascii="Wingdings" w:hAnsi="Wingdings"/>
      </w:rPr>
    </w:lvl>
    <w:lvl w:ilvl="3" w:tplc="17546DB8">
      <w:start w:val="1"/>
      <w:numFmt w:val="bullet"/>
      <w:lvlText w:val=""/>
      <w:lvlJc w:val="left"/>
      <w:pPr>
        <w:tabs>
          <w:tab w:val="num" w:pos="2880"/>
        </w:tabs>
        <w:ind w:left="2880" w:hanging="360"/>
      </w:pPr>
      <w:rPr>
        <w:rFonts w:ascii="Symbol" w:hAnsi="Symbol"/>
      </w:rPr>
    </w:lvl>
    <w:lvl w:ilvl="4" w:tplc="9664030E">
      <w:start w:val="1"/>
      <w:numFmt w:val="bullet"/>
      <w:lvlText w:val="o"/>
      <w:lvlJc w:val="left"/>
      <w:pPr>
        <w:tabs>
          <w:tab w:val="num" w:pos="3600"/>
        </w:tabs>
        <w:ind w:left="3600" w:hanging="360"/>
      </w:pPr>
      <w:rPr>
        <w:rFonts w:ascii="Courier New" w:hAnsi="Courier New"/>
      </w:rPr>
    </w:lvl>
    <w:lvl w:ilvl="5" w:tplc="A1745A86">
      <w:start w:val="1"/>
      <w:numFmt w:val="bullet"/>
      <w:lvlText w:val=""/>
      <w:lvlJc w:val="left"/>
      <w:pPr>
        <w:tabs>
          <w:tab w:val="num" w:pos="4320"/>
        </w:tabs>
        <w:ind w:left="4320" w:hanging="360"/>
      </w:pPr>
      <w:rPr>
        <w:rFonts w:ascii="Wingdings" w:hAnsi="Wingdings"/>
      </w:rPr>
    </w:lvl>
    <w:lvl w:ilvl="6" w:tplc="4BB4CED2">
      <w:start w:val="1"/>
      <w:numFmt w:val="bullet"/>
      <w:lvlText w:val=""/>
      <w:lvlJc w:val="left"/>
      <w:pPr>
        <w:tabs>
          <w:tab w:val="num" w:pos="5040"/>
        </w:tabs>
        <w:ind w:left="5040" w:hanging="360"/>
      </w:pPr>
      <w:rPr>
        <w:rFonts w:ascii="Symbol" w:hAnsi="Symbol"/>
      </w:rPr>
    </w:lvl>
    <w:lvl w:ilvl="7" w:tplc="F2F2C242">
      <w:start w:val="1"/>
      <w:numFmt w:val="bullet"/>
      <w:lvlText w:val="o"/>
      <w:lvlJc w:val="left"/>
      <w:pPr>
        <w:tabs>
          <w:tab w:val="num" w:pos="5760"/>
        </w:tabs>
        <w:ind w:left="5760" w:hanging="360"/>
      </w:pPr>
      <w:rPr>
        <w:rFonts w:ascii="Courier New" w:hAnsi="Courier New"/>
      </w:rPr>
    </w:lvl>
    <w:lvl w:ilvl="8" w:tplc="15327416">
      <w:start w:val="1"/>
      <w:numFmt w:val="bullet"/>
      <w:lvlText w:val=""/>
      <w:lvlJc w:val="left"/>
      <w:pPr>
        <w:tabs>
          <w:tab w:val="num" w:pos="6480"/>
        </w:tabs>
        <w:ind w:left="6480" w:hanging="360"/>
      </w:pPr>
      <w:rPr>
        <w:rFonts w:ascii="Wingdings" w:hAnsi="Wingdings"/>
      </w:rPr>
    </w:lvl>
  </w:abstractNum>
  <w:abstractNum w:abstractNumId="93" w15:restartNumberingAfterBreak="0">
    <w:nsid w:val="5EDA232A"/>
    <w:multiLevelType w:val="hybridMultilevel"/>
    <w:tmpl w:val="9B00F5F6"/>
    <w:lvl w:ilvl="0" w:tplc="9866F3E2">
      <w:numFmt w:val="bullet"/>
      <w:lvlText w:val=""/>
      <w:lvlJc w:val="left"/>
      <w:pPr>
        <w:ind w:left="2280" w:hanging="360"/>
      </w:pPr>
      <w:rPr>
        <w:rFonts w:ascii="Symbol" w:eastAsia="Symbol" w:hAnsi="Symbol" w:cs="Symbol" w:hint="default"/>
        <w:b w:val="0"/>
        <w:bCs w:val="0"/>
        <w:i w:val="0"/>
        <w:iCs w:val="0"/>
        <w:w w:val="100"/>
        <w:sz w:val="24"/>
        <w:szCs w:val="24"/>
        <w:lang w:val="en-US" w:eastAsia="en-US" w:bidi="ar-SA"/>
      </w:rPr>
    </w:lvl>
    <w:lvl w:ilvl="1" w:tplc="C3D8E61A">
      <w:numFmt w:val="bullet"/>
      <w:lvlText w:val="•"/>
      <w:lvlJc w:val="left"/>
      <w:pPr>
        <w:ind w:left="3098" w:hanging="360"/>
      </w:pPr>
      <w:rPr>
        <w:rFonts w:hint="default"/>
        <w:lang w:val="en-US" w:eastAsia="en-US" w:bidi="ar-SA"/>
      </w:rPr>
    </w:lvl>
    <w:lvl w:ilvl="2" w:tplc="F650FAAC">
      <w:numFmt w:val="bullet"/>
      <w:lvlText w:val="•"/>
      <w:lvlJc w:val="left"/>
      <w:pPr>
        <w:ind w:left="3916" w:hanging="360"/>
      </w:pPr>
      <w:rPr>
        <w:rFonts w:hint="default"/>
        <w:lang w:val="en-US" w:eastAsia="en-US" w:bidi="ar-SA"/>
      </w:rPr>
    </w:lvl>
    <w:lvl w:ilvl="3" w:tplc="2D544576">
      <w:numFmt w:val="bullet"/>
      <w:lvlText w:val="•"/>
      <w:lvlJc w:val="left"/>
      <w:pPr>
        <w:ind w:left="4734" w:hanging="360"/>
      </w:pPr>
      <w:rPr>
        <w:rFonts w:hint="default"/>
        <w:lang w:val="en-US" w:eastAsia="en-US" w:bidi="ar-SA"/>
      </w:rPr>
    </w:lvl>
    <w:lvl w:ilvl="4" w:tplc="2FA075C6">
      <w:numFmt w:val="bullet"/>
      <w:lvlText w:val="•"/>
      <w:lvlJc w:val="left"/>
      <w:pPr>
        <w:ind w:left="5552" w:hanging="360"/>
      </w:pPr>
      <w:rPr>
        <w:rFonts w:hint="default"/>
        <w:lang w:val="en-US" w:eastAsia="en-US" w:bidi="ar-SA"/>
      </w:rPr>
    </w:lvl>
    <w:lvl w:ilvl="5" w:tplc="9CF87546">
      <w:numFmt w:val="bullet"/>
      <w:lvlText w:val="•"/>
      <w:lvlJc w:val="left"/>
      <w:pPr>
        <w:ind w:left="6370" w:hanging="360"/>
      </w:pPr>
      <w:rPr>
        <w:rFonts w:hint="default"/>
        <w:lang w:val="en-US" w:eastAsia="en-US" w:bidi="ar-SA"/>
      </w:rPr>
    </w:lvl>
    <w:lvl w:ilvl="6" w:tplc="8C32DD44">
      <w:numFmt w:val="bullet"/>
      <w:lvlText w:val="•"/>
      <w:lvlJc w:val="left"/>
      <w:pPr>
        <w:ind w:left="7188" w:hanging="360"/>
      </w:pPr>
      <w:rPr>
        <w:rFonts w:hint="default"/>
        <w:lang w:val="en-US" w:eastAsia="en-US" w:bidi="ar-SA"/>
      </w:rPr>
    </w:lvl>
    <w:lvl w:ilvl="7" w:tplc="05222206">
      <w:numFmt w:val="bullet"/>
      <w:lvlText w:val="•"/>
      <w:lvlJc w:val="left"/>
      <w:pPr>
        <w:ind w:left="8006" w:hanging="360"/>
      </w:pPr>
      <w:rPr>
        <w:rFonts w:hint="default"/>
        <w:lang w:val="en-US" w:eastAsia="en-US" w:bidi="ar-SA"/>
      </w:rPr>
    </w:lvl>
    <w:lvl w:ilvl="8" w:tplc="A502D096">
      <w:numFmt w:val="bullet"/>
      <w:lvlText w:val="•"/>
      <w:lvlJc w:val="left"/>
      <w:pPr>
        <w:ind w:left="8824" w:hanging="360"/>
      </w:pPr>
      <w:rPr>
        <w:rFonts w:hint="default"/>
        <w:lang w:val="en-US" w:eastAsia="en-US" w:bidi="ar-SA"/>
      </w:rPr>
    </w:lvl>
  </w:abstractNum>
  <w:abstractNum w:abstractNumId="94" w15:restartNumberingAfterBreak="0">
    <w:nsid w:val="611102C9"/>
    <w:multiLevelType w:val="hybridMultilevel"/>
    <w:tmpl w:val="18C6BE96"/>
    <w:lvl w:ilvl="0" w:tplc="76368710">
      <w:start w:val="1"/>
      <w:numFmt w:val="bullet"/>
      <w:lvlText w:val=""/>
      <w:lvlJc w:val="left"/>
      <w:pPr>
        <w:ind w:left="1800" w:hanging="360"/>
      </w:pPr>
      <w:rPr>
        <w:rFonts w:ascii="Symbol" w:hAnsi="Symbol" w:hint="default"/>
      </w:rPr>
    </w:lvl>
    <w:lvl w:ilvl="1" w:tplc="012687B4" w:tentative="1">
      <w:start w:val="1"/>
      <w:numFmt w:val="bullet"/>
      <w:lvlText w:val="o"/>
      <w:lvlJc w:val="left"/>
      <w:pPr>
        <w:ind w:left="2520" w:hanging="360"/>
      </w:pPr>
      <w:rPr>
        <w:rFonts w:ascii="Courier New" w:hAnsi="Courier New" w:cs="Courier New" w:hint="default"/>
      </w:rPr>
    </w:lvl>
    <w:lvl w:ilvl="2" w:tplc="699E3BBA" w:tentative="1">
      <w:start w:val="1"/>
      <w:numFmt w:val="bullet"/>
      <w:lvlText w:val=""/>
      <w:lvlJc w:val="left"/>
      <w:pPr>
        <w:ind w:left="3240" w:hanging="360"/>
      </w:pPr>
      <w:rPr>
        <w:rFonts w:ascii="Wingdings" w:hAnsi="Wingdings" w:hint="default"/>
      </w:rPr>
    </w:lvl>
    <w:lvl w:ilvl="3" w:tplc="C228F204" w:tentative="1">
      <w:start w:val="1"/>
      <w:numFmt w:val="bullet"/>
      <w:lvlText w:val=""/>
      <w:lvlJc w:val="left"/>
      <w:pPr>
        <w:ind w:left="3960" w:hanging="360"/>
      </w:pPr>
      <w:rPr>
        <w:rFonts w:ascii="Symbol" w:hAnsi="Symbol" w:hint="default"/>
      </w:rPr>
    </w:lvl>
    <w:lvl w:ilvl="4" w:tplc="10EC989A" w:tentative="1">
      <w:start w:val="1"/>
      <w:numFmt w:val="bullet"/>
      <w:lvlText w:val="o"/>
      <w:lvlJc w:val="left"/>
      <w:pPr>
        <w:ind w:left="4680" w:hanging="360"/>
      </w:pPr>
      <w:rPr>
        <w:rFonts w:ascii="Courier New" w:hAnsi="Courier New" w:cs="Courier New" w:hint="default"/>
      </w:rPr>
    </w:lvl>
    <w:lvl w:ilvl="5" w:tplc="CE6456EA" w:tentative="1">
      <w:start w:val="1"/>
      <w:numFmt w:val="bullet"/>
      <w:lvlText w:val=""/>
      <w:lvlJc w:val="left"/>
      <w:pPr>
        <w:ind w:left="5400" w:hanging="360"/>
      </w:pPr>
      <w:rPr>
        <w:rFonts w:ascii="Wingdings" w:hAnsi="Wingdings" w:hint="default"/>
      </w:rPr>
    </w:lvl>
    <w:lvl w:ilvl="6" w:tplc="AEFEF4F0" w:tentative="1">
      <w:start w:val="1"/>
      <w:numFmt w:val="bullet"/>
      <w:lvlText w:val=""/>
      <w:lvlJc w:val="left"/>
      <w:pPr>
        <w:ind w:left="6120" w:hanging="360"/>
      </w:pPr>
      <w:rPr>
        <w:rFonts w:ascii="Symbol" w:hAnsi="Symbol" w:hint="default"/>
      </w:rPr>
    </w:lvl>
    <w:lvl w:ilvl="7" w:tplc="54D61FC2" w:tentative="1">
      <w:start w:val="1"/>
      <w:numFmt w:val="bullet"/>
      <w:lvlText w:val="o"/>
      <w:lvlJc w:val="left"/>
      <w:pPr>
        <w:ind w:left="6840" w:hanging="360"/>
      </w:pPr>
      <w:rPr>
        <w:rFonts w:ascii="Courier New" w:hAnsi="Courier New" w:cs="Courier New" w:hint="default"/>
      </w:rPr>
    </w:lvl>
    <w:lvl w:ilvl="8" w:tplc="DB7A78CE" w:tentative="1">
      <w:start w:val="1"/>
      <w:numFmt w:val="bullet"/>
      <w:lvlText w:val=""/>
      <w:lvlJc w:val="left"/>
      <w:pPr>
        <w:ind w:left="7560" w:hanging="360"/>
      </w:pPr>
      <w:rPr>
        <w:rFonts w:ascii="Wingdings" w:hAnsi="Wingdings" w:hint="default"/>
      </w:rPr>
    </w:lvl>
  </w:abstractNum>
  <w:abstractNum w:abstractNumId="95" w15:restartNumberingAfterBreak="0">
    <w:nsid w:val="63D124B2"/>
    <w:multiLevelType w:val="multilevel"/>
    <w:tmpl w:val="A094BFD0"/>
    <w:lvl w:ilvl="0">
      <w:start w:val="1"/>
      <w:numFmt w:val="upperRoman"/>
      <w:lvlText w:val="%1."/>
      <w:lvlJc w:val="left"/>
      <w:pPr>
        <w:ind w:left="720" w:hanging="360"/>
      </w:pPr>
      <w:rPr>
        <w:rFonts w:ascii="Calibri" w:hAnsi="Calibri" w:hint="default"/>
        <w:b/>
        <w:caps w:val="0"/>
        <w:smallCaps/>
        <w:strike w:val="0"/>
        <w:dstrike w:val="0"/>
        <w:vanish w:val="0"/>
        <w:sz w:val="40"/>
        <w:u w:val="none"/>
        <w:vertAlign w:val="baseline"/>
      </w:rPr>
    </w:lvl>
    <w:lvl w:ilvl="1">
      <w:start w:val="1"/>
      <w:numFmt w:val="upperLetter"/>
      <w:lvlText w:val="%2."/>
      <w:lvlJc w:val="left"/>
      <w:pPr>
        <w:ind w:left="1080" w:hanging="360"/>
      </w:pPr>
      <w:rPr>
        <w:rFonts w:ascii="Calibri" w:hAnsi="Calibri" w:hint="default"/>
        <w:b/>
        <w:i w:val="0"/>
        <w:caps w:val="0"/>
        <w:smallCaps/>
        <w:strike w:val="0"/>
        <w:dstrike w:val="0"/>
        <w:vanish w:val="0"/>
        <w:sz w:val="28"/>
        <w:vertAlign w:val="baseline"/>
      </w:rPr>
    </w:lvl>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 w:ilvl="3">
      <w:start w:val="1"/>
      <w:numFmt w:val="lowerRoman"/>
      <w:lvlText w:val="%4."/>
      <w:lvlJc w:val="left"/>
      <w:pPr>
        <w:ind w:left="1800" w:hanging="360"/>
      </w:pPr>
      <w:rPr>
        <w:rFonts w:ascii="Calibri" w:hAnsi="Calibri" w:hint="default"/>
        <w:i/>
        <w:caps w:val="0"/>
        <w:smallCaps w:val="0"/>
        <w:strike w:val="0"/>
        <w:dstrike w:val="0"/>
        <w:vanish w:val="0"/>
        <w:sz w:val="24"/>
        <w:vertAlign w:val="baseline"/>
      </w:rPr>
    </w:lvl>
    <w:lvl w:ilvl="4">
      <w:start w:val="1"/>
      <w:numFmt w:val="decimal"/>
      <w:lvlText w:val="%5."/>
      <w:lvlJc w:val="left"/>
      <w:pPr>
        <w:ind w:left="2160" w:hanging="360"/>
      </w:pPr>
      <w:rPr>
        <w:rFonts w:hint="default"/>
        <w:b w:val="0"/>
        <w:bCs w:val="0"/>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6" w15:restartNumberingAfterBreak="0">
    <w:nsid w:val="63D34F6F"/>
    <w:multiLevelType w:val="multilevel"/>
    <w:tmpl w:val="2F22B37C"/>
    <w:lvl w:ilvl="0">
      <w:start w:val="1"/>
      <w:numFmt w:val="bullet"/>
      <w:lvlText w:val="●"/>
      <w:lvlJc w:val="left"/>
      <w:pPr>
        <w:ind w:left="2016" w:hanging="360"/>
      </w:pPr>
      <w:rPr>
        <w:rFonts w:ascii="Noto Sans Symbols" w:eastAsia="Noto Sans Symbols" w:hAnsi="Noto Sans Symbols" w:cs="Noto Sans Symbols"/>
      </w:rPr>
    </w:lvl>
    <w:lvl w:ilvl="1">
      <w:start w:val="1"/>
      <w:numFmt w:val="bullet"/>
      <w:lvlText w:val="o"/>
      <w:lvlJc w:val="left"/>
      <w:pPr>
        <w:ind w:left="2736" w:hanging="360"/>
      </w:pPr>
      <w:rPr>
        <w:rFonts w:ascii="Courier New" w:eastAsia="Courier New" w:hAnsi="Courier New" w:cs="Courier New"/>
      </w:rPr>
    </w:lvl>
    <w:lvl w:ilvl="2">
      <w:start w:val="1"/>
      <w:numFmt w:val="bullet"/>
      <w:lvlText w:val="▪"/>
      <w:lvlJc w:val="left"/>
      <w:pPr>
        <w:ind w:left="3456" w:hanging="360"/>
      </w:pPr>
      <w:rPr>
        <w:rFonts w:ascii="Noto Sans Symbols" w:eastAsia="Noto Sans Symbols" w:hAnsi="Noto Sans Symbols" w:cs="Noto Sans Symbols"/>
      </w:rPr>
    </w:lvl>
    <w:lvl w:ilvl="3">
      <w:start w:val="1"/>
      <w:numFmt w:val="bullet"/>
      <w:lvlText w:val="●"/>
      <w:lvlJc w:val="left"/>
      <w:pPr>
        <w:ind w:left="4176" w:hanging="360"/>
      </w:pPr>
      <w:rPr>
        <w:rFonts w:ascii="Noto Sans Symbols" w:eastAsia="Noto Sans Symbols" w:hAnsi="Noto Sans Symbols" w:cs="Noto Sans Symbols"/>
      </w:rPr>
    </w:lvl>
    <w:lvl w:ilvl="4">
      <w:start w:val="1"/>
      <w:numFmt w:val="bullet"/>
      <w:lvlText w:val="o"/>
      <w:lvlJc w:val="left"/>
      <w:pPr>
        <w:ind w:left="4896" w:hanging="360"/>
      </w:pPr>
      <w:rPr>
        <w:rFonts w:ascii="Courier New" w:eastAsia="Courier New" w:hAnsi="Courier New" w:cs="Courier New"/>
      </w:rPr>
    </w:lvl>
    <w:lvl w:ilvl="5">
      <w:start w:val="1"/>
      <w:numFmt w:val="bullet"/>
      <w:lvlText w:val="▪"/>
      <w:lvlJc w:val="left"/>
      <w:pPr>
        <w:ind w:left="5616" w:hanging="360"/>
      </w:pPr>
      <w:rPr>
        <w:rFonts w:ascii="Noto Sans Symbols" w:eastAsia="Noto Sans Symbols" w:hAnsi="Noto Sans Symbols" w:cs="Noto Sans Symbols"/>
      </w:rPr>
    </w:lvl>
    <w:lvl w:ilvl="6">
      <w:start w:val="1"/>
      <w:numFmt w:val="bullet"/>
      <w:lvlText w:val="●"/>
      <w:lvlJc w:val="left"/>
      <w:pPr>
        <w:ind w:left="6336" w:hanging="360"/>
      </w:pPr>
      <w:rPr>
        <w:rFonts w:ascii="Noto Sans Symbols" w:eastAsia="Noto Sans Symbols" w:hAnsi="Noto Sans Symbols" w:cs="Noto Sans Symbols"/>
      </w:rPr>
    </w:lvl>
    <w:lvl w:ilvl="7">
      <w:start w:val="1"/>
      <w:numFmt w:val="bullet"/>
      <w:lvlText w:val="o"/>
      <w:lvlJc w:val="left"/>
      <w:pPr>
        <w:ind w:left="7056" w:hanging="360"/>
      </w:pPr>
      <w:rPr>
        <w:rFonts w:ascii="Courier New" w:eastAsia="Courier New" w:hAnsi="Courier New" w:cs="Courier New"/>
      </w:rPr>
    </w:lvl>
    <w:lvl w:ilvl="8">
      <w:start w:val="1"/>
      <w:numFmt w:val="bullet"/>
      <w:lvlText w:val="▪"/>
      <w:lvlJc w:val="left"/>
      <w:pPr>
        <w:ind w:left="7776" w:hanging="360"/>
      </w:pPr>
      <w:rPr>
        <w:rFonts w:ascii="Noto Sans Symbols" w:eastAsia="Noto Sans Symbols" w:hAnsi="Noto Sans Symbols" w:cs="Noto Sans Symbols"/>
      </w:rPr>
    </w:lvl>
  </w:abstractNum>
  <w:abstractNum w:abstractNumId="97" w15:restartNumberingAfterBreak="0">
    <w:nsid w:val="655E1116"/>
    <w:multiLevelType w:val="hybridMultilevel"/>
    <w:tmpl w:val="68B43D7E"/>
    <w:lvl w:ilvl="0" w:tplc="833E4402">
      <w:start w:val="1"/>
      <w:numFmt w:val="bullet"/>
      <w:lvlText w:val=""/>
      <w:lvlJc w:val="left"/>
      <w:pPr>
        <w:ind w:left="1080" w:hanging="360"/>
      </w:pPr>
      <w:rPr>
        <w:rFonts w:ascii="Symbol" w:hAnsi="Symbol" w:hint="default"/>
      </w:rPr>
    </w:lvl>
    <w:lvl w:ilvl="1" w:tplc="968E5820" w:tentative="1">
      <w:start w:val="1"/>
      <w:numFmt w:val="bullet"/>
      <w:lvlText w:val="o"/>
      <w:lvlJc w:val="left"/>
      <w:pPr>
        <w:ind w:left="1800" w:hanging="360"/>
      </w:pPr>
      <w:rPr>
        <w:rFonts w:ascii="Courier New" w:hAnsi="Courier New" w:cs="Courier New" w:hint="default"/>
      </w:rPr>
    </w:lvl>
    <w:lvl w:ilvl="2" w:tplc="52EED144" w:tentative="1">
      <w:start w:val="1"/>
      <w:numFmt w:val="bullet"/>
      <w:lvlText w:val=""/>
      <w:lvlJc w:val="left"/>
      <w:pPr>
        <w:ind w:left="2520" w:hanging="360"/>
      </w:pPr>
      <w:rPr>
        <w:rFonts w:ascii="Wingdings" w:hAnsi="Wingdings" w:hint="default"/>
      </w:rPr>
    </w:lvl>
    <w:lvl w:ilvl="3" w:tplc="B9A6B432" w:tentative="1">
      <w:start w:val="1"/>
      <w:numFmt w:val="bullet"/>
      <w:lvlText w:val=""/>
      <w:lvlJc w:val="left"/>
      <w:pPr>
        <w:ind w:left="3240" w:hanging="360"/>
      </w:pPr>
      <w:rPr>
        <w:rFonts w:ascii="Symbol" w:hAnsi="Symbol" w:hint="default"/>
      </w:rPr>
    </w:lvl>
    <w:lvl w:ilvl="4" w:tplc="5FA814AC" w:tentative="1">
      <w:start w:val="1"/>
      <w:numFmt w:val="bullet"/>
      <w:lvlText w:val="o"/>
      <w:lvlJc w:val="left"/>
      <w:pPr>
        <w:ind w:left="3960" w:hanging="360"/>
      </w:pPr>
      <w:rPr>
        <w:rFonts w:ascii="Courier New" w:hAnsi="Courier New" w:cs="Courier New" w:hint="default"/>
      </w:rPr>
    </w:lvl>
    <w:lvl w:ilvl="5" w:tplc="8736C3BA" w:tentative="1">
      <w:start w:val="1"/>
      <w:numFmt w:val="bullet"/>
      <w:lvlText w:val=""/>
      <w:lvlJc w:val="left"/>
      <w:pPr>
        <w:ind w:left="4680" w:hanging="360"/>
      </w:pPr>
      <w:rPr>
        <w:rFonts w:ascii="Wingdings" w:hAnsi="Wingdings" w:hint="default"/>
      </w:rPr>
    </w:lvl>
    <w:lvl w:ilvl="6" w:tplc="5C84B7D6" w:tentative="1">
      <w:start w:val="1"/>
      <w:numFmt w:val="bullet"/>
      <w:lvlText w:val=""/>
      <w:lvlJc w:val="left"/>
      <w:pPr>
        <w:ind w:left="5400" w:hanging="360"/>
      </w:pPr>
      <w:rPr>
        <w:rFonts w:ascii="Symbol" w:hAnsi="Symbol" w:hint="default"/>
      </w:rPr>
    </w:lvl>
    <w:lvl w:ilvl="7" w:tplc="37006050" w:tentative="1">
      <w:start w:val="1"/>
      <w:numFmt w:val="bullet"/>
      <w:lvlText w:val="o"/>
      <w:lvlJc w:val="left"/>
      <w:pPr>
        <w:ind w:left="6120" w:hanging="360"/>
      </w:pPr>
      <w:rPr>
        <w:rFonts w:ascii="Courier New" w:hAnsi="Courier New" w:cs="Courier New" w:hint="default"/>
      </w:rPr>
    </w:lvl>
    <w:lvl w:ilvl="8" w:tplc="6F68565A" w:tentative="1">
      <w:start w:val="1"/>
      <w:numFmt w:val="bullet"/>
      <w:lvlText w:val=""/>
      <w:lvlJc w:val="left"/>
      <w:pPr>
        <w:ind w:left="6840" w:hanging="360"/>
      </w:pPr>
      <w:rPr>
        <w:rFonts w:ascii="Wingdings" w:hAnsi="Wingdings" w:hint="default"/>
      </w:rPr>
    </w:lvl>
  </w:abstractNum>
  <w:abstractNum w:abstractNumId="98" w15:restartNumberingAfterBreak="0">
    <w:nsid w:val="66A878A1"/>
    <w:multiLevelType w:val="hybridMultilevel"/>
    <w:tmpl w:val="F62A52E6"/>
    <w:lvl w:ilvl="0" w:tplc="D89210A8">
      <w:start w:val="1"/>
      <w:numFmt w:val="decimal"/>
      <w:lvlText w:val="%1."/>
      <w:lvlJc w:val="left"/>
      <w:pPr>
        <w:ind w:left="840" w:hanging="545"/>
      </w:pPr>
      <w:rPr>
        <w:rFonts w:ascii="Calibri" w:eastAsia="Calibri" w:hAnsi="Calibri" w:cs="Calibri" w:hint="default"/>
        <w:b/>
        <w:bCs/>
        <w:i w:val="0"/>
        <w:iCs w:val="0"/>
        <w:w w:val="100"/>
        <w:sz w:val="24"/>
        <w:szCs w:val="24"/>
        <w:lang w:val="en-US" w:eastAsia="en-US" w:bidi="ar-SA"/>
      </w:rPr>
    </w:lvl>
    <w:lvl w:ilvl="1" w:tplc="449454E6">
      <w:start w:val="1"/>
      <w:numFmt w:val="decimal"/>
      <w:lvlText w:val="%2)"/>
      <w:lvlJc w:val="left"/>
      <w:pPr>
        <w:ind w:left="1560" w:hanging="250"/>
      </w:pPr>
      <w:rPr>
        <w:rFonts w:ascii="Calibri" w:eastAsia="Calibri" w:hAnsi="Calibri" w:cs="Calibri" w:hint="default"/>
        <w:b w:val="0"/>
        <w:bCs w:val="0"/>
        <w:i w:val="0"/>
        <w:iCs w:val="0"/>
        <w:w w:val="100"/>
        <w:sz w:val="24"/>
        <w:szCs w:val="24"/>
        <w:lang w:val="en-US" w:eastAsia="en-US" w:bidi="ar-SA"/>
      </w:rPr>
    </w:lvl>
    <w:lvl w:ilvl="2" w:tplc="85742C8C">
      <w:numFmt w:val="bullet"/>
      <w:lvlText w:val="•"/>
      <w:lvlJc w:val="left"/>
      <w:pPr>
        <w:ind w:left="2548" w:hanging="250"/>
      </w:pPr>
      <w:rPr>
        <w:rFonts w:hint="default"/>
        <w:lang w:val="en-US" w:eastAsia="en-US" w:bidi="ar-SA"/>
      </w:rPr>
    </w:lvl>
    <w:lvl w:ilvl="3" w:tplc="6C186096">
      <w:numFmt w:val="bullet"/>
      <w:lvlText w:val="•"/>
      <w:lvlJc w:val="left"/>
      <w:pPr>
        <w:ind w:left="3537" w:hanging="250"/>
      </w:pPr>
      <w:rPr>
        <w:rFonts w:hint="default"/>
        <w:lang w:val="en-US" w:eastAsia="en-US" w:bidi="ar-SA"/>
      </w:rPr>
    </w:lvl>
    <w:lvl w:ilvl="4" w:tplc="B074D85E">
      <w:numFmt w:val="bullet"/>
      <w:lvlText w:val="•"/>
      <w:lvlJc w:val="left"/>
      <w:pPr>
        <w:ind w:left="4526" w:hanging="250"/>
      </w:pPr>
      <w:rPr>
        <w:rFonts w:hint="default"/>
        <w:lang w:val="en-US" w:eastAsia="en-US" w:bidi="ar-SA"/>
      </w:rPr>
    </w:lvl>
    <w:lvl w:ilvl="5" w:tplc="3398DE76">
      <w:numFmt w:val="bullet"/>
      <w:lvlText w:val="•"/>
      <w:lvlJc w:val="left"/>
      <w:pPr>
        <w:ind w:left="5515" w:hanging="250"/>
      </w:pPr>
      <w:rPr>
        <w:rFonts w:hint="default"/>
        <w:lang w:val="en-US" w:eastAsia="en-US" w:bidi="ar-SA"/>
      </w:rPr>
    </w:lvl>
    <w:lvl w:ilvl="6" w:tplc="0D641CE8">
      <w:numFmt w:val="bullet"/>
      <w:lvlText w:val="•"/>
      <w:lvlJc w:val="left"/>
      <w:pPr>
        <w:ind w:left="6504" w:hanging="250"/>
      </w:pPr>
      <w:rPr>
        <w:rFonts w:hint="default"/>
        <w:lang w:val="en-US" w:eastAsia="en-US" w:bidi="ar-SA"/>
      </w:rPr>
    </w:lvl>
    <w:lvl w:ilvl="7" w:tplc="6852B360">
      <w:numFmt w:val="bullet"/>
      <w:lvlText w:val="•"/>
      <w:lvlJc w:val="left"/>
      <w:pPr>
        <w:ind w:left="7493" w:hanging="250"/>
      </w:pPr>
      <w:rPr>
        <w:rFonts w:hint="default"/>
        <w:lang w:val="en-US" w:eastAsia="en-US" w:bidi="ar-SA"/>
      </w:rPr>
    </w:lvl>
    <w:lvl w:ilvl="8" w:tplc="0CDE0A20">
      <w:numFmt w:val="bullet"/>
      <w:lvlText w:val="•"/>
      <w:lvlJc w:val="left"/>
      <w:pPr>
        <w:ind w:left="8482" w:hanging="250"/>
      </w:pPr>
      <w:rPr>
        <w:rFonts w:hint="default"/>
        <w:lang w:val="en-US" w:eastAsia="en-US" w:bidi="ar-SA"/>
      </w:rPr>
    </w:lvl>
  </w:abstractNum>
  <w:abstractNum w:abstractNumId="99" w15:restartNumberingAfterBreak="0">
    <w:nsid w:val="67E51129"/>
    <w:multiLevelType w:val="hybridMultilevel"/>
    <w:tmpl w:val="AA889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C40F35"/>
    <w:multiLevelType w:val="hybridMultilevel"/>
    <w:tmpl w:val="7BD8677D"/>
    <w:lvl w:ilvl="0" w:tplc="1748A424">
      <w:start w:val="1"/>
      <w:numFmt w:val="bullet"/>
      <w:lvlText w:val=""/>
      <w:lvlJc w:val="left"/>
      <w:pPr>
        <w:ind w:left="720" w:hanging="360"/>
      </w:pPr>
      <w:rPr>
        <w:rFonts w:ascii="Symbol" w:hAnsi="Symbol"/>
      </w:rPr>
    </w:lvl>
    <w:lvl w:ilvl="1" w:tplc="A7227482">
      <w:start w:val="1"/>
      <w:numFmt w:val="bullet"/>
      <w:lvlText w:val="o"/>
      <w:lvlJc w:val="left"/>
      <w:pPr>
        <w:tabs>
          <w:tab w:val="num" w:pos="1440"/>
        </w:tabs>
        <w:ind w:left="1440" w:hanging="360"/>
      </w:pPr>
      <w:rPr>
        <w:rFonts w:ascii="Courier New" w:hAnsi="Courier New"/>
      </w:rPr>
    </w:lvl>
    <w:lvl w:ilvl="2" w:tplc="24ECEE6A">
      <w:start w:val="1"/>
      <w:numFmt w:val="bullet"/>
      <w:lvlText w:val=""/>
      <w:lvlJc w:val="left"/>
      <w:pPr>
        <w:tabs>
          <w:tab w:val="num" w:pos="2160"/>
        </w:tabs>
        <w:ind w:left="2160" w:hanging="360"/>
      </w:pPr>
      <w:rPr>
        <w:rFonts w:ascii="Wingdings" w:hAnsi="Wingdings"/>
      </w:rPr>
    </w:lvl>
    <w:lvl w:ilvl="3" w:tplc="FE98B2B4">
      <w:start w:val="1"/>
      <w:numFmt w:val="bullet"/>
      <w:lvlText w:val=""/>
      <w:lvlJc w:val="left"/>
      <w:pPr>
        <w:tabs>
          <w:tab w:val="num" w:pos="2880"/>
        </w:tabs>
        <w:ind w:left="2880" w:hanging="360"/>
      </w:pPr>
      <w:rPr>
        <w:rFonts w:ascii="Symbol" w:hAnsi="Symbol"/>
      </w:rPr>
    </w:lvl>
    <w:lvl w:ilvl="4" w:tplc="3E72EA96">
      <w:start w:val="1"/>
      <w:numFmt w:val="bullet"/>
      <w:lvlText w:val="o"/>
      <w:lvlJc w:val="left"/>
      <w:pPr>
        <w:tabs>
          <w:tab w:val="num" w:pos="3600"/>
        </w:tabs>
        <w:ind w:left="3600" w:hanging="360"/>
      </w:pPr>
      <w:rPr>
        <w:rFonts w:ascii="Courier New" w:hAnsi="Courier New"/>
      </w:rPr>
    </w:lvl>
    <w:lvl w:ilvl="5" w:tplc="37E0EA6A">
      <w:start w:val="1"/>
      <w:numFmt w:val="bullet"/>
      <w:lvlText w:val=""/>
      <w:lvlJc w:val="left"/>
      <w:pPr>
        <w:tabs>
          <w:tab w:val="num" w:pos="4320"/>
        </w:tabs>
        <w:ind w:left="4320" w:hanging="360"/>
      </w:pPr>
      <w:rPr>
        <w:rFonts w:ascii="Wingdings" w:hAnsi="Wingdings"/>
      </w:rPr>
    </w:lvl>
    <w:lvl w:ilvl="6" w:tplc="6624EC5A">
      <w:start w:val="1"/>
      <w:numFmt w:val="bullet"/>
      <w:lvlText w:val=""/>
      <w:lvlJc w:val="left"/>
      <w:pPr>
        <w:tabs>
          <w:tab w:val="num" w:pos="5040"/>
        </w:tabs>
        <w:ind w:left="5040" w:hanging="360"/>
      </w:pPr>
      <w:rPr>
        <w:rFonts w:ascii="Symbol" w:hAnsi="Symbol"/>
      </w:rPr>
    </w:lvl>
    <w:lvl w:ilvl="7" w:tplc="BFA6FAC4">
      <w:start w:val="1"/>
      <w:numFmt w:val="bullet"/>
      <w:lvlText w:val="o"/>
      <w:lvlJc w:val="left"/>
      <w:pPr>
        <w:tabs>
          <w:tab w:val="num" w:pos="5760"/>
        </w:tabs>
        <w:ind w:left="5760" w:hanging="360"/>
      </w:pPr>
      <w:rPr>
        <w:rFonts w:ascii="Courier New" w:hAnsi="Courier New"/>
      </w:rPr>
    </w:lvl>
    <w:lvl w:ilvl="8" w:tplc="B43CFF98">
      <w:start w:val="1"/>
      <w:numFmt w:val="bullet"/>
      <w:lvlText w:val=""/>
      <w:lvlJc w:val="left"/>
      <w:pPr>
        <w:tabs>
          <w:tab w:val="num" w:pos="6480"/>
        </w:tabs>
        <w:ind w:left="6480" w:hanging="360"/>
      </w:pPr>
      <w:rPr>
        <w:rFonts w:ascii="Wingdings" w:hAnsi="Wingdings"/>
      </w:rPr>
    </w:lvl>
  </w:abstractNum>
  <w:abstractNum w:abstractNumId="101" w15:restartNumberingAfterBreak="0">
    <w:nsid w:val="69A77D81"/>
    <w:multiLevelType w:val="hybridMultilevel"/>
    <w:tmpl w:val="479C7ECC"/>
    <w:lvl w:ilvl="0" w:tplc="8484591A">
      <w:start w:val="1"/>
      <w:numFmt w:val="decimal"/>
      <w:lvlText w:val="%1."/>
      <w:lvlJc w:val="left"/>
      <w:pPr>
        <w:ind w:left="3240" w:hanging="360"/>
      </w:pPr>
      <w:rPr>
        <w:color w:val="auto"/>
      </w:rPr>
    </w:lvl>
    <w:lvl w:ilvl="1" w:tplc="98A6A172" w:tentative="1">
      <w:start w:val="1"/>
      <w:numFmt w:val="lowerLetter"/>
      <w:lvlText w:val="%2."/>
      <w:lvlJc w:val="left"/>
      <w:pPr>
        <w:ind w:left="3960" w:hanging="360"/>
      </w:pPr>
    </w:lvl>
    <w:lvl w:ilvl="2" w:tplc="1BD287B8" w:tentative="1">
      <w:start w:val="1"/>
      <w:numFmt w:val="lowerRoman"/>
      <w:lvlText w:val="%3."/>
      <w:lvlJc w:val="right"/>
      <w:pPr>
        <w:ind w:left="4680" w:hanging="180"/>
      </w:pPr>
    </w:lvl>
    <w:lvl w:ilvl="3" w:tplc="0AFCB72E" w:tentative="1">
      <w:start w:val="1"/>
      <w:numFmt w:val="decimal"/>
      <w:lvlText w:val="%4."/>
      <w:lvlJc w:val="left"/>
      <w:pPr>
        <w:ind w:left="5400" w:hanging="360"/>
      </w:pPr>
    </w:lvl>
    <w:lvl w:ilvl="4" w:tplc="CDEC7B8A" w:tentative="1">
      <w:start w:val="1"/>
      <w:numFmt w:val="lowerLetter"/>
      <w:lvlText w:val="%5."/>
      <w:lvlJc w:val="left"/>
      <w:pPr>
        <w:ind w:left="6120" w:hanging="360"/>
      </w:pPr>
    </w:lvl>
    <w:lvl w:ilvl="5" w:tplc="EB62B9C8" w:tentative="1">
      <w:start w:val="1"/>
      <w:numFmt w:val="lowerRoman"/>
      <w:lvlText w:val="%6."/>
      <w:lvlJc w:val="right"/>
      <w:pPr>
        <w:ind w:left="6840" w:hanging="180"/>
      </w:pPr>
    </w:lvl>
    <w:lvl w:ilvl="6" w:tplc="D2E8ABB6" w:tentative="1">
      <w:start w:val="1"/>
      <w:numFmt w:val="decimal"/>
      <w:lvlText w:val="%7."/>
      <w:lvlJc w:val="left"/>
      <w:pPr>
        <w:ind w:left="7560" w:hanging="360"/>
      </w:pPr>
    </w:lvl>
    <w:lvl w:ilvl="7" w:tplc="EBFE37A6" w:tentative="1">
      <w:start w:val="1"/>
      <w:numFmt w:val="lowerLetter"/>
      <w:lvlText w:val="%8."/>
      <w:lvlJc w:val="left"/>
      <w:pPr>
        <w:ind w:left="8280" w:hanging="360"/>
      </w:pPr>
    </w:lvl>
    <w:lvl w:ilvl="8" w:tplc="384895DC" w:tentative="1">
      <w:start w:val="1"/>
      <w:numFmt w:val="lowerRoman"/>
      <w:lvlText w:val="%9."/>
      <w:lvlJc w:val="right"/>
      <w:pPr>
        <w:ind w:left="9000" w:hanging="180"/>
      </w:pPr>
    </w:lvl>
  </w:abstractNum>
  <w:abstractNum w:abstractNumId="102" w15:restartNumberingAfterBreak="0">
    <w:nsid w:val="6A3B365D"/>
    <w:multiLevelType w:val="hybridMultilevel"/>
    <w:tmpl w:val="D0A040C4"/>
    <w:lvl w:ilvl="0" w:tplc="7584A81C">
      <w:start w:val="1"/>
      <w:numFmt w:val="decimal"/>
      <w:lvlText w:val="%1."/>
      <w:lvlJc w:val="left"/>
      <w:pPr>
        <w:ind w:left="720" w:hanging="360"/>
      </w:pPr>
      <w:rPr>
        <w:rFonts w:asciiTheme="minorHAnsi" w:hAnsiTheme="minorHAnsi" w:hint="default"/>
        <w:i w:val="0"/>
        <w:sz w:val="24"/>
        <w:szCs w:val="24"/>
      </w:rPr>
    </w:lvl>
    <w:lvl w:ilvl="1" w:tplc="A39E8BD6">
      <w:start w:val="1"/>
      <w:numFmt w:val="lowerLetter"/>
      <w:lvlText w:val="%2."/>
      <w:lvlJc w:val="left"/>
      <w:pPr>
        <w:ind w:left="1440" w:hanging="360"/>
      </w:pPr>
    </w:lvl>
    <w:lvl w:ilvl="2" w:tplc="1B0E4D96">
      <w:start w:val="1"/>
      <w:numFmt w:val="decimal"/>
      <w:lvlText w:val="%3)"/>
      <w:lvlJc w:val="left"/>
      <w:pPr>
        <w:ind w:left="2340" w:hanging="360"/>
      </w:pPr>
      <w:rPr>
        <w:rFonts w:hint="default"/>
      </w:rPr>
    </w:lvl>
    <w:lvl w:ilvl="3" w:tplc="66C4CD14" w:tentative="1">
      <w:start w:val="1"/>
      <w:numFmt w:val="decimal"/>
      <w:lvlText w:val="%4."/>
      <w:lvlJc w:val="left"/>
      <w:pPr>
        <w:ind w:left="2880" w:hanging="360"/>
      </w:pPr>
    </w:lvl>
    <w:lvl w:ilvl="4" w:tplc="27C28F34" w:tentative="1">
      <w:start w:val="1"/>
      <w:numFmt w:val="lowerLetter"/>
      <w:lvlText w:val="%5."/>
      <w:lvlJc w:val="left"/>
      <w:pPr>
        <w:ind w:left="3600" w:hanging="360"/>
      </w:pPr>
    </w:lvl>
    <w:lvl w:ilvl="5" w:tplc="3EE0951E" w:tentative="1">
      <w:start w:val="1"/>
      <w:numFmt w:val="lowerRoman"/>
      <w:lvlText w:val="%6."/>
      <w:lvlJc w:val="right"/>
      <w:pPr>
        <w:ind w:left="4320" w:hanging="180"/>
      </w:pPr>
    </w:lvl>
    <w:lvl w:ilvl="6" w:tplc="02F821CE" w:tentative="1">
      <w:start w:val="1"/>
      <w:numFmt w:val="decimal"/>
      <w:lvlText w:val="%7."/>
      <w:lvlJc w:val="left"/>
      <w:pPr>
        <w:ind w:left="5040" w:hanging="360"/>
      </w:pPr>
    </w:lvl>
    <w:lvl w:ilvl="7" w:tplc="40EE71FA" w:tentative="1">
      <w:start w:val="1"/>
      <w:numFmt w:val="lowerLetter"/>
      <w:lvlText w:val="%8."/>
      <w:lvlJc w:val="left"/>
      <w:pPr>
        <w:ind w:left="5760" w:hanging="360"/>
      </w:pPr>
    </w:lvl>
    <w:lvl w:ilvl="8" w:tplc="F0BAB676" w:tentative="1">
      <w:start w:val="1"/>
      <w:numFmt w:val="lowerRoman"/>
      <w:lvlText w:val="%9."/>
      <w:lvlJc w:val="right"/>
      <w:pPr>
        <w:ind w:left="6480" w:hanging="180"/>
      </w:pPr>
    </w:lvl>
  </w:abstractNum>
  <w:abstractNum w:abstractNumId="103" w15:restartNumberingAfterBreak="0">
    <w:nsid w:val="6C925A84"/>
    <w:multiLevelType w:val="hybridMultilevel"/>
    <w:tmpl w:val="805E03C4"/>
    <w:lvl w:ilvl="0" w:tplc="AA30A292">
      <w:start w:val="1"/>
      <w:numFmt w:val="decimal"/>
      <w:lvlText w:val="%1."/>
      <w:lvlJc w:val="left"/>
      <w:pPr>
        <w:ind w:left="5400" w:hanging="360"/>
      </w:pPr>
    </w:lvl>
    <w:lvl w:ilvl="1" w:tplc="36D289D4" w:tentative="1">
      <w:start w:val="1"/>
      <w:numFmt w:val="lowerLetter"/>
      <w:lvlText w:val="%2."/>
      <w:lvlJc w:val="left"/>
      <w:pPr>
        <w:ind w:left="6120" w:hanging="360"/>
      </w:pPr>
    </w:lvl>
    <w:lvl w:ilvl="2" w:tplc="12DCC37A" w:tentative="1">
      <w:start w:val="1"/>
      <w:numFmt w:val="lowerRoman"/>
      <w:lvlText w:val="%3."/>
      <w:lvlJc w:val="right"/>
      <w:pPr>
        <w:ind w:left="6840" w:hanging="180"/>
      </w:pPr>
    </w:lvl>
    <w:lvl w:ilvl="3" w:tplc="A8F2BF5E" w:tentative="1">
      <w:start w:val="1"/>
      <w:numFmt w:val="decimal"/>
      <w:lvlText w:val="%4."/>
      <w:lvlJc w:val="left"/>
      <w:pPr>
        <w:ind w:left="7560" w:hanging="360"/>
      </w:pPr>
    </w:lvl>
    <w:lvl w:ilvl="4" w:tplc="04EC3384" w:tentative="1">
      <w:start w:val="1"/>
      <w:numFmt w:val="lowerLetter"/>
      <w:lvlText w:val="%5."/>
      <w:lvlJc w:val="left"/>
      <w:pPr>
        <w:ind w:left="8280" w:hanging="360"/>
      </w:pPr>
    </w:lvl>
    <w:lvl w:ilvl="5" w:tplc="B44681D6" w:tentative="1">
      <w:start w:val="1"/>
      <w:numFmt w:val="lowerRoman"/>
      <w:lvlText w:val="%6."/>
      <w:lvlJc w:val="right"/>
      <w:pPr>
        <w:ind w:left="9000" w:hanging="180"/>
      </w:pPr>
    </w:lvl>
    <w:lvl w:ilvl="6" w:tplc="8FE82D86" w:tentative="1">
      <w:start w:val="1"/>
      <w:numFmt w:val="decimal"/>
      <w:lvlText w:val="%7."/>
      <w:lvlJc w:val="left"/>
      <w:pPr>
        <w:ind w:left="9720" w:hanging="360"/>
      </w:pPr>
    </w:lvl>
    <w:lvl w:ilvl="7" w:tplc="F0E2B3F6" w:tentative="1">
      <w:start w:val="1"/>
      <w:numFmt w:val="lowerLetter"/>
      <w:lvlText w:val="%8."/>
      <w:lvlJc w:val="left"/>
      <w:pPr>
        <w:ind w:left="10440" w:hanging="360"/>
      </w:pPr>
    </w:lvl>
    <w:lvl w:ilvl="8" w:tplc="5DACEB0C" w:tentative="1">
      <w:start w:val="1"/>
      <w:numFmt w:val="lowerRoman"/>
      <w:lvlText w:val="%9."/>
      <w:lvlJc w:val="right"/>
      <w:pPr>
        <w:ind w:left="11160" w:hanging="180"/>
      </w:pPr>
    </w:lvl>
  </w:abstractNum>
  <w:abstractNum w:abstractNumId="104" w15:restartNumberingAfterBreak="0">
    <w:nsid w:val="6CD27156"/>
    <w:multiLevelType w:val="hybridMultilevel"/>
    <w:tmpl w:val="3970F410"/>
    <w:lvl w:ilvl="0" w:tplc="2A901CFE">
      <w:start w:val="1"/>
      <w:numFmt w:val="bullet"/>
      <w:lvlText w:val=""/>
      <w:lvlJc w:val="left"/>
      <w:pPr>
        <w:ind w:left="720" w:hanging="360"/>
      </w:pPr>
      <w:rPr>
        <w:rFonts w:ascii="Symbol" w:hAnsi="Symbol" w:hint="default"/>
      </w:rPr>
    </w:lvl>
    <w:lvl w:ilvl="1" w:tplc="9FF88502" w:tentative="1">
      <w:start w:val="1"/>
      <w:numFmt w:val="bullet"/>
      <w:lvlText w:val="o"/>
      <w:lvlJc w:val="left"/>
      <w:pPr>
        <w:ind w:left="1440" w:hanging="360"/>
      </w:pPr>
      <w:rPr>
        <w:rFonts w:ascii="Courier New" w:hAnsi="Courier New" w:cs="Courier New" w:hint="default"/>
      </w:rPr>
    </w:lvl>
    <w:lvl w:ilvl="2" w:tplc="3D9AAE44" w:tentative="1">
      <w:start w:val="1"/>
      <w:numFmt w:val="bullet"/>
      <w:lvlText w:val=""/>
      <w:lvlJc w:val="left"/>
      <w:pPr>
        <w:ind w:left="2160" w:hanging="360"/>
      </w:pPr>
      <w:rPr>
        <w:rFonts w:ascii="Wingdings" w:hAnsi="Wingdings" w:hint="default"/>
      </w:rPr>
    </w:lvl>
    <w:lvl w:ilvl="3" w:tplc="1BC6D47A" w:tentative="1">
      <w:start w:val="1"/>
      <w:numFmt w:val="bullet"/>
      <w:lvlText w:val=""/>
      <w:lvlJc w:val="left"/>
      <w:pPr>
        <w:ind w:left="2880" w:hanging="360"/>
      </w:pPr>
      <w:rPr>
        <w:rFonts w:ascii="Symbol" w:hAnsi="Symbol" w:hint="default"/>
      </w:rPr>
    </w:lvl>
    <w:lvl w:ilvl="4" w:tplc="E7449ECA" w:tentative="1">
      <w:start w:val="1"/>
      <w:numFmt w:val="bullet"/>
      <w:lvlText w:val="o"/>
      <w:lvlJc w:val="left"/>
      <w:pPr>
        <w:ind w:left="3600" w:hanging="360"/>
      </w:pPr>
      <w:rPr>
        <w:rFonts w:ascii="Courier New" w:hAnsi="Courier New" w:cs="Courier New" w:hint="default"/>
      </w:rPr>
    </w:lvl>
    <w:lvl w:ilvl="5" w:tplc="23583D94" w:tentative="1">
      <w:start w:val="1"/>
      <w:numFmt w:val="bullet"/>
      <w:lvlText w:val=""/>
      <w:lvlJc w:val="left"/>
      <w:pPr>
        <w:ind w:left="4320" w:hanging="360"/>
      </w:pPr>
      <w:rPr>
        <w:rFonts w:ascii="Wingdings" w:hAnsi="Wingdings" w:hint="default"/>
      </w:rPr>
    </w:lvl>
    <w:lvl w:ilvl="6" w:tplc="B288A33E" w:tentative="1">
      <w:start w:val="1"/>
      <w:numFmt w:val="bullet"/>
      <w:lvlText w:val=""/>
      <w:lvlJc w:val="left"/>
      <w:pPr>
        <w:ind w:left="5040" w:hanging="360"/>
      </w:pPr>
      <w:rPr>
        <w:rFonts w:ascii="Symbol" w:hAnsi="Symbol" w:hint="default"/>
      </w:rPr>
    </w:lvl>
    <w:lvl w:ilvl="7" w:tplc="FBF68F1E" w:tentative="1">
      <w:start w:val="1"/>
      <w:numFmt w:val="bullet"/>
      <w:lvlText w:val="o"/>
      <w:lvlJc w:val="left"/>
      <w:pPr>
        <w:ind w:left="5760" w:hanging="360"/>
      </w:pPr>
      <w:rPr>
        <w:rFonts w:ascii="Courier New" w:hAnsi="Courier New" w:cs="Courier New" w:hint="default"/>
      </w:rPr>
    </w:lvl>
    <w:lvl w:ilvl="8" w:tplc="E9C83508" w:tentative="1">
      <w:start w:val="1"/>
      <w:numFmt w:val="bullet"/>
      <w:lvlText w:val=""/>
      <w:lvlJc w:val="left"/>
      <w:pPr>
        <w:ind w:left="6480" w:hanging="360"/>
      </w:pPr>
      <w:rPr>
        <w:rFonts w:ascii="Wingdings" w:hAnsi="Wingdings" w:hint="default"/>
      </w:rPr>
    </w:lvl>
  </w:abstractNum>
  <w:abstractNum w:abstractNumId="105" w15:restartNumberingAfterBreak="0">
    <w:nsid w:val="6D855E6D"/>
    <w:multiLevelType w:val="multilevel"/>
    <w:tmpl w:val="8A8A46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6E4E6F76"/>
    <w:multiLevelType w:val="hybridMultilevel"/>
    <w:tmpl w:val="889EB320"/>
    <w:lvl w:ilvl="0" w:tplc="FEB894CC">
      <w:start w:val="1"/>
      <w:numFmt w:val="bullet"/>
      <w:lvlText w:val=""/>
      <w:lvlJc w:val="left"/>
      <w:pPr>
        <w:ind w:left="2160" w:hanging="360"/>
      </w:pPr>
      <w:rPr>
        <w:rFonts w:ascii="Symbol" w:hAnsi="Symbol" w:hint="default"/>
      </w:rPr>
    </w:lvl>
    <w:lvl w:ilvl="1" w:tplc="CBEE1884" w:tentative="1">
      <w:start w:val="1"/>
      <w:numFmt w:val="bullet"/>
      <w:lvlText w:val="o"/>
      <w:lvlJc w:val="left"/>
      <w:pPr>
        <w:ind w:left="2880" w:hanging="360"/>
      </w:pPr>
      <w:rPr>
        <w:rFonts w:ascii="Courier New" w:hAnsi="Courier New" w:cs="Courier New" w:hint="default"/>
      </w:rPr>
    </w:lvl>
    <w:lvl w:ilvl="2" w:tplc="E9C49784" w:tentative="1">
      <w:start w:val="1"/>
      <w:numFmt w:val="bullet"/>
      <w:lvlText w:val=""/>
      <w:lvlJc w:val="left"/>
      <w:pPr>
        <w:ind w:left="3600" w:hanging="360"/>
      </w:pPr>
      <w:rPr>
        <w:rFonts w:ascii="Wingdings" w:hAnsi="Wingdings" w:hint="default"/>
      </w:rPr>
    </w:lvl>
    <w:lvl w:ilvl="3" w:tplc="1E54DF0E" w:tentative="1">
      <w:start w:val="1"/>
      <w:numFmt w:val="bullet"/>
      <w:lvlText w:val=""/>
      <w:lvlJc w:val="left"/>
      <w:pPr>
        <w:ind w:left="4320" w:hanging="360"/>
      </w:pPr>
      <w:rPr>
        <w:rFonts w:ascii="Symbol" w:hAnsi="Symbol" w:hint="default"/>
      </w:rPr>
    </w:lvl>
    <w:lvl w:ilvl="4" w:tplc="D592DD78" w:tentative="1">
      <w:start w:val="1"/>
      <w:numFmt w:val="bullet"/>
      <w:lvlText w:val="o"/>
      <w:lvlJc w:val="left"/>
      <w:pPr>
        <w:ind w:left="5040" w:hanging="360"/>
      </w:pPr>
      <w:rPr>
        <w:rFonts w:ascii="Courier New" w:hAnsi="Courier New" w:cs="Courier New" w:hint="default"/>
      </w:rPr>
    </w:lvl>
    <w:lvl w:ilvl="5" w:tplc="EF5418D6" w:tentative="1">
      <w:start w:val="1"/>
      <w:numFmt w:val="bullet"/>
      <w:lvlText w:val=""/>
      <w:lvlJc w:val="left"/>
      <w:pPr>
        <w:ind w:left="5760" w:hanging="360"/>
      </w:pPr>
      <w:rPr>
        <w:rFonts w:ascii="Wingdings" w:hAnsi="Wingdings" w:hint="default"/>
      </w:rPr>
    </w:lvl>
    <w:lvl w:ilvl="6" w:tplc="398C0DFC" w:tentative="1">
      <w:start w:val="1"/>
      <w:numFmt w:val="bullet"/>
      <w:lvlText w:val=""/>
      <w:lvlJc w:val="left"/>
      <w:pPr>
        <w:ind w:left="6480" w:hanging="360"/>
      </w:pPr>
      <w:rPr>
        <w:rFonts w:ascii="Symbol" w:hAnsi="Symbol" w:hint="default"/>
      </w:rPr>
    </w:lvl>
    <w:lvl w:ilvl="7" w:tplc="ED06C714" w:tentative="1">
      <w:start w:val="1"/>
      <w:numFmt w:val="bullet"/>
      <w:lvlText w:val="o"/>
      <w:lvlJc w:val="left"/>
      <w:pPr>
        <w:ind w:left="7200" w:hanging="360"/>
      </w:pPr>
      <w:rPr>
        <w:rFonts w:ascii="Courier New" w:hAnsi="Courier New" w:cs="Courier New" w:hint="default"/>
      </w:rPr>
    </w:lvl>
    <w:lvl w:ilvl="8" w:tplc="027A74CA" w:tentative="1">
      <w:start w:val="1"/>
      <w:numFmt w:val="bullet"/>
      <w:lvlText w:val=""/>
      <w:lvlJc w:val="left"/>
      <w:pPr>
        <w:ind w:left="7920" w:hanging="360"/>
      </w:pPr>
      <w:rPr>
        <w:rFonts w:ascii="Wingdings" w:hAnsi="Wingdings" w:hint="default"/>
      </w:rPr>
    </w:lvl>
  </w:abstractNum>
  <w:abstractNum w:abstractNumId="107" w15:restartNumberingAfterBreak="0">
    <w:nsid w:val="6E964488"/>
    <w:multiLevelType w:val="hybridMultilevel"/>
    <w:tmpl w:val="B4A01570"/>
    <w:lvl w:ilvl="0" w:tplc="92962B8A">
      <w:start w:val="1"/>
      <w:numFmt w:val="bullet"/>
      <w:lvlText w:val=""/>
      <w:lvlJc w:val="left"/>
      <w:pPr>
        <w:ind w:left="2160" w:hanging="360"/>
      </w:pPr>
      <w:rPr>
        <w:rFonts w:ascii="Symbol" w:hAnsi="Symbol" w:hint="default"/>
      </w:rPr>
    </w:lvl>
    <w:lvl w:ilvl="1" w:tplc="AE16F632" w:tentative="1">
      <w:start w:val="1"/>
      <w:numFmt w:val="bullet"/>
      <w:lvlText w:val="o"/>
      <w:lvlJc w:val="left"/>
      <w:pPr>
        <w:ind w:left="2880" w:hanging="360"/>
      </w:pPr>
      <w:rPr>
        <w:rFonts w:ascii="Courier New" w:hAnsi="Courier New" w:cs="Courier New" w:hint="default"/>
      </w:rPr>
    </w:lvl>
    <w:lvl w:ilvl="2" w:tplc="6910285E" w:tentative="1">
      <w:start w:val="1"/>
      <w:numFmt w:val="bullet"/>
      <w:lvlText w:val=""/>
      <w:lvlJc w:val="left"/>
      <w:pPr>
        <w:ind w:left="3600" w:hanging="360"/>
      </w:pPr>
      <w:rPr>
        <w:rFonts w:ascii="Wingdings" w:hAnsi="Wingdings" w:hint="default"/>
      </w:rPr>
    </w:lvl>
    <w:lvl w:ilvl="3" w:tplc="E5BAD3CC" w:tentative="1">
      <w:start w:val="1"/>
      <w:numFmt w:val="bullet"/>
      <w:lvlText w:val=""/>
      <w:lvlJc w:val="left"/>
      <w:pPr>
        <w:ind w:left="4320" w:hanging="360"/>
      </w:pPr>
      <w:rPr>
        <w:rFonts w:ascii="Symbol" w:hAnsi="Symbol" w:hint="default"/>
      </w:rPr>
    </w:lvl>
    <w:lvl w:ilvl="4" w:tplc="CFFECA6C" w:tentative="1">
      <w:start w:val="1"/>
      <w:numFmt w:val="bullet"/>
      <w:lvlText w:val="o"/>
      <w:lvlJc w:val="left"/>
      <w:pPr>
        <w:ind w:left="5040" w:hanging="360"/>
      </w:pPr>
      <w:rPr>
        <w:rFonts w:ascii="Courier New" w:hAnsi="Courier New" w:cs="Courier New" w:hint="default"/>
      </w:rPr>
    </w:lvl>
    <w:lvl w:ilvl="5" w:tplc="46A8EFAE" w:tentative="1">
      <w:start w:val="1"/>
      <w:numFmt w:val="bullet"/>
      <w:lvlText w:val=""/>
      <w:lvlJc w:val="left"/>
      <w:pPr>
        <w:ind w:left="5760" w:hanging="360"/>
      </w:pPr>
      <w:rPr>
        <w:rFonts w:ascii="Wingdings" w:hAnsi="Wingdings" w:hint="default"/>
      </w:rPr>
    </w:lvl>
    <w:lvl w:ilvl="6" w:tplc="995A9710" w:tentative="1">
      <w:start w:val="1"/>
      <w:numFmt w:val="bullet"/>
      <w:lvlText w:val=""/>
      <w:lvlJc w:val="left"/>
      <w:pPr>
        <w:ind w:left="6480" w:hanging="360"/>
      </w:pPr>
      <w:rPr>
        <w:rFonts w:ascii="Symbol" w:hAnsi="Symbol" w:hint="default"/>
      </w:rPr>
    </w:lvl>
    <w:lvl w:ilvl="7" w:tplc="D8B88AE8" w:tentative="1">
      <w:start w:val="1"/>
      <w:numFmt w:val="bullet"/>
      <w:lvlText w:val="o"/>
      <w:lvlJc w:val="left"/>
      <w:pPr>
        <w:ind w:left="7200" w:hanging="360"/>
      </w:pPr>
      <w:rPr>
        <w:rFonts w:ascii="Courier New" w:hAnsi="Courier New" w:cs="Courier New" w:hint="default"/>
      </w:rPr>
    </w:lvl>
    <w:lvl w:ilvl="8" w:tplc="8314F6F6" w:tentative="1">
      <w:start w:val="1"/>
      <w:numFmt w:val="bullet"/>
      <w:lvlText w:val=""/>
      <w:lvlJc w:val="left"/>
      <w:pPr>
        <w:ind w:left="7920" w:hanging="360"/>
      </w:pPr>
      <w:rPr>
        <w:rFonts w:ascii="Wingdings" w:hAnsi="Wingdings" w:hint="default"/>
      </w:rPr>
    </w:lvl>
  </w:abstractNum>
  <w:abstractNum w:abstractNumId="108" w15:restartNumberingAfterBreak="0">
    <w:nsid w:val="72050B68"/>
    <w:multiLevelType w:val="hybridMultilevel"/>
    <w:tmpl w:val="ECDEA318"/>
    <w:lvl w:ilvl="0" w:tplc="FFFFFFFF">
      <w:start w:val="1"/>
      <w:numFmt w:val="decimal"/>
      <w:lvlText w:val="%1."/>
      <w:lvlJc w:val="left"/>
      <w:pPr>
        <w:ind w:left="1800" w:hanging="360"/>
      </w:p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9"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110" w15:restartNumberingAfterBreak="0">
    <w:nsid w:val="732D4CEE"/>
    <w:multiLevelType w:val="hybridMultilevel"/>
    <w:tmpl w:val="20BAD5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1" w15:restartNumberingAfterBreak="0">
    <w:nsid w:val="738F7EEF"/>
    <w:multiLevelType w:val="multilevel"/>
    <w:tmpl w:val="A1EC4692"/>
    <w:styleLink w:val="FOATemplateListStyle1"/>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 w:ilvl="3">
      <w:start w:val="1"/>
      <w:numFmt w:val="lowerRoman"/>
      <w:pStyle w:val="FOAHeading4"/>
      <w:lvlText w:val="%4."/>
      <w:lvlJc w:val="left"/>
      <w:pPr>
        <w:ind w:left="1800" w:hanging="360"/>
      </w:pPr>
      <w:rPr>
        <w:rFonts w:ascii="Calibri" w:hAnsi="Calibri" w:hint="default"/>
        <w:i/>
        <w:caps w:val="0"/>
        <w:smallCaps w:val="0"/>
        <w:strike w:val="0"/>
        <w:dstrike w:val="0"/>
        <w:vanish w:val="0"/>
        <w:sz w:val="24"/>
        <w:vertAlign w:val="baseli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2" w15:restartNumberingAfterBreak="0">
    <w:nsid w:val="75227418"/>
    <w:multiLevelType w:val="hybridMultilevel"/>
    <w:tmpl w:val="3304B0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15:restartNumberingAfterBreak="0">
    <w:nsid w:val="75406CA9"/>
    <w:multiLevelType w:val="hybridMultilevel"/>
    <w:tmpl w:val="CACEE5D0"/>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114" w15:restartNumberingAfterBreak="0">
    <w:nsid w:val="75727256"/>
    <w:multiLevelType w:val="hybridMultilevel"/>
    <w:tmpl w:val="44FE21EE"/>
    <w:lvl w:ilvl="0" w:tplc="6184613C">
      <w:start w:val="1"/>
      <w:numFmt w:val="lowerRoman"/>
      <w:lvlText w:val="%1."/>
      <w:lvlJc w:val="right"/>
      <w:pPr>
        <w:ind w:left="1080" w:hanging="360"/>
      </w:pPr>
    </w:lvl>
    <w:lvl w:ilvl="1" w:tplc="9EFEDD38">
      <w:start w:val="1"/>
      <w:numFmt w:val="lowerLetter"/>
      <w:lvlText w:val="%2."/>
      <w:lvlJc w:val="left"/>
      <w:pPr>
        <w:ind w:left="1800" w:hanging="360"/>
      </w:pPr>
    </w:lvl>
    <w:lvl w:ilvl="2" w:tplc="6AF84CF0">
      <w:start w:val="1"/>
      <w:numFmt w:val="lowerRoman"/>
      <w:lvlText w:val="%3."/>
      <w:lvlJc w:val="right"/>
      <w:pPr>
        <w:ind w:left="2520" w:hanging="180"/>
      </w:pPr>
    </w:lvl>
    <w:lvl w:ilvl="3" w:tplc="028295A6" w:tentative="1">
      <w:start w:val="1"/>
      <w:numFmt w:val="decimal"/>
      <w:lvlText w:val="%4."/>
      <w:lvlJc w:val="left"/>
      <w:pPr>
        <w:ind w:left="3240" w:hanging="360"/>
      </w:pPr>
    </w:lvl>
    <w:lvl w:ilvl="4" w:tplc="65225530" w:tentative="1">
      <w:start w:val="1"/>
      <w:numFmt w:val="lowerLetter"/>
      <w:lvlText w:val="%5."/>
      <w:lvlJc w:val="left"/>
      <w:pPr>
        <w:ind w:left="3960" w:hanging="360"/>
      </w:pPr>
    </w:lvl>
    <w:lvl w:ilvl="5" w:tplc="63A64B30" w:tentative="1">
      <w:start w:val="1"/>
      <w:numFmt w:val="lowerRoman"/>
      <w:lvlText w:val="%6."/>
      <w:lvlJc w:val="right"/>
      <w:pPr>
        <w:ind w:left="4680" w:hanging="180"/>
      </w:pPr>
    </w:lvl>
    <w:lvl w:ilvl="6" w:tplc="F4BA1E04" w:tentative="1">
      <w:start w:val="1"/>
      <w:numFmt w:val="decimal"/>
      <w:lvlText w:val="%7."/>
      <w:lvlJc w:val="left"/>
      <w:pPr>
        <w:ind w:left="5400" w:hanging="360"/>
      </w:pPr>
    </w:lvl>
    <w:lvl w:ilvl="7" w:tplc="CFF8165C" w:tentative="1">
      <w:start w:val="1"/>
      <w:numFmt w:val="lowerLetter"/>
      <w:lvlText w:val="%8."/>
      <w:lvlJc w:val="left"/>
      <w:pPr>
        <w:ind w:left="6120" w:hanging="360"/>
      </w:pPr>
    </w:lvl>
    <w:lvl w:ilvl="8" w:tplc="2968FEC4" w:tentative="1">
      <w:start w:val="1"/>
      <w:numFmt w:val="lowerRoman"/>
      <w:lvlText w:val="%9."/>
      <w:lvlJc w:val="right"/>
      <w:pPr>
        <w:ind w:left="6840" w:hanging="180"/>
      </w:pPr>
    </w:lvl>
  </w:abstractNum>
  <w:abstractNum w:abstractNumId="115" w15:restartNumberingAfterBreak="0">
    <w:nsid w:val="762D74CF"/>
    <w:multiLevelType w:val="hybridMultilevel"/>
    <w:tmpl w:val="04A6D320"/>
    <w:lvl w:ilvl="0" w:tplc="CC6CE43E">
      <w:start w:val="1"/>
      <w:numFmt w:val="bullet"/>
      <w:lvlText w:val=""/>
      <w:lvlJc w:val="left"/>
      <w:pPr>
        <w:ind w:left="-360" w:hanging="360"/>
      </w:pPr>
      <w:rPr>
        <w:rFonts w:ascii="Symbol" w:hAnsi="Symbol" w:hint="default"/>
      </w:rPr>
    </w:lvl>
    <w:lvl w:ilvl="1" w:tplc="9F3AEA24" w:tentative="1">
      <w:start w:val="1"/>
      <w:numFmt w:val="bullet"/>
      <w:lvlText w:val="o"/>
      <w:lvlJc w:val="left"/>
      <w:pPr>
        <w:ind w:left="360" w:hanging="360"/>
      </w:pPr>
      <w:rPr>
        <w:rFonts w:ascii="Courier New" w:hAnsi="Courier New" w:cs="Courier New" w:hint="default"/>
      </w:rPr>
    </w:lvl>
    <w:lvl w:ilvl="2" w:tplc="FE9C4DA8" w:tentative="1">
      <w:start w:val="1"/>
      <w:numFmt w:val="bullet"/>
      <w:lvlText w:val=""/>
      <w:lvlJc w:val="left"/>
      <w:pPr>
        <w:ind w:left="1080" w:hanging="360"/>
      </w:pPr>
      <w:rPr>
        <w:rFonts w:ascii="Wingdings" w:hAnsi="Wingdings" w:hint="default"/>
      </w:rPr>
    </w:lvl>
    <w:lvl w:ilvl="3" w:tplc="740699FC" w:tentative="1">
      <w:start w:val="1"/>
      <w:numFmt w:val="bullet"/>
      <w:lvlText w:val=""/>
      <w:lvlJc w:val="left"/>
      <w:pPr>
        <w:ind w:left="1800" w:hanging="360"/>
      </w:pPr>
      <w:rPr>
        <w:rFonts w:ascii="Symbol" w:hAnsi="Symbol" w:hint="default"/>
      </w:rPr>
    </w:lvl>
    <w:lvl w:ilvl="4" w:tplc="DB747E12" w:tentative="1">
      <w:start w:val="1"/>
      <w:numFmt w:val="bullet"/>
      <w:lvlText w:val="o"/>
      <w:lvlJc w:val="left"/>
      <w:pPr>
        <w:ind w:left="2520" w:hanging="360"/>
      </w:pPr>
      <w:rPr>
        <w:rFonts w:ascii="Courier New" w:hAnsi="Courier New" w:cs="Courier New" w:hint="default"/>
      </w:rPr>
    </w:lvl>
    <w:lvl w:ilvl="5" w:tplc="E07810A8" w:tentative="1">
      <w:start w:val="1"/>
      <w:numFmt w:val="bullet"/>
      <w:lvlText w:val=""/>
      <w:lvlJc w:val="left"/>
      <w:pPr>
        <w:ind w:left="3240" w:hanging="360"/>
      </w:pPr>
      <w:rPr>
        <w:rFonts w:ascii="Wingdings" w:hAnsi="Wingdings" w:hint="default"/>
      </w:rPr>
    </w:lvl>
    <w:lvl w:ilvl="6" w:tplc="4EA6906C" w:tentative="1">
      <w:start w:val="1"/>
      <w:numFmt w:val="bullet"/>
      <w:lvlText w:val=""/>
      <w:lvlJc w:val="left"/>
      <w:pPr>
        <w:ind w:left="3960" w:hanging="360"/>
      </w:pPr>
      <w:rPr>
        <w:rFonts w:ascii="Symbol" w:hAnsi="Symbol" w:hint="default"/>
      </w:rPr>
    </w:lvl>
    <w:lvl w:ilvl="7" w:tplc="1CAEA164" w:tentative="1">
      <w:start w:val="1"/>
      <w:numFmt w:val="bullet"/>
      <w:lvlText w:val="o"/>
      <w:lvlJc w:val="left"/>
      <w:pPr>
        <w:ind w:left="4680" w:hanging="360"/>
      </w:pPr>
      <w:rPr>
        <w:rFonts w:ascii="Courier New" w:hAnsi="Courier New" w:cs="Courier New" w:hint="default"/>
      </w:rPr>
    </w:lvl>
    <w:lvl w:ilvl="8" w:tplc="1B3A02AE" w:tentative="1">
      <w:start w:val="1"/>
      <w:numFmt w:val="bullet"/>
      <w:lvlText w:val=""/>
      <w:lvlJc w:val="left"/>
      <w:pPr>
        <w:ind w:left="5400" w:hanging="360"/>
      </w:pPr>
      <w:rPr>
        <w:rFonts w:ascii="Wingdings" w:hAnsi="Wingdings" w:hint="default"/>
      </w:rPr>
    </w:lvl>
  </w:abstractNum>
  <w:abstractNum w:abstractNumId="116" w15:restartNumberingAfterBreak="0">
    <w:nsid w:val="76E04402"/>
    <w:multiLevelType w:val="hybridMultilevel"/>
    <w:tmpl w:val="AD66B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5C466F"/>
    <w:multiLevelType w:val="hybridMultilevel"/>
    <w:tmpl w:val="E0B6469C"/>
    <w:lvl w:ilvl="0" w:tplc="2D58CFAA">
      <w:start w:val="1"/>
      <w:numFmt w:val="bullet"/>
      <w:lvlText w:val=""/>
      <w:lvlJc w:val="left"/>
      <w:pPr>
        <w:ind w:left="1800" w:hanging="360"/>
      </w:pPr>
      <w:rPr>
        <w:rFonts w:ascii="Symbol" w:hAnsi="Symbol" w:hint="default"/>
      </w:rPr>
    </w:lvl>
    <w:lvl w:ilvl="1" w:tplc="5D46E3B4" w:tentative="1">
      <w:start w:val="1"/>
      <w:numFmt w:val="bullet"/>
      <w:lvlText w:val="o"/>
      <w:lvlJc w:val="left"/>
      <w:pPr>
        <w:ind w:left="2520" w:hanging="360"/>
      </w:pPr>
      <w:rPr>
        <w:rFonts w:ascii="Courier New" w:hAnsi="Courier New" w:cs="Courier New" w:hint="default"/>
      </w:rPr>
    </w:lvl>
    <w:lvl w:ilvl="2" w:tplc="304C1E54" w:tentative="1">
      <w:start w:val="1"/>
      <w:numFmt w:val="bullet"/>
      <w:lvlText w:val=""/>
      <w:lvlJc w:val="left"/>
      <w:pPr>
        <w:ind w:left="3240" w:hanging="360"/>
      </w:pPr>
      <w:rPr>
        <w:rFonts w:ascii="Wingdings" w:hAnsi="Wingdings" w:hint="default"/>
      </w:rPr>
    </w:lvl>
    <w:lvl w:ilvl="3" w:tplc="C164B934" w:tentative="1">
      <w:start w:val="1"/>
      <w:numFmt w:val="bullet"/>
      <w:lvlText w:val=""/>
      <w:lvlJc w:val="left"/>
      <w:pPr>
        <w:ind w:left="3960" w:hanging="360"/>
      </w:pPr>
      <w:rPr>
        <w:rFonts w:ascii="Symbol" w:hAnsi="Symbol" w:hint="default"/>
      </w:rPr>
    </w:lvl>
    <w:lvl w:ilvl="4" w:tplc="82CC6C6A" w:tentative="1">
      <w:start w:val="1"/>
      <w:numFmt w:val="bullet"/>
      <w:lvlText w:val="o"/>
      <w:lvlJc w:val="left"/>
      <w:pPr>
        <w:ind w:left="4680" w:hanging="360"/>
      </w:pPr>
      <w:rPr>
        <w:rFonts w:ascii="Courier New" w:hAnsi="Courier New" w:cs="Courier New" w:hint="default"/>
      </w:rPr>
    </w:lvl>
    <w:lvl w:ilvl="5" w:tplc="BB4E51E4" w:tentative="1">
      <w:start w:val="1"/>
      <w:numFmt w:val="bullet"/>
      <w:lvlText w:val=""/>
      <w:lvlJc w:val="left"/>
      <w:pPr>
        <w:ind w:left="5400" w:hanging="360"/>
      </w:pPr>
      <w:rPr>
        <w:rFonts w:ascii="Wingdings" w:hAnsi="Wingdings" w:hint="default"/>
      </w:rPr>
    </w:lvl>
    <w:lvl w:ilvl="6" w:tplc="05EA3E50" w:tentative="1">
      <w:start w:val="1"/>
      <w:numFmt w:val="bullet"/>
      <w:lvlText w:val=""/>
      <w:lvlJc w:val="left"/>
      <w:pPr>
        <w:ind w:left="6120" w:hanging="360"/>
      </w:pPr>
      <w:rPr>
        <w:rFonts w:ascii="Symbol" w:hAnsi="Symbol" w:hint="default"/>
      </w:rPr>
    </w:lvl>
    <w:lvl w:ilvl="7" w:tplc="11148A1C" w:tentative="1">
      <w:start w:val="1"/>
      <w:numFmt w:val="bullet"/>
      <w:lvlText w:val="o"/>
      <w:lvlJc w:val="left"/>
      <w:pPr>
        <w:ind w:left="6840" w:hanging="360"/>
      </w:pPr>
      <w:rPr>
        <w:rFonts w:ascii="Courier New" w:hAnsi="Courier New" w:cs="Courier New" w:hint="default"/>
      </w:rPr>
    </w:lvl>
    <w:lvl w:ilvl="8" w:tplc="C84817DC" w:tentative="1">
      <w:start w:val="1"/>
      <w:numFmt w:val="bullet"/>
      <w:lvlText w:val=""/>
      <w:lvlJc w:val="left"/>
      <w:pPr>
        <w:ind w:left="7560" w:hanging="360"/>
      </w:pPr>
      <w:rPr>
        <w:rFonts w:ascii="Wingdings" w:hAnsi="Wingdings" w:hint="default"/>
      </w:rPr>
    </w:lvl>
  </w:abstractNum>
  <w:abstractNum w:abstractNumId="118" w15:restartNumberingAfterBreak="0">
    <w:nsid w:val="786F03E7"/>
    <w:multiLevelType w:val="hybridMultilevel"/>
    <w:tmpl w:val="A73ADE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9" w15:restartNumberingAfterBreak="0">
    <w:nsid w:val="78814FA6"/>
    <w:multiLevelType w:val="hybridMultilevel"/>
    <w:tmpl w:val="CA943FC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0" w15:restartNumberingAfterBreak="0">
    <w:nsid w:val="7A9938B4"/>
    <w:multiLevelType w:val="hybridMultilevel"/>
    <w:tmpl w:val="7BD86778"/>
    <w:lvl w:ilvl="0" w:tplc="29D8B532">
      <w:start w:val="1"/>
      <w:numFmt w:val="bullet"/>
      <w:lvlText w:val=""/>
      <w:lvlJc w:val="left"/>
      <w:pPr>
        <w:ind w:left="720" w:hanging="360"/>
      </w:pPr>
      <w:rPr>
        <w:rFonts w:ascii="Symbol" w:hAnsi="Symbol"/>
      </w:rPr>
    </w:lvl>
    <w:lvl w:ilvl="1" w:tplc="C61E15E6">
      <w:start w:val="1"/>
      <w:numFmt w:val="bullet"/>
      <w:lvlText w:val="o"/>
      <w:lvlJc w:val="left"/>
      <w:pPr>
        <w:ind w:left="1440" w:hanging="360"/>
      </w:pPr>
      <w:rPr>
        <w:rFonts w:ascii="Courier New" w:hAnsi="Courier New"/>
      </w:rPr>
    </w:lvl>
    <w:lvl w:ilvl="2" w:tplc="8E248EE4">
      <w:start w:val="1"/>
      <w:numFmt w:val="bullet"/>
      <w:lvlText w:val=""/>
      <w:lvlJc w:val="left"/>
      <w:pPr>
        <w:tabs>
          <w:tab w:val="num" w:pos="2160"/>
        </w:tabs>
        <w:ind w:left="2160" w:hanging="360"/>
      </w:pPr>
      <w:rPr>
        <w:rFonts w:ascii="Wingdings" w:hAnsi="Wingdings"/>
      </w:rPr>
    </w:lvl>
    <w:lvl w:ilvl="3" w:tplc="3F2E317E">
      <w:start w:val="1"/>
      <w:numFmt w:val="bullet"/>
      <w:lvlText w:val=""/>
      <w:lvlJc w:val="left"/>
      <w:pPr>
        <w:tabs>
          <w:tab w:val="num" w:pos="2880"/>
        </w:tabs>
        <w:ind w:left="2880" w:hanging="360"/>
      </w:pPr>
      <w:rPr>
        <w:rFonts w:ascii="Symbol" w:hAnsi="Symbol"/>
      </w:rPr>
    </w:lvl>
    <w:lvl w:ilvl="4" w:tplc="37008222">
      <w:start w:val="1"/>
      <w:numFmt w:val="bullet"/>
      <w:lvlText w:val="o"/>
      <w:lvlJc w:val="left"/>
      <w:pPr>
        <w:tabs>
          <w:tab w:val="num" w:pos="3600"/>
        </w:tabs>
        <w:ind w:left="3600" w:hanging="360"/>
      </w:pPr>
      <w:rPr>
        <w:rFonts w:ascii="Courier New" w:hAnsi="Courier New"/>
      </w:rPr>
    </w:lvl>
    <w:lvl w:ilvl="5" w:tplc="FBB037E4">
      <w:start w:val="1"/>
      <w:numFmt w:val="bullet"/>
      <w:lvlText w:val=""/>
      <w:lvlJc w:val="left"/>
      <w:pPr>
        <w:tabs>
          <w:tab w:val="num" w:pos="4320"/>
        </w:tabs>
        <w:ind w:left="4320" w:hanging="360"/>
      </w:pPr>
      <w:rPr>
        <w:rFonts w:ascii="Wingdings" w:hAnsi="Wingdings"/>
      </w:rPr>
    </w:lvl>
    <w:lvl w:ilvl="6" w:tplc="936AB9BE">
      <w:start w:val="1"/>
      <w:numFmt w:val="bullet"/>
      <w:lvlText w:val=""/>
      <w:lvlJc w:val="left"/>
      <w:pPr>
        <w:tabs>
          <w:tab w:val="num" w:pos="5040"/>
        </w:tabs>
        <w:ind w:left="5040" w:hanging="360"/>
      </w:pPr>
      <w:rPr>
        <w:rFonts w:ascii="Symbol" w:hAnsi="Symbol"/>
      </w:rPr>
    </w:lvl>
    <w:lvl w:ilvl="7" w:tplc="33A0092E">
      <w:start w:val="1"/>
      <w:numFmt w:val="bullet"/>
      <w:lvlText w:val="o"/>
      <w:lvlJc w:val="left"/>
      <w:pPr>
        <w:tabs>
          <w:tab w:val="num" w:pos="5760"/>
        </w:tabs>
        <w:ind w:left="5760" w:hanging="360"/>
      </w:pPr>
      <w:rPr>
        <w:rFonts w:ascii="Courier New" w:hAnsi="Courier New"/>
      </w:rPr>
    </w:lvl>
    <w:lvl w:ilvl="8" w:tplc="894E00DE">
      <w:start w:val="1"/>
      <w:numFmt w:val="bullet"/>
      <w:lvlText w:val=""/>
      <w:lvlJc w:val="left"/>
      <w:pPr>
        <w:tabs>
          <w:tab w:val="num" w:pos="6480"/>
        </w:tabs>
        <w:ind w:left="6480" w:hanging="360"/>
      </w:pPr>
      <w:rPr>
        <w:rFonts w:ascii="Wingdings" w:hAnsi="Wingdings"/>
      </w:rPr>
    </w:lvl>
  </w:abstractNum>
  <w:abstractNum w:abstractNumId="121" w15:restartNumberingAfterBreak="0">
    <w:nsid w:val="7BD86773"/>
    <w:multiLevelType w:val="hybridMultilevel"/>
    <w:tmpl w:val="283AAB02"/>
    <w:lvl w:ilvl="0" w:tplc="9D903A84">
      <w:start w:val="1"/>
      <w:numFmt w:val="decimal"/>
      <w:lvlText w:val="%1."/>
      <w:lvlJc w:val="left"/>
      <w:pPr>
        <w:ind w:left="720" w:hanging="360"/>
      </w:pPr>
      <w:rPr>
        <w:b/>
      </w:rPr>
    </w:lvl>
    <w:lvl w:ilvl="1" w:tplc="396AF8BA" w:tentative="1">
      <w:start w:val="1"/>
      <w:numFmt w:val="lowerLetter"/>
      <w:lvlText w:val="%2."/>
      <w:lvlJc w:val="left"/>
      <w:pPr>
        <w:ind w:left="1440" w:hanging="360"/>
      </w:pPr>
    </w:lvl>
    <w:lvl w:ilvl="2" w:tplc="8B8ACB6A" w:tentative="1">
      <w:start w:val="1"/>
      <w:numFmt w:val="lowerRoman"/>
      <w:lvlText w:val="%3."/>
      <w:lvlJc w:val="right"/>
      <w:pPr>
        <w:ind w:left="2160" w:hanging="180"/>
      </w:pPr>
    </w:lvl>
    <w:lvl w:ilvl="3" w:tplc="3294C12E" w:tentative="1">
      <w:start w:val="1"/>
      <w:numFmt w:val="decimal"/>
      <w:lvlText w:val="%4."/>
      <w:lvlJc w:val="left"/>
      <w:pPr>
        <w:ind w:left="2880" w:hanging="360"/>
      </w:pPr>
    </w:lvl>
    <w:lvl w:ilvl="4" w:tplc="7890A13E" w:tentative="1">
      <w:start w:val="1"/>
      <w:numFmt w:val="lowerLetter"/>
      <w:lvlText w:val="%5."/>
      <w:lvlJc w:val="left"/>
      <w:pPr>
        <w:ind w:left="3600" w:hanging="360"/>
      </w:pPr>
    </w:lvl>
    <w:lvl w:ilvl="5" w:tplc="391AFC50" w:tentative="1">
      <w:start w:val="1"/>
      <w:numFmt w:val="lowerRoman"/>
      <w:lvlText w:val="%6."/>
      <w:lvlJc w:val="right"/>
      <w:pPr>
        <w:ind w:left="4320" w:hanging="180"/>
      </w:pPr>
    </w:lvl>
    <w:lvl w:ilvl="6" w:tplc="0BF4E154" w:tentative="1">
      <w:start w:val="1"/>
      <w:numFmt w:val="decimal"/>
      <w:lvlText w:val="%7."/>
      <w:lvlJc w:val="left"/>
      <w:pPr>
        <w:ind w:left="5040" w:hanging="360"/>
      </w:pPr>
    </w:lvl>
    <w:lvl w:ilvl="7" w:tplc="EE18D3BE" w:tentative="1">
      <w:start w:val="1"/>
      <w:numFmt w:val="lowerLetter"/>
      <w:lvlText w:val="%8."/>
      <w:lvlJc w:val="left"/>
      <w:pPr>
        <w:ind w:left="5760" w:hanging="360"/>
      </w:pPr>
    </w:lvl>
    <w:lvl w:ilvl="8" w:tplc="A2A63FAE" w:tentative="1">
      <w:start w:val="1"/>
      <w:numFmt w:val="lowerRoman"/>
      <w:lvlText w:val="%9."/>
      <w:lvlJc w:val="right"/>
      <w:pPr>
        <w:ind w:left="6480" w:hanging="180"/>
      </w:pPr>
    </w:lvl>
  </w:abstractNum>
  <w:abstractNum w:abstractNumId="122" w15:restartNumberingAfterBreak="0">
    <w:nsid w:val="7BD86774"/>
    <w:multiLevelType w:val="hybridMultilevel"/>
    <w:tmpl w:val="7BD86774"/>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123" w15:restartNumberingAfterBreak="0">
    <w:nsid w:val="7BD86775"/>
    <w:multiLevelType w:val="hybridMultilevel"/>
    <w:tmpl w:val="7BD86775"/>
    <w:lvl w:ilvl="0" w:tplc="B9A81450">
      <w:start w:val="1"/>
      <w:numFmt w:val="bullet"/>
      <w:lvlText w:val=""/>
      <w:lvlJc w:val="left"/>
      <w:pPr>
        <w:ind w:left="720" w:hanging="360"/>
      </w:pPr>
      <w:rPr>
        <w:rFonts w:ascii="Symbol" w:hAnsi="Symbol"/>
      </w:rPr>
    </w:lvl>
    <w:lvl w:ilvl="1" w:tplc="ACBE74EC">
      <w:start w:val="1"/>
      <w:numFmt w:val="bullet"/>
      <w:lvlText w:val="o"/>
      <w:lvlJc w:val="left"/>
      <w:pPr>
        <w:tabs>
          <w:tab w:val="num" w:pos="1440"/>
        </w:tabs>
        <w:ind w:left="1440" w:hanging="360"/>
      </w:pPr>
      <w:rPr>
        <w:rFonts w:ascii="Courier New" w:hAnsi="Courier New"/>
      </w:rPr>
    </w:lvl>
    <w:lvl w:ilvl="2" w:tplc="00DC3EC6">
      <w:start w:val="1"/>
      <w:numFmt w:val="bullet"/>
      <w:lvlText w:val=""/>
      <w:lvlJc w:val="left"/>
      <w:pPr>
        <w:tabs>
          <w:tab w:val="num" w:pos="2160"/>
        </w:tabs>
        <w:ind w:left="2160" w:hanging="360"/>
      </w:pPr>
      <w:rPr>
        <w:rFonts w:ascii="Wingdings" w:hAnsi="Wingdings"/>
      </w:rPr>
    </w:lvl>
    <w:lvl w:ilvl="3" w:tplc="B36CC33E">
      <w:start w:val="1"/>
      <w:numFmt w:val="bullet"/>
      <w:lvlText w:val=""/>
      <w:lvlJc w:val="left"/>
      <w:pPr>
        <w:tabs>
          <w:tab w:val="num" w:pos="2880"/>
        </w:tabs>
        <w:ind w:left="2880" w:hanging="360"/>
      </w:pPr>
      <w:rPr>
        <w:rFonts w:ascii="Symbol" w:hAnsi="Symbol"/>
      </w:rPr>
    </w:lvl>
    <w:lvl w:ilvl="4" w:tplc="B57026D6">
      <w:start w:val="1"/>
      <w:numFmt w:val="bullet"/>
      <w:lvlText w:val="o"/>
      <w:lvlJc w:val="left"/>
      <w:pPr>
        <w:tabs>
          <w:tab w:val="num" w:pos="3600"/>
        </w:tabs>
        <w:ind w:left="3600" w:hanging="360"/>
      </w:pPr>
      <w:rPr>
        <w:rFonts w:ascii="Courier New" w:hAnsi="Courier New"/>
      </w:rPr>
    </w:lvl>
    <w:lvl w:ilvl="5" w:tplc="22BCCB52">
      <w:start w:val="1"/>
      <w:numFmt w:val="bullet"/>
      <w:lvlText w:val=""/>
      <w:lvlJc w:val="left"/>
      <w:pPr>
        <w:tabs>
          <w:tab w:val="num" w:pos="4320"/>
        </w:tabs>
        <w:ind w:left="4320" w:hanging="360"/>
      </w:pPr>
      <w:rPr>
        <w:rFonts w:ascii="Wingdings" w:hAnsi="Wingdings"/>
      </w:rPr>
    </w:lvl>
    <w:lvl w:ilvl="6" w:tplc="C5E45F3C">
      <w:start w:val="1"/>
      <w:numFmt w:val="bullet"/>
      <w:lvlText w:val=""/>
      <w:lvlJc w:val="left"/>
      <w:pPr>
        <w:tabs>
          <w:tab w:val="num" w:pos="5040"/>
        </w:tabs>
        <w:ind w:left="5040" w:hanging="360"/>
      </w:pPr>
      <w:rPr>
        <w:rFonts w:ascii="Symbol" w:hAnsi="Symbol"/>
      </w:rPr>
    </w:lvl>
    <w:lvl w:ilvl="7" w:tplc="09BE220E">
      <w:start w:val="1"/>
      <w:numFmt w:val="bullet"/>
      <w:lvlText w:val="o"/>
      <w:lvlJc w:val="left"/>
      <w:pPr>
        <w:tabs>
          <w:tab w:val="num" w:pos="5760"/>
        </w:tabs>
        <w:ind w:left="5760" w:hanging="360"/>
      </w:pPr>
      <w:rPr>
        <w:rFonts w:ascii="Courier New" w:hAnsi="Courier New"/>
      </w:rPr>
    </w:lvl>
    <w:lvl w:ilvl="8" w:tplc="F5EACF26">
      <w:start w:val="1"/>
      <w:numFmt w:val="bullet"/>
      <w:lvlText w:val=""/>
      <w:lvlJc w:val="left"/>
      <w:pPr>
        <w:tabs>
          <w:tab w:val="num" w:pos="6480"/>
        </w:tabs>
        <w:ind w:left="6480" w:hanging="360"/>
      </w:pPr>
      <w:rPr>
        <w:rFonts w:ascii="Wingdings" w:hAnsi="Wingdings"/>
      </w:rPr>
    </w:lvl>
  </w:abstractNum>
  <w:abstractNum w:abstractNumId="124" w15:restartNumberingAfterBreak="0">
    <w:nsid w:val="7BD86776"/>
    <w:multiLevelType w:val="hybridMultilevel"/>
    <w:tmpl w:val="7BD86776"/>
    <w:lvl w:ilvl="0" w:tplc="4DAAE436">
      <w:start w:val="1"/>
      <w:numFmt w:val="bullet"/>
      <w:lvlText w:val=""/>
      <w:lvlJc w:val="left"/>
      <w:pPr>
        <w:ind w:left="720" w:hanging="360"/>
      </w:pPr>
      <w:rPr>
        <w:rFonts w:ascii="Symbol" w:hAnsi="Symbol"/>
      </w:rPr>
    </w:lvl>
    <w:lvl w:ilvl="1" w:tplc="9F947520">
      <w:start w:val="1"/>
      <w:numFmt w:val="bullet"/>
      <w:lvlText w:val="o"/>
      <w:lvlJc w:val="left"/>
      <w:pPr>
        <w:ind w:left="1440" w:hanging="360"/>
      </w:pPr>
      <w:rPr>
        <w:rFonts w:ascii="Courier New" w:hAnsi="Courier New"/>
      </w:rPr>
    </w:lvl>
    <w:lvl w:ilvl="2" w:tplc="C17C40D4">
      <w:start w:val="1"/>
      <w:numFmt w:val="bullet"/>
      <w:lvlText w:val=""/>
      <w:lvlJc w:val="left"/>
      <w:pPr>
        <w:tabs>
          <w:tab w:val="num" w:pos="2160"/>
        </w:tabs>
        <w:ind w:left="2160" w:hanging="360"/>
      </w:pPr>
      <w:rPr>
        <w:rFonts w:ascii="Wingdings" w:hAnsi="Wingdings"/>
      </w:rPr>
    </w:lvl>
    <w:lvl w:ilvl="3" w:tplc="670A6216">
      <w:start w:val="1"/>
      <w:numFmt w:val="bullet"/>
      <w:lvlText w:val=""/>
      <w:lvlJc w:val="left"/>
      <w:pPr>
        <w:tabs>
          <w:tab w:val="num" w:pos="2880"/>
        </w:tabs>
        <w:ind w:left="2880" w:hanging="360"/>
      </w:pPr>
      <w:rPr>
        <w:rFonts w:ascii="Symbol" w:hAnsi="Symbol"/>
      </w:rPr>
    </w:lvl>
    <w:lvl w:ilvl="4" w:tplc="79D6A0D0">
      <w:start w:val="1"/>
      <w:numFmt w:val="bullet"/>
      <w:lvlText w:val="o"/>
      <w:lvlJc w:val="left"/>
      <w:pPr>
        <w:tabs>
          <w:tab w:val="num" w:pos="3600"/>
        </w:tabs>
        <w:ind w:left="3600" w:hanging="360"/>
      </w:pPr>
      <w:rPr>
        <w:rFonts w:ascii="Courier New" w:hAnsi="Courier New"/>
      </w:rPr>
    </w:lvl>
    <w:lvl w:ilvl="5" w:tplc="F65A8F82">
      <w:start w:val="1"/>
      <w:numFmt w:val="bullet"/>
      <w:lvlText w:val=""/>
      <w:lvlJc w:val="left"/>
      <w:pPr>
        <w:tabs>
          <w:tab w:val="num" w:pos="4320"/>
        </w:tabs>
        <w:ind w:left="4320" w:hanging="360"/>
      </w:pPr>
      <w:rPr>
        <w:rFonts w:ascii="Wingdings" w:hAnsi="Wingdings"/>
      </w:rPr>
    </w:lvl>
    <w:lvl w:ilvl="6" w:tplc="115E9F02">
      <w:start w:val="1"/>
      <w:numFmt w:val="bullet"/>
      <w:lvlText w:val=""/>
      <w:lvlJc w:val="left"/>
      <w:pPr>
        <w:tabs>
          <w:tab w:val="num" w:pos="5040"/>
        </w:tabs>
        <w:ind w:left="5040" w:hanging="360"/>
      </w:pPr>
      <w:rPr>
        <w:rFonts w:ascii="Symbol" w:hAnsi="Symbol"/>
      </w:rPr>
    </w:lvl>
    <w:lvl w:ilvl="7" w:tplc="82F4440E">
      <w:start w:val="1"/>
      <w:numFmt w:val="bullet"/>
      <w:lvlText w:val="o"/>
      <w:lvlJc w:val="left"/>
      <w:pPr>
        <w:tabs>
          <w:tab w:val="num" w:pos="5760"/>
        </w:tabs>
        <w:ind w:left="5760" w:hanging="360"/>
      </w:pPr>
      <w:rPr>
        <w:rFonts w:ascii="Courier New" w:hAnsi="Courier New"/>
      </w:rPr>
    </w:lvl>
    <w:lvl w:ilvl="8" w:tplc="22BCFDCA">
      <w:start w:val="1"/>
      <w:numFmt w:val="bullet"/>
      <w:lvlText w:val=""/>
      <w:lvlJc w:val="left"/>
      <w:pPr>
        <w:tabs>
          <w:tab w:val="num" w:pos="6480"/>
        </w:tabs>
        <w:ind w:left="6480" w:hanging="360"/>
      </w:pPr>
      <w:rPr>
        <w:rFonts w:ascii="Wingdings" w:hAnsi="Wingdings"/>
      </w:rPr>
    </w:lvl>
  </w:abstractNum>
  <w:abstractNum w:abstractNumId="125" w15:restartNumberingAfterBreak="0">
    <w:nsid w:val="7BD86777"/>
    <w:multiLevelType w:val="hybridMultilevel"/>
    <w:tmpl w:val="7BD86777"/>
    <w:lvl w:ilvl="0" w:tplc="DAF0C862">
      <w:start w:val="1"/>
      <w:numFmt w:val="bullet"/>
      <w:lvlText w:val="o"/>
      <w:lvlJc w:val="left"/>
      <w:pPr>
        <w:tabs>
          <w:tab w:val="num" w:pos="720"/>
        </w:tabs>
        <w:ind w:left="720" w:hanging="360"/>
      </w:pPr>
      <w:rPr>
        <w:rFonts w:ascii="Courier New" w:hAnsi="Courier New"/>
      </w:rPr>
    </w:lvl>
    <w:lvl w:ilvl="1" w:tplc="102CAE88">
      <w:start w:val="1"/>
      <w:numFmt w:val="bullet"/>
      <w:lvlText w:val="o"/>
      <w:lvlJc w:val="left"/>
      <w:pPr>
        <w:ind w:left="1440" w:hanging="360"/>
      </w:pPr>
      <w:rPr>
        <w:rFonts w:ascii="Courier New" w:hAnsi="Courier New"/>
      </w:rPr>
    </w:lvl>
    <w:lvl w:ilvl="2" w:tplc="49DE3700">
      <w:start w:val="1"/>
      <w:numFmt w:val="bullet"/>
      <w:lvlText w:val=""/>
      <w:lvlJc w:val="left"/>
      <w:pPr>
        <w:tabs>
          <w:tab w:val="num" w:pos="2160"/>
        </w:tabs>
        <w:ind w:left="2160" w:hanging="360"/>
      </w:pPr>
      <w:rPr>
        <w:rFonts w:ascii="Wingdings" w:hAnsi="Wingdings"/>
      </w:rPr>
    </w:lvl>
    <w:lvl w:ilvl="3" w:tplc="427ABA3E">
      <w:start w:val="1"/>
      <w:numFmt w:val="bullet"/>
      <w:lvlText w:val=""/>
      <w:lvlJc w:val="left"/>
      <w:pPr>
        <w:tabs>
          <w:tab w:val="num" w:pos="2880"/>
        </w:tabs>
        <w:ind w:left="2880" w:hanging="360"/>
      </w:pPr>
      <w:rPr>
        <w:rFonts w:ascii="Symbol" w:hAnsi="Symbol"/>
      </w:rPr>
    </w:lvl>
    <w:lvl w:ilvl="4" w:tplc="871E14E8">
      <w:start w:val="1"/>
      <w:numFmt w:val="bullet"/>
      <w:lvlText w:val="o"/>
      <w:lvlJc w:val="left"/>
      <w:pPr>
        <w:tabs>
          <w:tab w:val="num" w:pos="3600"/>
        </w:tabs>
        <w:ind w:left="3600" w:hanging="360"/>
      </w:pPr>
      <w:rPr>
        <w:rFonts w:ascii="Courier New" w:hAnsi="Courier New"/>
      </w:rPr>
    </w:lvl>
    <w:lvl w:ilvl="5" w:tplc="48DED372">
      <w:start w:val="1"/>
      <w:numFmt w:val="bullet"/>
      <w:lvlText w:val=""/>
      <w:lvlJc w:val="left"/>
      <w:pPr>
        <w:tabs>
          <w:tab w:val="num" w:pos="4320"/>
        </w:tabs>
        <w:ind w:left="4320" w:hanging="360"/>
      </w:pPr>
      <w:rPr>
        <w:rFonts w:ascii="Wingdings" w:hAnsi="Wingdings"/>
      </w:rPr>
    </w:lvl>
    <w:lvl w:ilvl="6" w:tplc="775C6A22">
      <w:start w:val="1"/>
      <w:numFmt w:val="bullet"/>
      <w:lvlText w:val=""/>
      <w:lvlJc w:val="left"/>
      <w:pPr>
        <w:tabs>
          <w:tab w:val="num" w:pos="5040"/>
        </w:tabs>
        <w:ind w:left="5040" w:hanging="360"/>
      </w:pPr>
      <w:rPr>
        <w:rFonts w:ascii="Symbol" w:hAnsi="Symbol"/>
      </w:rPr>
    </w:lvl>
    <w:lvl w:ilvl="7" w:tplc="1AAC9CD4">
      <w:start w:val="1"/>
      <w:numFmt w:val="bullet"/>
      <w:lvlText w:val="o"/>
      <w:lvlJc w:val="left"/>
      <w:pPr>
        <w:tabs>
          <w:tab w:val="num" w:pos="5760"/>
        </w:tabs>
        <w:ind w:left="5760" w:hanging="360"/>
      </w:pPr>
      <w:rPr>
        <w:rFonts w:ascii="Courier New" w:hAnsi="Courier New"/>
      </w:rPr>
    </w:lvl>
    <w:lvl w:ilvl="8" w:tplc="D674A378">
      <w:start w:val="1"/>
      <w:numFmt w:val="bullet"/>
      <w:lvlText w:val=""/>
      <w:lvlJc w:val="left"/>
      <w:pPr>
        <w:tabs>
          <w:tab w:val="num" w:pos="6480"/>
        </w:tabs>
        <w:ind w:left="6480" w:hanging="360"/>
      </w:pPr>
      <w:rPr>
        <w:rFonts w:ascii="Wingdings" w:hAnsi="Wingdings"/>
      </w:rPr>
    </w:lvl>
  </w:abstractNum>
  <w:abstractNum w:abstractNumId="126" w15:restartNumberingAfterBreak="0">
    <w:nsid w:val="7BD86778"/>
    <w:multiLevelType w:val="hybridMultilevel"/>
    <w:tmpl w:val="7BD86778"/>
    <w:lvl w:ilvl="0" w:tplc="11BE1C1A">
      <w:start w:val="1"/>
      <w:numFmt w:val="bullet"/>
      <w:lvlText w:val=""/>
      <w:lvlJc w:val="left"/>
      <w:pPr>
        <w:ind w:left="720" w:hanging="360"/>
      </w:pPr>
      <w:rPr>
        <w:rFonts w:ascii="Symbol" w:hAnsi="Symbol"/>
      </w:rPr>
    </w:lvl>
    <w:lvl w:ilvl="1" w:tplc="5A3C20B8">
      <w:start w:val="1"/>
      <w:numFmt w:val="bullet"/>
      <w:lvlText w:val="o"/>
      <w:lvlJc w:val="left"/>
      <w:pPr>
        <w:ind w:left="1440" w:hanging="360"/>
      </w:pPr>
      <w:rPr>
        <w:rFonts w:ascii="Courier New" w:hAnsi="Courier New"/>
      </w:rPr>
    </w:lvl>
    <w:lvl w:ilvl="2" w:tplc="BC162BFA">
      <w:start w:val="1"/>
      <w:numFmt w:val="bullet"/>
      <w:lvlText w:val=""/>
      <w:lvlJc w:val="left"/>
      <w:pPr>
        <w:tabs>
          <w:tab w:val="num" w:pos="2160"/>
        </w:tabs>
        <w:ind w:left="2160" w:hanging="360"/>
      </w:pPr>
      <w:rPr>
        <w:rFonts w:ascii="Wingdings" w:hAnsi="Wingdings"/>
      </w:rPr>
    </w:lvl>
    <w:lvl w:ilvl="3" w:tplc="78B4F332">
      <w:start w:val="1"/>
      <w:numFmt w:val="bullet"/>
      <w:lvlText w:val=""/>
      <w:lvlJc w:val="left"/>
      <w:pPr>
        <w:tabs>
          <w:tab w:val="num" w:pos="2880"/>
        </w:tabs>
        <w:ind w:left="2880" w:hanging="360"/>
      </w:pPr>
      <w:rPr>
        <w:rFonts w:ascii="Symbol" w:hAnsi="Symbol"/>
      </w:rPr>
    </w:lvl>
    <w:lvl w:ilvl="4" w:tplc="4F9EBCAA">
      <w:start w:val="1"/>
      <w:numFmt w:val="bullet"/>
      <w:lvlText w:val="o"/>
      <w:lvlJc w:val="left"/>
      <w:pPr>
        <w:tabs>
          <w:tab w:val="num" w:pos="3600"/>
        </w:tabs>
        <w:ind w:left="3600" w:hanging="360"/>
      </w:pPr>
      <w:rPr>
        <w:rFonts w:ascii="Courier New" w:hAnsi="Courier New"/>
      </w:rPr>
    </w:lvl>
    <w:lvl w:ilvl="5" w:tplc="39E2DAE0">
      <w:start w:val="1"/>
      <w:numFmt w:val="bullet"/>
      <w:lvlText w:val=""/>
      <w:lvlJc w:val="left"/>
      <w:pPr>
        <w:tabs>
          <w:tab w:val="num" w:pos="4320"/>
        </w:tabs>
        <w:ind w:left="4320" w:hanging="360"/>
      </w:pPr>
      <w:rPr>
        <w:rFonts w:ascii="Wingdings" w:hAnsi="Wingdings"/>
      </w:rPr>
    </w:lvl>
    <w:lvl w:ilvl="6" w:tplc="7916B3C2">
      <w:start w:val="1"/>
      <w:numFmt w:val="bullet"/>
      <w:lvlText w:val=""/>
      <w:lvlJc w:val="left"/>
      <w:pPr>
        <w:tabs>
          <w:tab w:val="num" w:pos="5040"/>
        </w:tabs>
        <w:ind w:left="5040" w:hanging="360"/>
      </w:pPr>
      <w:rPr>
        <w:rFonts w:ascii="Symbol" w:hAnsi="Symbol"/>
      </w:rPr>
    </w:lvl>
    <w:lvl w:ilvl="7" w:tplc="867A7AFE">
      <w:start w:val="1"/>
      <w:numFmt w:val="bullet"/>
      <w:lvlText w:val="o"/>
      <w:lvlJc w:val="left"/>
      <w:pPr>
        <w:tabs>
          <w:tab w:val="num" w:pos="5760"/>
        </w:tabs>
        <w:ind w:left="5760" w:hanging="360"/>
      </w:pPr>
      <w:rPr>
        <w:rFonts w:ascii="Courier New" w:hAnsi="Courier New"/>
      </w:rPr>
    </w:lvl>
    <w:lvl w:ilvl="8" w:tplc="DD826B4E">
      <w:start w:val="1"/>
      <w:numFmt w:val="bullet"/>
      <w:lvlText w:val=""/>
      <w:lvlJc w:val="left"/>
      <w:pPr>
        <w:tabs>
          <w:tab w:val="num" w:pos="6480"/>
        </w:tabs>
        <w:ind w:left="6480" w:hanging="360"/>
      </w:pPr>
      <w:rPr>
        <w:rFonts w:ascii="Wingdings" w:hAnsi="Wingdings"/>
      </w:rPr>
    </w:lvl>
  </w:abstractNum>
  <w:abstractNum w:abstractNumId="127" w15:restartNumberingAfterBreak="0">
    <w:nsid w:val="7BD86779"/>
    <w:multiLevelType w:val="hybridMultilevel"/>
    <w:tmpl w:val="7BD86779"/>
    <w:lvl w:ilvl="0" w:tplc="64EAC37A">
      <w:start w:val="1"/>
      <w:numFmt w:val="bullet"/>
      <w:lvlText w:val=""/>
      <w:lvlJc w:val="left"/>
      <w:pPr>
        <w:ind w:left="720" w:hanging="360"/>
      </w:pPr>
      <w:rPr>
        <w:rFonts w:ascii="Symbol" w:hAnsi="Symbol"/>
      </w:rPr>
    </w:lvl>
    <w:lvl w:ilvl="1" w:tplc="C58E6E64">
      <w:start w:val="1"/>
      <w:numFmt w:val="bullet"/>
      <w:lvlText w:val="o"/>
      <w:lvlJc w:val="left"/>
      <w:pPr>
        <w:tabs>
          <w:tab w:val="num" w:pos="1440"/>
        </w:tabs>
        <w:ind w:left="1440" w:hanging="360"/>
      </w:pPr>
      <w:rPr>
        <w:rFonts w:ascii="Courier New" w:hAnsi="Courier New"/>
      </w:rPr>
    </w:lvl>
    <w:lvl w:ilvl="2" w:tplc="61E6378E">
      <w:start w:val="1"/>
      <w:numFmt w:val="bullet"/>
      <w:lvlText w:val=""/>
      <w:lvlJc w:val="left"/>
      <w:pPr>
        <w:tabs>
          <w:tab w:val="num" w:pos="2160"/>
        </w:tabs>
        <w:ind w:left="2160" w:hanging="360"/>
      </w:pPr>
      <w:rPr>
        <w:rFonts w:ascii="Wingdings" w:hAnsi="Wingdings"/>
      </w:rPr>
    </w:lvl>
    <w:lvl w:ilvl="3" w:tplc="AF420FEA">
      <w:start w:val="1"/>
      <w:numFmt w:val="bullet"/>
      <w:lvlText w:val=""/>
      <w:lvlJc w:val="left"/>
      <w:pPr>
        <w:tabs>
          <w:tab w:val="num" w:pos="2880"/>
        </w:tabs>
        <w:ind w:left="2880" w:hanging="360"/>
      </w:pPr>
      <w:rPr>
        <w:rFonts w:ascii="Symbol" w:hAnsi="Symbol"/>
      </w:rPr>
    </w:lvl>
    <w:lvl w:ilvl="4" w:tplc="D20EF00E">
      <w:start w:val="1"/>
      <w:numFmt w:val="bullet"/>
      <w:lvlText w:val="o"/>
      <w:lvlJc w:val="left"/>
      <w:pPr>
        <w:tabs>
          <w:tab w:val="num" w:pos="3600"/>
        </w:tabs>
        <w:ind w:left="3600" w:hanging="360"/>
      </w:pPr>
      <w:rPr>
        <w:rFonts w:ascii="Courier New" w:hAnsi="Courier New"/>
      </w:rPr>
    </w:lvl>
    <w:lvl w:ilvl="5" w:tplc="DDC69F7E">
      <w:start w:val="1"/>
      <w:numFmt w:val="bullet"/>
      <w:lvlText w:val=""/>
      <w:lvlJc w:val="left"/>
      <w:pPr>
        <w:tabs>
          <w:tab w:val="num" w:pos="4320"/>
        </w:tabs>
        <w:ind w:left="4320" w:hanging="360"/>
      </w:pPr>
      <w:rPr>
        <w:rFonts w:ascii="Wingdings" w:hAnsi="Wingdings"/>
      </w:rPr>
    </w:lvl>
    <w:lvl w:ilvl="6" w:tplc="1D76A3E6">
      <w:start w:val="1"/>
      <w:numFmt w:val="bullet"/>
      <w:lvlText w:val=""/>
      <w:lvlJc w:val="left"/>
      <w:pPr>
        <w:tabs>
          <w:tab w:val="num" w:pos="5040"/>
        </w:tabs>
        <w:ind w:left="5040" w:hanging="360"/>
      </w:pPr>
      <w:rPr>
        <w:rFonts w:ascii="Symbol" w:hAnsi="Symbol"/>
      </w:rPr>
    </w:lvl>
    <w:lvl w:ilvl="7" w:tplc="43E6552E">
      <w:start w:val="1"/>
      <w:numFmt w:val="bullet"/>
      <w:lvlText w:val="o"/>
      <w:lvlJc w:val="left"/>
      <w:pPr>
        <w:tabs>
          <w:tab w:val="num" w:pos="5760"/>
        </w:tabs>
        <w:ind w:left="5760" w:hanging="360"/>
      </w:pPr>
      <w:rPr>
        <w:rFonts w:ascii="Courier New" w:hAnsi="Courier New"/>
      </w:rPr>
    </w:lvl>
    <w:lvl w:ilvl="8" w:tplc="1DC215E4">
      <w:start w:val="1"/>
      <w:numFmt w:val="bullet"/>
      <w:lvlText w:val=""/>
      <w:lvlJc w:val="left"/>
      <w:pPr>
        <w:tabs>
          <w:tab w:val="num" w:pos="6480"/>
        </w:tabs>
        <w:ind w:left="6480" w:hanging="360"/>
      </w:pPr>
      <w:rPr>
        <w:rFonts w:ascii="Wingdings" w:hAnsi="Wingdings"/>
      </w:rPr>
    </w:lvl>
  </w:abstractNum>
  <w:abstractNum w:abstractNumId="128" w15:restartNumberingAfterBreak="0">
    <w:nsid w:val="7BD8677A"/>
    <w:multiLevelType w:val="hybridMultilevel"/>
    <w:tmpl w:val="7BD8677A"/>
    <w:lvl w:ilvl="0" w:tplc="6ED07C76">
      <w:start w:val="1"/>
      <w:numFmt w:val="bullet"/>
      <w:lvlText w:val=""/>
      <w:lvlJc w:val="left"/>
      <w:pPr>
        <w:ind w:left="720" w:hanging="360"/>
      </w:pPr>
      <w:rPr>
        <w:rFonts w:ascii="Symbol" w:hAnsi="Symbol"/>
      </w:rPr>
    </w:lvl>
    <w:lvl w:ilvl="1" w:tplc="2E8AE068">
      <w:start w:val="1"/>
      <w:numFmt w:val="bullet"/>
      <w:lvlText w:val="o"/>
      <w:lvlJc w:val="left"/>
      <w:pPr>
        <w:tabs>
          <w:tab w:val="num" w:pos="1440"/>
        </w:tabs>
        <w:ind w:left="1440" w:hanging="360"/>
      </w:pPr>
      <w:rPr>
        <w:rFonts w:ascii="Courier New" w:hAnsi="Courier New"/>
      </w:rPr>
    </w:lvl>
    <w:lvl w:ilvl="2" w:tplc="AF74A8E8">
      <w:start w:val="1"/>
      <w:numFmt w:val="bullet"/>
      <w:lvlText w:val=""/>
      <w:lvlJc w:val="left"/>
      <w:pPr>
        <w:tabs>
          <w:tab w:val="num" w:pos="2160"/>
        </w:tabs>
        <w:ind w:left="2160" w:hanging="360"/>
      </w:pPr>
      <w:rPr>
        <w:rFonts w:ascii="Wingdings" w:hAnsi="Wingdings"/>
      </w:rPr>
    </w:lvl>
    <w:lvl w:ilvl="3" w:tplc="660A2294">
      <w:start w:val="1"/>
      <w:numFmt w:val="bullet"/>
      <w:lvlText w:val=""/>
      <w:lvlJc w:val="left"/>
      <w:pPr>
        <w:tabs>
          <w:tab w:val="num" w:pos="2880"/>
        </w:tabs>
        <w:ind w:left="2880" w:hanging="360"/>
      </w:pPr>
      <w:rPr>
        <w:rFonts w:ascii="Symbol" w:hAnsi="Symbol"/>
      </w:rPr>
    </w:lvl>
    <w:lvl w:ilvl="4" w:tplc="FBD85436">
      <w:start w:val="1"/>
      <w:numFmt w:val="bullet"/>
      <w:lvlText w:val="o"/>
      <w:lvlJc w:val="left"/>
      <w:pPr>
        <w:tabs>
          <w:tab w:val="num" w:pos="3600"/>
        </w:tabs>
        <w:ind w:left="3600" w:hanging="360"/>
      </w:pPr>
      <w:rPr>
        <w:rFonts w:ascii="Courier New" w:hAnsi="Courier New"/>
      </w:rPr>
    </w:lvl>
    <w:lvl w:ilvl="5" w:tplc="17C686AA">
      <w:start w:val="1"/>
      <w:numFmt w:val="bullet"/>
      <w:lvlText w:val=""/>
      <w:lvlJc w:val="left"/>
      <w:pPr>
        <w:tabs>
          <w:tab w:val="num" w:pos="4320"/>
        </w:tabs>
        <w:ind w:left="4320" w:hanging="360"/>
      </w:pPr>
      <w:rPr>
        <w:rFonts w:ascii="Wingdings" w:hAnsi="Wingdings"/>
      </w:rPr>
    </w:lvl>
    <w:lvl w:ilvl="6" w:tplc="CD9460B8">
      <w:start w:val="1"/>
      <w:numFmt w:val="bullet"/>
      <w:lvlText w:val=""/>
      <w:lvlJc w:val="left"/>
      <w:pPr>
        <w:tabs>
          <w:tab w:val="num" w:pos="5040"/>
        </w:tabs>
        <w:ind w:left="5040" w:hanging="360"/>
      </w:pPr>
      <w:rPr>
        <w:rFonts w:ascii="Symbol" w:hAnsi="Symbol"/>
      </w:rPr>
    </w:lvl>
    <w:lvl w:ilvl="7" w:tplc="02389628">
      <w:start w:val="1"/>
      <w:numFmt w:val="bullet"/>
      <w:lvlText w:val="o"/>
      <w:lvlJc w:val="left"/>
      <w:pPr>
        <w:tabs>
          <w:tab w:val="num" w:pos="5760"/>
        </w:tabs>
        <w:ind w:left="5760" w:hanging="360"/>
      </w:pPr>
      <w:rPr>
        <w:rFonts w:ascii="Courier New" w:hAnsi="Courier New"/>
      </w:rPr>
    </w:lvl>
    <w:lvl w:ilvl="8" w:tplc="0DA02A00">
      <w:start w:val="1"/>
      <w:numFmt w:val="bullet"/>
      <w:lvlText w:val=""/>
      <w:lvlJc w:val="left"/>
      <w:pPr>
        <w:tabs>
          <w:tab w:val="num" w:pos="6480"/>
        </w:tabs>
        <w:ind w:left="6480" w:hanging="360"/>
      </w:pPr>
      <w:rPr>
        <w:rFonts w:ascii="Wingdings" w:hAnsi="Wingdings"/>
      </w:rPr>
    </w:lvl>
  </w:abstractNum>
  <w:abstractNum w:abstractNumId="129" w15:restartNumberingAfterBreak="0">
    <w:nsid w:val="7BD8677B"/>
    <w:multiLevelType w:val="hybridMultilevel"/>
    <w:tmpl w:val="7BD8677B"/>
    <w:lvl w:ilvl="0" w:tplc="30C68092">
      <w:start w:val="1"/>
      <w:numFmt w:val="bullet"/>
      <w:lvlText w:val=""/>
      <w:lvlJc w:val="left"/>
      <w:pPr>
        <w:ind w:left="720" w:hanging="360"/>
      </w:pPr>
      <w:rPr>
        <w:rFonts w:ascii="Symbol" w:hAnsi="Symbol"/>
      </w:rPr>
    </w:lvl>
    <w:lvl w:ilvl="1" w:tplc="EE969158">
      <w:start w:val="1"/>
      <w:numFmt w:val="bullet"/>
      <w:lvlText w:val="o"/>
      <w:lvlJc w:val="left"/>
      <w:pPr>
        <w:tabs>
          <w:tab w:val="num" w:pos="1440"/>
        </w:tabs>
        <w:ind w:left="1440" w:hanging="360"/>
      </w:pPr>
      <w:rPr>
        <w:rFonts w:ascii="Courier New" w:hAnsi="Courier New"/>
      </w:rPr>
    </w:lvl>
    <w:lvl w:ilvl="2" w:tplc="749021D0">
      <w:start w:val="1"/>
      <w:numFmt w:val="bullet"/>
      <w:lvlText w:val=""/>
      <w:lvlJc w:val="left"/>
      <w:pPr>
        <w:tabs>
          <w:tab w:val="num" w:pos="2160"/>
        </w:tabs>
        <w:ind w:left="2160" w:hanging="360"/>
      </w:pPr>
      <w:rPr>
        <w:rFonts w:ascii="Wingdings" w:hAnsi="Wingdings"/>
      </w:rPr>
    </w:lvl>
    <w:lvl w:ilvl="3" w:tplc="85DE07CC">
      <w:start w:val="1"/>
      <w:numFmt w:val="bullet"/>
      <w:lvlText w:val=""/>
      <w:lvlJc w:val="left"/>
      <w:pPr>
        <w:tabs>
          <w:tab w:val="num" w:pos="2880"/>
        </w:tabs>
        <w:ind w:left="2880" w:hanging="360"/>
      </w:pPr>
      <w:rPr>
        <w:rFonts w:ascii="Symbol" w:hAnsi="Symbol"/>
      </w:rPr>
    </w:lvl>
    <w:lvl w:ilvl="4" w:tplc="8A406266">
      <w:start w:val="1"/>
      <w:numFmt w:val="bullet"/>
      <w:lvlText w:val="o"/>
      <w:lvlJc w:val="left"/>
      <w:pPr>
        <w:tabs>
          <w:tab w:val="num" w:pos="3600"/>
        </w:tabs>
        <w:ind w:left="3600" w:hanging="360"/>
      </w:pPr>
      <w:rPr>
        <w:rFonts w:ascii="Courier New" w:hAnsi="Courier New"/>
      </w:rPr>
    </w:lvl>
    <w:lvl w:ilvl="5" w:tplc="4A168140">
      <w:start w:val="1"/>
      <w:numFmt w:val="bullet"/>
      <w:lvlText w:val=""/>
      <w:lvlJc w:val="left"/>
      <w:pPr>
        <w:tabs>
          <w:tab w:val="num" w:pos="4320"/>
        </w:tabs>
        <w:ind w:left="4320" w:hanging="360"/>
      </w:pPr>
      <w:rPr>
        <w:rFonts w:ascii="Wingdings" w:hAnsi="Wingdings"/>
      </w:rPr>
    </w:lvl>
    <w:lvl w:ilvl="6" w:tplc="FAC4B51E">
      <w:start w:val="1"/>
      <w:numFmt w:val="bullet"/>
      <w:lvlText w:val=""/>
      <w:lvlJc w:val="left"/>
      <w:pPr>
        <w:tabs>
          <w:tab w:val="num" w:pos="5040"/>
        </w:tabs>
        <w:ind w:left="5040" w:hanging="360"/>
      </w:pPr>
      <w:rPr>
        <w:rFonts w:ascii="Symbol" w:hAnsi="Symbol"/>
      </w:rPr>
    </w:lvl>
    <w:lvl w:ilvl="7" w:tplc="BE4E5B84">
      <w:start w:val="1"/>
      <w:numFmt w:val="bullet"/>
      <w:lvlText w:val="o"/>
      <w:lvlJc w:val="left"/>
      <w:pPr>
        <w:tabs>
          <w:tab w:val="num" w:pos="5760"/>
        </w:tabs>
        <w:ind w:left="5760" w:hanging="360"/>
      </w:pPr>
      <w:rPr>
        <w:rFonts w:ascii="Courier New" w:hAnsi="Courier New"/>
      </w:rPr>
    </w:lvl>
    <w:lvl w:ilvl="8" w:tplc="35846F18">
      <w:start w:val="1"/>
      <w:numFmt w:val="bullet"/>
      <w:lvlText w:val=""/>
      <w:lvlJc w:val="left"/>
      <w:pPr>
        <w:tabs>
          <w:tab w:val="num" w:pos="6480"/>
        </w:tabs>
        <w:ind w:left="6480" w:hanging="360"/>
      </w:pPr>
      <w:rPr>
        <w:rFonts w:ascii="Wingdings" w:hAnsi="Wingdings"/>
      </w:rPr>
    </w:lvl>
  </w:abstractNum>
  <w:abstractNum w:abstractNumId="130" w15:restartNumberingAfterBreak="0">
    <w:nsid w:val="7BD8677D"/>
    <w:multiLevelType w:val="hybridMultilevel"/>
    <w:tmpl w:val="7BD8677D"/>
    <w:lvl w:ilvl="0" w:tplc="22B0FE5C">
      <w:start w:val="1"/>
      <w:numFmt w:val="bullet"/>
      <w:lvlText w:val=""/>
      <w:lvlJc w:val="left"/>
      <w:pPr>
        <w:ind w:left="720" w:hanging="360"/>
      </w:pPr>
      <w:rPr>
        <w:rFonts w:ascii="Symbol" w:hAnsi="Symbol"/>
      </w:rPr>
    </w:lvl>
    <w:lvl w:ilvl="1" w:tplc="A90CD0E8">
      <w:start w:val="1"/>
      <w:numFmt w:val="bullet"/>
      <w:lvlText w:val="o"/>
      <w:lvlJc w:val="left"/>
      <w:pPr>
        <w:tabs>
          <w:tab w:val="num" w:pos="1440"/>
        </w:tabs>
        <w:ind w:left="1440" w:hanging="360"/>
      </w:pPr>
      <w:rPr>
        <w:rFonts w:ascii="Courier New" w:hAnsi="Courier New"/>
      </w:rPr>
    </w:lvl>
    <w:lvl w:ilvl="2" w:tplc="E37A5CF8">
      <w:start w:val="1"/>
      <w:numFmt w:val="bullet"/>
      <w:lvlText w:val=""/>
      <w:lvlJc w:val="left"/>
      <w:pPr>
        <w:tabs>
          <w:tab w:val="num" w:pos="2160"/>
        </w:tabs>
        <w:ind w:left="2160" w:hanging="360"/>
      </w:pPr>
      <w:rPr>
        <w:rFonts w:ascii="Wingdings" w:hAnsi="Wingdings"/>
      </w:rPr>
    </w:lvl>
    <w:lvl w:ilvl="3" w:tplc="2506B566">
      <w:start w:val="1"/>
      <w:numFmt w:val="bullet"/>
      <w:lvlText w:val=""/>
      <w:lvlJc w:val="left"/>
      <w:pPr>
        <w:tabs>
          <w:tab w:val="num" w:pos="2880"/>
        </w:tabs>
        <w:ind w:left="2880" w:hanging="360"/>
      </w:pPr>
      <w:rPr>
        <w:rFonts w:ascii="Symbol" w:hAnsi="Symbol"/>
      </w:rPr>
    </w:lvl>
    <w:lvl w:ilvl="4" w:tplc="84B4937C">
      <w:start w:val="1"/>
      <w:numFmt w:val="bullet"/>
      <w:lvlText w:val="o"/>
      <w:lvlJc w:val="left"/>
      <w:pPr>
        <w:tabs>
          <w:tab w:val="num" w:pos="3600"/>
        </w:tabs>
        <w:ind w:left="3600" w:hanging="360"/>
      </w:pPr>
      <w:rPr>
        <w:rFonts w:ascii="Courier New" w:hAnsi="Courier New"/>
      </w:rPr>
    </w:lvl>
    <w:lvl w:ilvl="5" w:tplc="68A89422">
      <w:start w:val="1"/>
      <w:numFmt w:val="bullet"/>
      <w:lvlText w:val=""/>
      <w:lvlJc w:val="left"/>
      <w:pPr>
        <w:tabs>
          <w:tab w:val="num" w:pos="4320"/>
        </w:tabs>
        <w:ind w:left="4320" w:hanging="360"/>
      </w:pPr>
      <w:rPr>
        <w:rFonts w:ascii="Wingdings" w:hAnsi="Wingdings"/>
      </w:rPr>
    </w:lvl>
    <w:lvl w:ilvl="6" w:tplc="70EC8F72">
      <w:start w:val="1"/>
      <w:numFmt w:val="bullet"/>
      <w:lvlText w:val=""/>
      <w:lvlJc w:val="left"/>
      <w:pPr>
        <w:tabs>
          <w:tab w:val="num" w:pos="5040"/>
        </w:tabs>
        <w:ind w:left="5040" w:hanging="360"/>
      </w:pPr>
      <w:rPr>
        <w:rFonts w:ascii="Symbol" w:hAnsi="Symbol"/>
      </w:rPr>
    </w:lvl>
    <w:lvl w:ilvl="7" w:tplc="98C668A4">
      <w:start w:val="1"/>
      <w:numFmt w:val="bullet"/>
      <w:lvlText w:val="o"/>
      <w:lvlJc w:val="left"/>
      <w:pPr>
        <w:tabs>
          <w:tab w:val="num" w:pos="5760"/>
        </w:tabs>
        <w:ind w:left="5760" w:hanging="360"/>
      </w:pPr>
      <w:rPr>
        <w:rFonts w:ascii="Courier New" w:hAnsi="Courier New"/>
      </w:rPr>
    </w:lvl>
    <w:lvl w:ilvl="8" w:tplc="EB7A2A5C">
      <w:start w:val="1"/>
      <w:numFmt w:val="bullet"/>
      <w:lvlText w:val=""/>
      <w:lvlJc w:val="left"/>
      <w:pPr>
        <w:tabs>
          <w:tab w:val="num" w:pos="6480"/>
        </w:tabs>
        <w:ind w:left="6480" w:hanging="360"/>
      </w:pPr>
      <w:rPr>
        <w:rFonts w:ascii="Wingdings" w:hAnsi="Wingdings"/>
      </w:rPr>
    </w:lvl>
  </w:abstractNum>
  <w:abstractNum w:abstractNumId="131" w15:restartNumberingAfterBreak="0">
    <w:nsid w:val="7BD8677E"/>
    <w:multiLevelType w:val="hybridMultilevel"/>
    <w:tmpl w:val="7BD8677E"/>
    <w:lvl w:ilvl="0" w:tplc="A9C8E6D8">
      <w:start w:val="1"/>
      <w:numFmt w:val="bullet"/>
      <w:lvlText w:val=""/>
      <w:lvlJc w:val="left"/>
      <w:pPr>
        <w:ind w:left="720" w:hanging="360"/>
      </w:pPr>
      <w:rPr>
        <w:rFonts w:ascii="Symbol" w:hAnsi="Symbol"/>
      </w:rPr>
    </w:lvl>
    <w:lvl w:ilvl="1" w:tplc="B358A834">
      <w:start w:val="1"/>
      <w:numFmt w:val="bullet"/>
      <w:lvlText w:val="o"/>
      <w:lvlJc w:val="left"/>
      <w:pPr>
        <w:tabs>
          <w:tab w:val="num" w:pos="1440"/>
        </w:tabs>
        <w:ind w:left="1440" w:hanging="360"/>
      </w:pPr>
      <w:rPr>
        <w:rFonts w:ascii="Courier New" w:hAnsi="Courier New"/>
      </w:rPr>
    </w:lvl>
    <w:lvl w:ilvl="2" w:tplc="719AB32E">
      <w:start w:val="1"/>
      <w:numFmt w:val="bullet"/>
      <w:lvlText w:val=""/>
      <w:lvlJc w:val="left"/>
      <w:pPr>
        <w:tabs>
          <w:tab w:val="num" w:pos="2160"/>
        </w:tabs>
        <w:ind w:left="2160" w:hanging="360"/>
      </w:pPr>
      <w:rPr>
        <w:rFonts w:ascii="Wingdings" w:hAnsi="Wingdings"/>
      </w:rPr>
    </w:lvl>
    <w:lvl w:ilvl="3" w:tplc="754673A2">
      <w:start w:val="1"/>
      <w:numFmt w:val="bullet"/>
      <w:lvlText w:val=""/>
      <w:lvlJc w:val="left"/>
      <w:pPr>
        <w:tabs>
          <w:tab w:val="num" w:pos="2880"/>
        </w:tabs>
        <w:ind w:left="2880" w:hanging="360"/>
      </w:pPr>
      <w:rPr>
        <w:rFonts w:ascii="Symbol" w:hAnsi="Symbol"/>
      </w:rPr>
    </w:lvl>
    <w:lvl w:ilvl="4" w:tplc="7E480E1A">
      <w:start w:val="1"/>
      <w:numFmt w:val="bullet"/>
      <w:lvlText w:val="o"/>
      <w:lvlJc w:val="left"/>
      <w:pPr>
        <w:tabs>
          <w:tab w:val="num" w:pos="3600"/>
        </w:tabs>
        <w:ind w:left="3600" w:hanging="360"/>
      </w:pPr>
      <w:rPr>
        <w:rFonts w:ascii="Courier New" w:hAnsi="Courier New"/>
      </w:rPr>
    </w:lvl>
    <w:lvl w:ilvl="5" w:tplc="72082BF0">
      <w:start w:val="1"/>
      <w:numFmt w:val="bullet"/>
      <w:lvlText w:val=""/>
      <w:lvlJc w:val="left"/>
      <w:pPr>
        <w:tabs>
          <w:tab w:val="num" w:pos="4320"/>
        </w:tabs>
        <w:ind w:left="4320" w:hanging="360"/>
      </w:pPr>
      <w:rPr>
        <w:rFonts w:ascii="Wingdings" w:hAnsi="Wingdings"/>
      </w:rPr>
    </w:lvl>
    <w:lvl w:ilvl="6" w:tplc="225C8D12">
      <w:start w:val="1"/>
      <w:numFmt w:val="bullet"/>
      <w:lvlText w:val=""/>
      <w:lvlJc w:val="left"/>
      <w:pPr>
        <w:tabs>
          <w:tab w:val="num" w:pos="5040"/>
        </w:tabs>
        <w:ind w:left="5040" w:hanging="360"/>
      </w:pPr>
      <w:rPr>
        <w:rFonts w:ascii="Symbol" w:hAnsi="Symbol"/>
      </w:rPr>
    </w:lvl>
    <w:lvl w:ilvl="7" w:tplc="5E149F58">
      <w:start w:val="1"/>
      <w:numFmt w:val="bullet"/>
      <w:lvlText w:val="o"/>
      <w:lvlJc w:val="left"/>
      <w:pPr>
        <w:tabs>
          <w:tab w:val="num" w:pos="5760"/>
        </w:tabs>
        <w:ind w:left="5760" w:hanging="360"/>
      </w:pPr>
      <w:rPr>
        <w:rFonts w:ascii="Courier New" w:hAnsi="Courier New"/>
      </w:rPr>
    </w:lvl>
    <w:lvl w:ilvl="8" w:tplc="81F89B60">
      <w:start w:val="1"/>
      <w:numFmt w:val="bullet"/>
      <w:lvlText w:val=""/>
      <w:lvlJc w:val="left"/>
      <w:pPr>
        <w:tabs>
          <w:tab w:val="num" w:pos="6480"/>
        </w:tabs>
        <w:ind w:left="6480" w:hanging="360"/>
      </w:pPr>
      <w:rPr>
        <w:rFonts w:ascii="Wingdings" w:hAnsi="Wingdings"/>
      </w:rPr>
    </w:lvl>
  </w:abstractNum>
  <w:abstractNum w:abstractNumId="132" w15:restartNumberingAfterBreak="0">
    <w:nsid w:val="7BD8677F"/>
    <w:multiLevelType w:val="hybridMultilevel"/>
    <w:tmpl w:val="7BD8677F"/>
    <w:lvl w:ilvl="0" w:tplc="57B65932">
      <w:start w:val="1"/>
      <w:numFmt w:val="bullet"/>
      <w:lvlText w:val=""/>
      <w:lvlJc w:val="left"/>
      <w:pPr>
        <w:ind w:left="720" w:hanging="360"/>
      </w:pPr>
      <w:rPr>
        <w:rFonts w:ascii="Symbol" w:hAnsi="Symbol"/>
      </w:rPr>
    </w:lvl>
    <w:lvl w:ilvl="1" w:tplc="50041864">
      <w:start w:val="1"/>
      <w:numFmt w:val="bullet"/>
      <w:lvlText w:val="o"/>
      <w:lvlJc w:val="left"/>
      <w:pPr>
        <w:tabs>
          <w:tab w:val="num" w:pos="1440"/>
        </w:tabs>
        <w:ind w:left="1440" w:hanging="360"/>
      </w:pPr>
      <w:rPr>
        <w:rFonts w:ascii="Courier New" w:hAnsi="Courier New"/>
      </w:rPr>
    </w:lvl>
    <w:lvl w:ilvl="2" w:tplc="F1C4887A">
      <w:start w:val="1"/>
      <w:numFmt w:val="bullet"/>
      <w:lvlText w:val=""/>
      <w:lvlJc w:val="left"/>
      <w:pPr>
        <w:tabs>
          <w:tab w:val="num" w:pos="2160"/>
        </w:tabs>
        <w:ind w:left="2160" w:hanging="360"/>
      </w:pPr>
      <w:rPr>
        <w:rFonts w:ascii="Wingdings" w:hAnsi="Wingdings"/>
      </w:rPr>
    </w:lvl>
    <w:lvl w:ilvl="3" w:tplc="1E680170">
      <w:start w:val="1"/>
      <w:numFmt w:val="bullet"/>
      <w:lvlText w:val=""/>
      <w:lvlJc w:val="left"/>
      <w:pPr>
        <w:tabs>
          <w:tab w:val="num" w:pos="2880"/>
        </w:tabs>
        <w:ind w:left="2880" w:hanging="360"/>
      </w:pPr>
      <w:rPr>
        <w:rFonts w:ascii="Symbol" w:hAnsi="Symbol"/>
      </w:rPr>
    </w:lvl>
    <w:lvl w:ilvl="4" w:tplc="62C0E42A">
      <w:start w:val="1"/>
      <w:numFmt w:val="bullet"/>
      <w:lvlText w:val="o"/>
      <w:lvlJc w:val="left"/>
      <w:pPr>
        <w:tabs>
          <w:tab w:val="num" w:pos="3600"/>
        </w:tabs>
        <w:ind w:left="3600" w:hanging="360"/>
      </w:pPr>
      <w:rPr>
        <w:rFonts w:ascii="Courier New" w:hAnsi="Courier New"/>
      </w:rPr>
    </w:lvl>
    <w:lvl w:ilvl="5" w:tplc="C79C21E0">
      <w:start w:val="1"/>
      <w:numFmt w:val="bullet"/>
      <w:lvlText w:val=""/>
      <w:lvlJc w:val="left"/>
      <w:pPr>
        <w:tabs>
          <w:tab w:val="num" w:pos="4320"/>
        </w:tabs>
        <w:ind w:left="4320" w:hanging="360"/>
      </w:pPr>
      <w:rPr>
        <w:rFonts w:ascii="Wingdings" w:hAnsi="Wingdings"/>
      </w:rPr>
    </w:lvl>
    <w:lvl w:ilvl="6" w:tplc="002E52AC">
      <w:start w:val="1"/>
      <w:numFmt w:val="bullet"/>
      <w:lvlText w:val=""/>
      <w:lvlJc w:val="left"/>
      <w:pPr>
        <w:tabs>
          <w:tab w:val="num" w:pos="5040"/>
        </w:tabs>
        <w:ind w:left="5040" w:hanging="360"/>
      </w:pPr>
      <w:rPr>
        <w:rFonts w:ascii="Symbol" w:hAnsi="Symbol"/>
      </w:rPr>
    </w:lvl>
    <w:lvl w:ilvl="7" w:tplc="20BAECCA">
      <w:start w:val="1"/>
      <w:numFmt w:val="bullet"/>
      <w:lvlText w:val="o"/>
      <w:lvlJc w:val="left"/>
      <w:pPr>
        <w:tabs>
          <w:tab w:val="num" w:pos="5760"/>
        </w:tabs>
        <w:ind w:left="5760" w:hanging="360"/>
      </w:pPr>
      <w:rPr>
        <w:rFonts w:ascii="Courier New" w:hAnsi="Courier New"/>
      </w:rPr>
    </w:lvl>
    <w:lvl w:ilvl="8" w:tplc="ABE03AAE">
      <w:start w:val="1"/>
      <w:numFmt w:val="bullet"/>
      <w:lvlText w:val=""/>
      <w:lvlJc w:val="left"/>
      <w:pPr>
        <w:tabs>
          <w:tab w:val="num" w:pos="6480"/>
        </w:tabs>
        <w:ind w:left="6480" w:hanging="360"/>
      </w:pPr>
      <w:rPr>
        <w:rFonts w:ascii="Wingdings" w:hAnsi="Wingdings"/>
      </w:rPr>
    </w:lvl>
  </w:abstractNum>
  <w:abstractNum w:abstractNumId="133" w15:restartNumberingAfterBreak="0">
    <w:nsid w:val="7C12195A"/>
    <w:multiLevelType w:val="hybridMultilevel"/>
    <w:tmpl w:val="B5227952"/>
    <w:lvl w:ilvl="0" w:tplc="C5EA345E">
      <w:start w:val="1"/>
      <w:numFmt w:val="bullet"/>
      <w:lvlText w:val=""/>
      <w:lvlJc w:val="left"/>
      <w:pPr>
        <w:ind w:left="720" w:hanging="360"/>
      </w:pPr>
      <w:rPr>
        <w:rFonts w:ascii="Symbol" w:hAnsi="Symbol"/>
      </w:rPr>
    </w:lvl>
    <w:lvl w:ilvl="1" w:tplc="69044F3E">
      <w:start w:val="1"/>
      <w:numFmt w:val="bullet"/>
      <w:lvlText w:val=""/>
      <w:lvlJc w:val="left"/>
      <w:pPr>
        <w:ind w:left="720" w:hanging="360"/>
      </w:pPr>
      <w:rPr>
        <w:rFonts w:ascii="Symbol" w:hAnsi="Symbol"/>
      </w:rPr>
    </w:lvl>
    <w:lvl w:ilvl="2" w:tplc="6C7415E6">
      <w:start w:val="1"/>
      <w:numFmt w:val="bullet"/>
      <w:lvlText w:val=""/>
      <w:lvlJc w:val="left"/>
      <w:pPr>
        <w:ind w:left="720" w:hanging="360"/>
      </w:pPr>
      <w:rPr>
        <w:rFonts w:ascii="Symbol" w:hAnsi="Symbol"/>
      </w:rPr>
    </w:lvl>
    <w:lvl w:ilvl="3" w:tplc="6186B1E0">
      <w:start w:val="1"/>
      <w:numFmt w:val="bullet"/>
      <w:lvlText w:val=""/>
      <w:lvlJc w:val="left"/>
      <w:pPr>
        <w:ind w:left="720" w:hanging="360"/>
      </w:pPr>
      <w:rPr>
        <w:rFonts w:ascii="Symbol" w:hAnsi="Symbol"/>
      </w:rPr>
    </w:lvl>
    <w:lvl w:ilvl="4" w:tplc="6BB6C3C0">
      <w:start w:val="1"/>
      <w:numFmt w:val="bullet"/>
      <w:lvlText w:val=""/>
      <w:lvlJc w:val="left"/>
      <w:pPr>
        <w:ind w:left="720" w:hanging="360"/>
      </w:pPr>
      <w:rPr>
        <w:rFonts w:ascii="Symbol" w:hAnsi="Symbol"/>
      </w:rPr>
    </w:lvl>
    <w:lvl w:ilvl="5" w:tplc="36665168">
      <w:start w:val="1"/>
      <w:numFmt w:val="bullet"/>
      <w:lvlText w:val=""/>
      <w:lvlJc w:val="left"/>
      <w:pPr>
        <w:ind w:left="720" w:hanging="360"/>
      </w:pPr>
      <w:rPr>
        <w:rFonts w:ascii="Symbol" w:hAnsi="Symbol"/>
      </w:rPr>
    </w:lvl>
    <w:lvl w:ilvl="6" w:tplc="89D2D03E">
      <w:start w:val="1"/>
      <w:numFmt w:val="bullet"/>
      <w:lvlText w:val=""/>
      <w:lvlJc w:val="left"/>
      <w:pPr>
        <w:ind w:left="720" w:hanging="360"/>
      </w:pPr>
      <w:rPr>
        <w:rFonts w:ascii="Symbol" w:hAnsi="Symbol"/>
      </w:rPr>
    </w:lvl>
    <w:lvl w:ilvl="7" w:tplc="6DA6E466">
      <w:start w:val="1"/>
      <w:numFmt w:val="bullet"/>
      <w:lvlText w:val=""/>
      <w:lvlJc w:val="left"/>
      <w:pPr>
        <w:ind w:left="720" w:hanging="360"/>
      </w:pPr>
      <w:rPr>
        <w:rFonts w:ascii="Symbol" w:hAnsi="Symbol"/>
      </w:rPr>
    </w:lvl>
    <w:lvl w:ilvl="8" w:tplc="D8FA9BEC">
      <w:start w:val="1"/>
      <w:numFmt w:val="bullet"/>
      <w:lvlText w:val=""/>
      <w:lvlJc w:val="left"/>
      <w:pPr>
        <w:ind w:left="720" w:hanging="360"/>
      </w:pPr>
      <w:rPr>
        <w:rFonts w:ascii="Symbol" w:hAnsi="Symbol"/>
      </w:rPr>
    </w:lvl>
  </w:abstractNum>
  <w:abstractNum w:abstractNumId="134" w15:restartNumberingAfterBreak="0">
    <w:nsid w:val="7EEC6C3A"/>
    <w:multiLevelType w:val="hybridMultilevel"/>
    <w:tmpl w:val="7BD86776"/>
    <w:lvl w:ilvl="0" w:tplc="2064E6C6">
      <w:start w:val="1"/>
      <w:numFmt w:val="bullet"/>
      <w:lvlText w:val=""/>
      <w:lvlJc w:val="left"/>
      <w:pPr>
        <w:ind w:left="720" w:hanging="360"/>
      </w:pPr>
      <w:rPr>
        <w:rFonts w:ascii="Symbol" w:hAnsi="Symbol"/>
      </w:rPr>
    </w:lvl>
    <w:lvl w:ilvl="1" w:tplc="CD56071C">
      <w:start w:val="1"/>
      <w:numFmt w:val="bullet"/>
      <w:lvlText w:val="o"/>
      <w:lvlJc w:val="left"/>
      <w:pPr>
        <w:ind w:left="1440" w:hanging="360"/>
      </w:pPr>
      <w:rPr>
        <w:rFonts w:ascii="Courier New" w:hAnsi="Courier New"/>
      </w:rPr>
    </w:lvl>
    <w:lvl w:ilvl="2" w:tplc="1D70CFC4">
      <w:start w:val="1"/>
      <w:numFmt w:val="bullet"/>
      <w:lvlText w:val=""/>
      <w:lvlJc w:val="left"/>
      <w:pPr>
        <w:tabs>
          <w:tab w:val="num" w:pos="2160"/>
        </w:tabs>
        <w:ind w:left="2160" w:hanging="360"/>
      </w:pPr>
      <w:rPr>
        <w:rFonts w:ascii="Wingdings" w:hAnsi="Wingdings"/>
      </w:rPr>
    </w:lvl>
    <w:lvl w:ilvl="3" w:tplc="35648B84">
      <w:start w:val="1"/>
      <w:numFmt w:val="bullet"/>
      <w:lvlText w:val=""/>
      <w:lvlJc w:val="left"/>
      <w:pPr>
        <w:tabs>
          <w:tab w:val="num" w:pos="2880"/>
        </w:tabs>
        <w:ind w:left="2880" w:hanging="360"/>
      </w:pPr>
      <w:rPr>
        <w:rFonts w:ascii="Symbol" w:hAnsi="Symbol"/>
      </w:rPr>
    </w:lvl>
    <w:lvl w:ilvl="4" w:tplc="E668CCE6">
      <w:start w:val="1"/>
      <w:numFmt w:val="bullet"/>
      <w:lvlText w:val="o"/>
      <w:lvlJc w:val="left"/>
      <w:pPr>
        <w:tabs>
          <w:tab w:val="num" w:pos="3600"/>
        </w:tabs>
        <w:ind w:left="3600" w:hanging="360"/>
      </w:pPr>
      <w:rPr>
        <w:rFonts w:ascii="Courier New" w:hAnsi="Courier New"/>
      </w:rPr>
    </w:lvl>
    <w:lvl w:ilvl="5" w:tplc="1E52A784">
      <w:start w:val="1"/>
      <w:numFmt w:val="bullet"/>
      <w:lvlText w:val=""/>
      <w:lvlJc w:val="left"/>
      <w:pPr>
        <w:tabs>
          <w:tab w:val="num" w:pos="4320"/>
        </w:tabs>
        <w:ind w:left="4320" w:hanging="360"/>
      </w:pPr>
      <w:rPr>
        <w:rFonts w:ascii="Wingdings" w:hAnsi="Wingdings"/>
      </w:rPr>
    </w:lvl>
    <w:lvl w:ilvl="6" w:tplc="0AE423A2">
      <w:start w:val="1"/>
      <w:numFmt w:val="bullet"/>
      <w:lvlText w:val=""/>
      <w:lvlJc w:val="left"/>
      <w:pPr>
        <w:tabs>
          <w:tab w:val="num" w:pos="5040"/>
        </w:tabs>
        <w:ind w:left="5040" w:hanging="360"/>
      </w:pPr>
      <w:rPr>
        <w:rFonts w:ascii="Symbol" w:hAnsi="Symbol"/>
      </w:rPr>
    </w:lvl>
    <w:lvl w:ilvl="7" w:tplc="6C8EDC10">
      <w:start w:val="1"/>
      <w:numFmt w:val="bullet"/>
      <w:lvlText w:val="o"/>
      <w:lvlJc w:val="left"/>
      <w:pPr>
        <w:tabs>
          <w:tab w:val="num" w:pos="5760"/>
        </w:tabs>
        <w:ind w:left="5760" w:hanging="360"/>
      </w:pPr>
      <w:rPr>
        <w:rFonts w:ascii="Courier New" w:hAnsi="Courier New"/>
      </w:rPr>
    </w:lvl>
    <w:lvl w:ilvl="8" w:tplc="E8127928">
      <w:start w:val="1"/>
      <w:numFmt w:val="bullet"/>
      <w:lvlText w:val=""/>
      <w:lvlJc w:val="left"/>
      <w:pPr>
        <w:tabs>
          <w:tab w:val="num" w:pos="6480"/>
        </w:tabs>
        <w:ind w:left="6480" w:hanging="360"/>
      </w:pPr>
      <w:rPr>
        <w:rFonts w:ascii="Wingdings" w:hAnsi="Wingdings"/>
      </w:rPr>
    </w:lvl>
  </w:abstractNum>
  <w:num w:numId="1" w16cid:durableId="1313170483">
    <w:abstractNumId w:val="34"/>
  </w:num>
  <w:num w:numId="2" w16cid:durableId="38601742">
    <w:abstractNumId w:val="111"/>
  </w:num>
  <w:num w:numId="3" w16cid:durableId="1468208434">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4" w16cid:durableId="1049652079">
    <w:abstractNumId w:val="117"/>
  </w:num>
  <w:num w:numId="5" w16cid:durableId="477962635">
    <w:abstractNumId w:val="106"/>
  </w:num>
  <w:num w:numId="6" w16cid:durableId="1546020397">
    <w:abstractNumId w:val="113"/>
  </w:num>
  <w:num w:numId="7" w16cid:durableId="1242834171">
    <w:abstractNumId w:val="79"/>
  </w:num>
  <w:num w:numId="8" w16cid:durableId="1008172704">
    <w:abstractNumId w:val="48"/>
  </w:num>
  <w:num w:numId="9" w16cid:durableId="860359532">
    <w:abstractNumId w:val="20"/>
  </w:num>
  <w:num w:numId="10" w16cid:durableId="631401401">
    <w:abstractNumId w:val="47"/>
  </w:num>
  <w:num w:numId="11" w16cid:durableId="1160272602">
    <w:abstractNumId w:val="82"/>
  </w:num>
  <w:num w:numId="12" w16cid:durableId="688482358">
    <w:abstractNumId w:val="58"/>
  </w:num>
  <w:num w:numId="13" w16cid:durableId="1802461205">
    <w:abstractNumId w:val="32"/>
  </w:num>
  <w:num w:numId="14" w16cid:durableId="853156678">
    <w:abstractNumId w:val="49"/>
  </w:num>
  <w:num w:numId="15" w16cid:durableId="1104955098">
    <w:abstractNumId w:val="10"/>
  </w:num>
  <w:num w:numId="16" w16cid:durableId="901596345">
    <w:abstractNumId w:val="107"/>
  </w:num>
  <w:num w:numId="17" w16cid:durableId="2057772209">
    <w:abstractNumId w:val="7"/>
  </w:num>
  <w:num w:numId="18" w16cid:durableId="469592003">
    <w:abstractNumId w:val="104"/>
  </w:num>
  <w:num w:numId="19" w16cid:durableId="1370913779">
    <w:abstractNumId w:val="70"/>
  </w:num>
  <w:num w:numId="20" w16cid:durableId="12810308">
    <w:abstractNumId w:val="80"/>
  </w:num>
  <w:num w:numId="21" w16cid:durableId="1490904314">
    <w:abstractNumId w:val="39"/>
  </w:num>
  <w:num w:numId="22" w16cid:durableId="1671635601">
    <w:abstractNumId w:val="115"/>
  </w:num>
  <w:num w:numId="23" w16cid:durableId="717631101">
    <w:abstractNumId w:val="94"/>
  </w:num>
  <w:num w:numId="24" w16cid:durableId="1728719633">
    <w:abstractNumId w:val="13"/>
  </w:num>
  <w:num w:numId="25" w16cid:durableId="859124207">
    <w:abstractNumId w:val="29"/>
  </w:num>
  <w:num w:numId="26" w16cid:durableId="1284190967">
    <w:abstractNumId w:val="0"/>
  </w:num>
  <w:num w:numId="27" w16cid:durableId="1993294795">
    <w:abstractNumId w:val="41"/>
  </w:num>
  <w:num w:numId="28" w16cid:durableId="1522205192">
    <w:abstractNumId w:val="60"/>
  </w:num>
  <w:num w:numId="29" w16cid:durableId="1784569891">
    <w:abstractNumId w:val="84"/>
  </w:num>
  <w:num w:numId="30" w16cid:durableId="2110928799">
    <w:abstractNumId w:val="102"/>
  </w:num>
  <w:num w:numId="31" w16cid:durableId="242572751">
    <w:abstractNumId w:val="44"/>
  </w:num>
  <w:num w:numId="32" w16cid:durableId="1519268355">
    <w:abstractNumId w:val="51"/>
  </w:num>
  <w:num w:numId="33" w16cid:durableId="1367485266">
    <w:abstractNumId w:val="109"/>
  </w:num>
  <w:num w:numId="34" w16cid:durableId="1406227023">
    <w:abstractNumId w:val="17"/>
  </w:num>
  <w:num w:numId="35" w16cid:durableId="1446346044">
    <w:abstractNumId w:val="17"/>
    <w:lvlOverride w:ilvl="0">
      <w:startOverride w:val="1"/>
    </w:lvlOverride>
  </w:num>
  <w:num w:numId="36" w16cid:durableId="1881699347">
    <w:abstractNumId w:val="17"/>
    <w:lvlOverride w:ilvl="0">
      <w:startOverride w:val="1"/>
    </w:lvlOverride>
  </w:num>
  <w:num w:numId="37" w16cid:durableId="102499247">
    <w:abstractNumId w:val="17"/>
    <w:lvlOverride w:ilvl="0">
      <w:startOverride w:val="1"/>
    </w:lvlOverride>
  </w:num>
  <w:num w:numId="38" w16cid:durableId="1482235593">
    <w:abstractNumId w:val="17"/>
    <w:lvlOverride w:ilvl="0">
      <w:startOverride w:val="1"/>
    </w:lvlOverride>
  </w:num>
  <w:num w:numId="39" w16cid:durableId="121045007">
    <w:abstractNumId w:val="17"/>
    <w:lvlOverride w:ilvl="0">
      <w:startOverride w:val="1"/>
    </w:lvlOverride>
  </w:num>
  <w:num w:numId="40" w16cid:durableId="2057317157">
    <w:abstractNumId w:val="17"/>
    <w:lvlOverride w:ilvl="0">
      <w:startOverride w:val="1"/>
    </w:lvlOverride>
  </w:num>
  <w:num w:numId="41" w16cid:durableId="576206613">
    <w:abstractNumId w:val="17"/>
    <w:lvlOverride w:ilvl="0">
      <w:startOverride w:val="1"/>
    </w:lvlOverride>
  </w:num>
  <w:num w:numId="42" w16cid:durableId="1105922343">
    <w:abstractNumId w:val="17"/>
    <w:lvlOverride w:ilvl="0">
      <w:startOverride w:val="1"/>
    </w:lvlOverride>
  </w:num>
  <w:num w:numId="43" w16cid:durableId="772751200">
    <w:abstractNumId w:val="103"/>
  </w:num>
  <w:num w:numId="44" w16cid:durableId="1602684798">
    <w:abstractNumId w:val="17"/>
    <w:lvlOverride w:ilvl="0">
      <w:startOverride w:val="1"/>
    </w:lvlOverride>
  </w:num>
  <w:num w:numId="45" w16cid:durableId="1617759318">
    <w:abstractNumId w:val="17"/>
    <w:lvlOverride w:ilvl="0">
      <w:startOverride w:val="1"/>
    </w:lvlOverride>
  </w:num>
  <w:num w:numId="46" w16cid:durableId="228349983">
    <w:abstractNumId w:val="17"/>
    <w:lvlOverride w:ilvl="0">
      <w:startOverride w:val="1"/>
    </w:lvlOverride>
  </w:num>
  <w:num w:numId="47" w16cid:durableId="246692793">
    <w:abstractNumId w:val="17"/>
    <w:lvlOverride w:ilvl="0">
      <w:startOverride w:val="1"/>
    </w:lvlOverride>
  </w:num>
  <w:num w:numId="48" w16cid:durableId="570888979">
    <w:abstractNumId w:val="17"/>
    <w:lvlOverride w:ilvl="0">
      <w:startOverride w:val="1"/>
    </w:lvlOverride>
  </w:num>
  <w:num w:numId="49" w16cid:durableId="524909387">
    <w:abstractNumId w:val="57"/>
  </w:num>
  <w:num w:numId="50" w16cid:durableId="909853047">
    <w:abstractNumId w:val="65"/>
  </w:num>
  <w:num w:numId="51" w16cid:durableId="1083066031">
    <w:abstractNumId w:val="8"/>
  </w:num>
  <w:num w:numId="52" w16cid:durableId="1514219161">
    <w:abstractNumId w:val="79"/>
  </w:num>
  <w:num w:numId="53" w16cid:durableId="139496297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012829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49859764">
    <w:abstractNumId w:val="114"/>
  </w:num>
  <w:num w:numId="56" w16cid:durableId="1520268997">
    <w:abstractNumId w:val="3"/>
  </w:num>
  <w:num w:numId="57" w16cid:durableId="1887252390">
    <w:abstractNumId w:val="97"/>
  </w:num>
  <w:num w:numId="58" w16cid:durableId="1303730645">
    <w:abstractNumId w:val="1"/>
  </w:num>
  <w:num w:numId="59" w16cid:durableId="1212428041">
    <w:abstractNumId w:val="73"/>
  </w:num>
  <w:num w:numId="60" w16cid:durableId="993022266">
    <w:abstractNumId w:val="55"/>
  </w:num>
  <w:num w:numId="61" w16cid:durableId="808523330">
    <w:abstractNumId w:val="77"/>
  </w:num>
  <w:num w:numId="62" w16cid:durableId="649943737">
    <w:abstractNumId w:val="5"/>
  </w:num>
  <w:num w:numId="63" w16cid:durableId="34476757">
    <w:abstractNumId w:val="25"/>
  </w:num>
  <w:num w:numId="64" w16cid:durableId="658198248">
    <w:abstractNumId w:val="46"/>
  </w:num>
  <w:num w:numId="65" w16cid:durableId="876241852">
    <w:abstractNumId w:val="83"/>
  </w:num>
  <w:num w:numId="66" w16cid:durableId="527719160">
    <w:abstractNumId w:val="91"/>
  </w:num>
  <w:num w:numId="67" w16cid:durableId="1634360273">
    <w:abstractNumId w:val="121"/>
  </w:num>
  <w:num w:numId="68" w16cid:durableId="512570185">
    <w:abstractNumId w:val="9"/>
  </w:num>
  <w:num w:numId="69" w16cid:durableId="237134830">
    <w:abstractNumId w:val="64"/>
  </w:num>
  <w:num w:numId="70" w16cid:durableId="1061170134">
    <w:abstractNumId w:val="30"/>
  </w:num>
  <w:num w:numId="71" w16cid:durableId="92021291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715049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79845606">
    <w:abstractNumId w:val="66"/>
  </w:num>
  <w:num w:numId="74" w16cid:durableId="2053115188">
    <w:abstractNumId w:val="122"/>
  </w:num>
  <w:num w:numId="75" w16cid:durableId="1396195344">
    <w:abstractNumId w:val="28"/>
  </w:num>
  <w:num w:numId="76" w16cid:durableId="192616604">
    <w:abstractNumId w:val="123"/>
  </w:num>
  <w:num w:numId="77" w16cid:durableId="1192914727">
    <w:abstractNumId w:val="92"/>
  </w:num>
  <w:num w:numId="78" w16cid:durableId="2120903450">
    <w:abstractNumId w:val="124"/>
  </w:num>
  <w:num w:numId="79" w16cid:durableId="1331104982">
    <w:abstractNumId w:val="125"/>
  </w:num>
  <w:num w:numId="80" w16cid:durableId="1784379524">
    <w:abstractNumId w:val="134"/>
  </w:num>
  <w:num w:numId="81" w16cid:durableId="354962317">
    <w:abstractNumId w:val="11"/>
  </w:num>
  <w:num w:numId="82" w16cid:durableId="2005089701">
    <w:abstractNumId w:val="74"/>
  </w:num>
  <w:num w:numId="83" w16cid:durableId="1788349264">
    <w:abstractNumId w:val="126"/>
  </w:num>
  <w:num w:numId="84" w16cid:durableId="807093791">
    <w:abstractNumId w:val="26"/>
  </w:num>
  <w:num w:numId="85" w16cid:durableId="2046439986">
    <w:abstractNumId w:val="120"/>
  </w:num>
  <w:num w:numId="86" w16cid:durableId="1171799839">
    <w:abstractNumId w:val="127"/>
  </w:num>
  <w:num w:numId="87" w16cid:durableId="719287161">
    <w:abstractNumId w:val="128"/>
  </w:num>
  <w:num w:numId="88" w16cid:durableId="1571312308">
    <w:abstractNumId w:val="81"/>
  </w:num>
  <w:num w:numId="89" w16cid:durableId="1511412837">
    <w:abstractNumId w:val="38"/>
  </w:num>
  <w:num w:numId="90" w16cid:durableId="557479586">
    <w:abstractNumId w:val="129"/>
  </w:num>
  <w:num w:numId="91" w16cid:durableId="799032898">
    <w:abstractNumId w:val="130"/>
  </w:num>
  <w:num w:numId="92" w16cid:durableId="719328530">
    <w:abstractNumId w:val="131"/>
  </w:num>
  <w:num w:numId="93" w16cid:durableId="1052996383">
    <w:abstractNumId w:val="33"/>
  </w:num>
  <w:num w:numId="94" w16cid:durableId="186992884">
    <w:abstractNumId w:val="75"/>
  </w:num>
  <w:num w:numId="95" w16cid:durableId="400255118">
    <w:abstractNumId w:val="100"/>
  </w:num>
  <w:num w:numId="96" w16cid:durableId="404189123">
    <w:abstractNumId w:val="35"/>
  </w:num>
  <w:num w:numId="97" w16cid:durableId="1461338298">
    <w:abstractNumId w:val="132"/>
  </w:num>
  <w:num w:numId="98" w16cid:durableId="1038581105">
    <w:abstractNumId w:val="63"/>
  </w:num>
  <w:num w:numId="99" w16cid:durableId="261035130">
    <w:abstractNumId w:val="116"/>
  </w:num>
  <w:num w:numId="100" w16cid:durableId="1095980285">
    <w:abstractNumId w:val="23"/>
  </w:num>
  <w:num w:numId="101" w16cid:durableId="43528028">
    <w:abstractNumId w:val="99"/>
  </w:num>
  <w:num w:numId="102" w16cid:durableId="509760171">
    <w:abstractNumId w:val="88"/>
  </w:num>
  <w:num w:numId="103" w16cid:durableId="370763840">
    <w:abstractNumId w:val="95"/>
  </w:num>
  <w:num w:numId="104" w16cid:durableId="1258249949">
    <w:abstractNumId w:val="89"/>
  </w:num>
  <w:num w:numId="105" w16cid:durableId="1927491749">
    <w:abstractNumId w:val="12"/>
  </w:num>
  <w:num w:numId="106" w16cid:durableId="96021581">
    <w:abstractNumId w:val="22"/>
  </w:num>
  <w:num w:numId="107" w16cid:durableId="566722221">
    <w:abstractNumId w:val="56"/>
  </w:num>
  <w:num w:numId="108" w16cid:durableId="1374965187">
    <w:abstractNumId w:val="17"/>
  </w:num>
  <w:num w:numId="109" w16cid:durableId="1826974697">
    <w:abstractNumId w:val="67"/>
  </w:num>
  <w:num w:numId="110" w16cid:durableId="723330927">
    <w:abstractNumId w:val="19"/>
  </w:num>
  <w:num w:numId="111" w16cid:durableId="1041976564">
    <w:abstractNumId w:val="24"/>
  </w:num>
  <w:num w:numId="112" w16cid:durableId="1577587789">
    <w:abstractNumId w:val="31"/>
  </w:num>
  <w:num w:numId="113" w16cid:durableId="1889536626">
    <w:abstractNumId w:val="76"/>
  </w:num>
  <w:num w:numId="114" w16cid:durableId="828715965">
    <w:abstractNumId w:val="62"/>
  </w:num>
  <w:num w:numId="115" w16cid:durableId="1949895469">
    <w:abstractNumId w:val="112"/>
  </w:num>
  <w:num w:numId="116" w16cid:durableId="359089435">
    <w:abstractNumId w:val="93"/>
  </w:num>
  <w:num w:numId="117" w16cid:durableId="1895968482">
    <w:abstractNumId w:val="87"/>
  </w:num>
  <w:num w:numId="118" w16cid:durableId="2069261776">
    <w:abstractNumId w:val="45"/>
  </w:num>
  <w:num w:numId="119" w16cid:durableId="1292587816">
    <w:abstractNumId w:val="40"/>
  </w:num>
  <w:num w:numId="120" w16cid:durableId="459155845">
    <w:abstractNumId w:val="4"/>
  </w:num>
  <w:num w:numId="121" w16cid:durableId="2037461559">
    <w:abstractNumId w:val="68"/>
  </w:num>
  <w:num w:numId="122" w16cid:durableId="1118253816">
    <w:abstractNumId w:val="72"/>
  </w:num>
  <w:num w:numId="123" w16cid:durableId="1899633290">
    <w:abstractNumId w:val="78"/>
  </w:num>
  <w:num w:numId="124" w16cid:durableId="1652295558">
    <w:abstractNumId w:val="110"/>
  </w:num>
  <w:num w:numId="125" w16cid:durableId="1056321325">
    <w:abstractNumId w:val="43"/>
  </w:num>
  <w:num w:numId="126" w16cid:durableId="2086418740">
    <w:abstractNumId w:val="119"/>
  </w:num>
  <w:num w:numId="127" w16cid:durableId="137304940">
    <w:abstractNumId w:val="108"/>
  </w:num>
  <w:num w:numId="128" w16cid:durableId="767042772">
    <w:abstractNumId w:val="69"/>
  </w:num>
  <w:num w:numId="129" w16cid:durableId="497768910">
    <w:abstractNumId w:val="59"/>
  </w:num>
  <w:num w:numId="130" w16cid:durableId="1992364183">
    <w:abstractNumId w:val="36"/>
  </w:num>
  <w:num w:numId="131" w16cid:durableId="296843287">
    <w:abstractNumId w:val="118"/>
  </w:num>
  <w:num w:numId="132" w16cid:durableId="1294209946">
    <w:abstractNumId w:val="18"/>
  </w:num>
  <w:num w:numId="133" w16cid:durableId="1596477334">
    <w:abstractNumId w:val="98"/>
  </w:num>
  <w:num w:numId="134" w16cid:durableId="1581913048">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35" w16cid:durableId="2145344565">
    <w:abstractNumId w:val="17"/>
  </w:num>
  <w:num w:numId="136" w16cid:durableId="920408590">
    <w:abstractNumId w:val="17"/>
  </w:num>
  <w:num w:numId="137" w16cid:durableId="246380514">
    <w:abstractNumId w:val="17"/>
    <w:lvlOverride w:ilvl="0">
      <w:startOverride w:val="1"/>
    </w:lvlOverride>
  </w:num>
  <w:num w:numId="138" w16cid:durableId="2088458342">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39" w16cid:durableId="567885062">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0" w16cid:durableId="1318343314">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1" w16cid:durableId="1704595015">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2" w16cid:durableId="720443034">
    <w:abstractNumId w:val="50"/>
  </w:num>
  <w:num w:numId="143" w16cid:durableId="637684774">
    <w:abstractNumId w:val="17"/>
  </w:num>
  <w:num w:numId="144" w16cid:durableId="304088633">
    <w:abstractNumId w:val="14"/>
    <w:lvlOverride w:ilvl="0">
      <w:lvl w:ilvl="0">
        <w:start w:val="1"/>
        <w:numFmt w:val="upperRoman"/>
        <w:pStyle w:val="FOAHeading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Heading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Heading4"/>
        <w:lvlText w:val="%4."/>
        <w:lvlJc w:val="left"/>
        <w:pPr>
          <w:ind w:left="1800" w:hanging="360"/>
        </w:pPr>
        <w:rPr>
          <w:rFonts w:ascii="Calibri" w:hAnsi="Calibri" w:hint="default"/>
          <w:i w:val="0"/>
          <w:iCs/>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5" w16cid:durableId="1008601907">
    <w:abstractNumId w:val="17"/>
    <w:lvlOverride w:ilvl="0">
      <w:startOverride w:val="1"/>
    </w:lvlOverride>
  </w:num>
  <w:num w:numId="146" w16cid:durableId="1968924877">
    <w:abstractNumId w:val="17"/>
    <w:lvlOverride w:ilvl="0">
      <w:startOverride w:val="1"/>
    </w:lvlOverride>
  </w:num>
  <w:num w:numId="147" w16cid:durableId="1486431117">
    <w:abstractNumId w:val="61"/>
  </w:num>
  <w:num w:numId="148" w16cid:durableId="1071271137">
    <w:abstractNumId w:val="52"/>
  </w:num>
  <w:num w:numId="149" w16cid:durableId="1763911621">
    <w:abstractNumId w:val="96"/>
  </w:num>
  <w:num w:numId="150" w16cid:durableId="1385258649">
    <w:abstractNumId w:val="15"/>
  </w:num>
  <w:num w:numId="151" w16cid:durableId="1330326329">
    <w:abstractNumId w:val="2"/>
  </w:num>
  <w:num w:numId="152" w16cid:durableId="899485740">
    <w:abstractNumId w:val="85"/>
  </w:num>
  <w:num w:numId="153" w16cid:durableId="1674331907">
    <w:abstractNumId w:val="42"/>
  </w:num>
  <w:num w:numId="154" w16cid:durableId="746653157">
    <w:abstractNumId w:val="37"/>
  </w:num>
  <w:num w:numId="155" w16cid:durableId="348262323">
    <w:abstractNumId w:val="16"/>
  </w:num>
  <w:num w:numId="156" w16cid:durableId="306084198">
    <w:abstractNumId w:val="54"/>
  </w:num>
  <w:num w:numId="157" w16cid:durableId="90593345">
    <w:abstractNumId w:val="53"/>
  </w:num>
  <w:num w:numId="158" w16cid:durableId="1528905147">
    <w:abstractNumId w:val="21"/>
  </w:num>
  <w:num w:numId="159" w16cid:durableId="310332032">
    <w:abstractNumId w:val="133"/>
  </w:num>
  <w:num w:numId="160" w16cid:durableId="1176917341">
    <w:abstractNumId w:val="86"/>
  </w:num>
  <w:num w:numId="161" w16cid:durableId="206571509">
    <w:abstractNumId w:val="6"/>
  </w:num>
  <w:num w:numId="162" w16cid:durableId="1388917404">
    <w:abstractNumId w:val="105"/>
  </w:num>
  <w:num w:numId="163" w16cid:durableId="1977446383">
    <w:abstractNumId w:val="71"/>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0F58C1A-BD7E-406B-B3D5-7679035D6F87}"/>
    <w:docVar w:name="dgnword-eventsink" w:val="3600928"/>
  </w:docVars>
  <w:rsids>
    <w:rsidRoot w:val="00C950F1"/>
    <w:rsid w:val="000004D6"/>
    <w:rsid w:val="00000653"/>
    <w:rsid w:val="00000B80"/>
    <w:rsid w:val="000011AB"/>
    <w:rsid w:val="0000156C"/>
    <w:rsid w:val="00001947"/>
    <w:rsid w:val="00001B11"/>
    <w:rsid w:val="00001C64"/>
    <w:rsid w:val="00001E13"/>
    <w:rsid w:val="00001FFB"/>
    <w:rsid w:val="0000223E"/>
    <w:rsid w:val="00002A63"/>
    <w:rsid w:val="00002BD8"/>
    <w:rsid w:val="000032BC"/>
    <w:rsid w:val="000034AA"/>
    <w:rsid w:val="00003C43"/>
    <w:rsid w:val="00004740"/>
    <w:rsid w:val="00004B24"/>
    <w:rsid w:val="00004F55"/>
    <w:rsid w:val="00005286"/>
    <w:rsid w:val="00005D9E"/>
    <w:rsid w:val="00006923"/>
    <w:rsid w:val="00006BC2"/>
    <w:rsid w:val="00006D1D"/>
    <w:rsid w:val="00006ED0"/>
    <w:rsid w:val="0000759E"/>
    <w:rsid w:val="00007921"/>
    <w:rsid w:val="00007A85"/>
    <w:rsid w:val="00007AA4"/>
    <w:rsid w:val="00007B21"/>
    <w:rsid w:val="00007DC2"/>
    <w:rsid w:val="00007FD4"/>
    <w:rsid w:val="000106DC"/>
    <w:rsid w:val="00010920"/>
    <w:rsid w:val="00010921"/>
    <w:rsid w:val="00010C10"/>
    <w:rsid w:val="00010ED4"/>
    <w:rsid w:val="00010EF6"/>
    <w:rsid w:val="00010F14"/>
    <w:rsid w:val="00011211"/>
    <w:rsid w:val="00011744"/>
    <w:rsid w:val="000119E0"/>
    <w:rsid w:val="00011AC5"/>
    <w:rsid w:val="00012410"/>
    <w:rsid w:val="00012689"/>
    <w:rsid w:val="00012F1F"/>
    <w:rsid w:val="00013952"/>
    <w:rsid w:val="00014404"/>
    <w:rsid w:val="00015448"/>
    <w:rsid w:val="00015641"/>
    <w:rsid w:val="00015803"/>
    <w:rsid w:val="00015F68"/>
    <w:rsid w:val="0001625F"/>
    <w:rsid w:val="00017148"/>
    <w:rsid w:val="0001758B"/>
    <w:rsid w:val="00017939"/>
    <w:rsid w:val="00017ACB"/>
    <w:rsid w:val="00017C1C"/>
    <w:rsid w:val="00020544"/>
    <w:rsid w:val="00020963"/>
    <w:rsid w:val="00020CBE"/>
    <w:rsid w:val="00021A9E"/>
    <w:rsid w:val="00021AD1"/>
    <w:rsid w:val="00022517"/>
    <w:rsid w:val="00022A31"/>
    <w:rsid w:val="0002303B"/>
    <w:rsid w:val="00023062"/>
    <w:rsid w:val="00023747"/>
    <w:rsid w:val="00023BFE"/>
    <w:rsid w:val="000242DF"/>
    <w:rsid w:val="000244D7"/>
    <w:rsid w:val="000248D6"/>
    <w:rsid w:val="00024A50"/>
    <w:rsid w:val="00025061"/>
    <w:rsid w:val="00025075"/>
    <w:rsid w:val="000251DF"/>
    <w:rsid w:val="00025455"/>
    <w:rsid w:val="00026366"/>
    <w:rsid w:val="00027284"/>
    <w:rsid w:val="0002735F"/>
    <w:rsid w:val="0002737B"/>
    <w:rsid w:val="000275E8"/>
    <w:rsid w:val="000279F4"/>
    <w:rsid w:val="00027F16"/>
    <w:rsid w:val="000300B5"/>
    <w:rsid w:val="000303D6"/>
    <w:rsid w:val="00030495"/>
    <w:rsid w:val="000306D3"/>
    <w:rsid w:val="000307DD"/>
    <w:rsid w:val="0003080E"/>
    <w:rsid w:val="00030D95"/>
    <w:rsid w:val="00032105"/>
    <w:rsid w:val="0003247F"/>
    <w:rsid w:val="0003283A"/>
    <w:rsid w:val="000328BA"/>
    <w:rsid w:val="00032B86"/>
    <w:rsid w:val="00032BCB"/>
    <w:rsid w:val="000330A3"/>
    <w:rsid w:val="000333AA"/>
    <w:rsid w:val="00033C8F"/>
    <w:rsid w:val="00033E57"/>
    <w:rsid w:val="0003452E"/>
    <w:rsid w:val="000345AD"/>
    <w:rsid w:val="00035721"/>
    <w:rsid w:val="0003587C"/>
    <w:rsid w:val="0003625A"/>
    <w:rsid w:val="00036612"/>
    <w:rsid w:val="00037674"/>
    <w:rsid w:val="000377A5"/>
    <w:rsid w:val="00037AA7"/>
    <w:rsid w:val="00037C6C"/>
    <w:rsid w:val="00037E41"/>
    <w:rsid w:val="00040127"/>
    <w:rsid w:val="000403EF"/>
    <w:rsid w:val="000407CE"/>
    <w:rsid w:val="00040BEC"/>
    <w:rsid w:val="0004107C"/>
    <w:rsid w:val="0004199E"/>
    <w:rsid w:val="00042C39"/>
    <w:rsid w:val="000439CD"/>
    <w:rsid w:val="00043B73"/>
    <w:rsid w:val="000447DB"/>
    <w:rsid w:val="00044AED"/>
    <w:rsid w:val="00044EF8"/>
    <w:rsid w:val="00044F3E"/>
    <w:rsid w:val="0004512F"/>
    <w:rsid w:val="000458BE"/>
    <w:rsid w:val="00045C51"/>
    <w:rsid w:val="00046336"/>
    <w:rsid w:val="00046358"/>
    <w:rsid w:val="000468A8"/>
    <w:rsid w:val="00046C12"/>
    <w:rsid w:val="0004701F"/>
    <w:rsid w:val="00047E58"/>
    <w:rsid w:val="00047F19"/>
    <w:rsid w:val="00050AD5"/>
    <w:rsid w:val="00050FE4"/>
    <w:rsid w:val="000524E7"/>
    <w:rsid w:val="00052816"/>
    <w:rsid w:val="0005293C"/>
    <w:rsid w:val="000533B9"/>
    <w:rsid w:val="000534FF"/>
    <w:rsid w:val="0005494D"/>
    <w:rsid w:val="00054A4D"/>
    <w:rsid w:val="000551BC"/>
    <w:rsid w:val="00055AC8"/>
    <w:rsid w:val="00055E6B"/>
    <w:rsid w:val="000561C1"/>
    <w:rsid w:val="00056C62"/>
    <w:rsid w:val="00056CD5"/>
    <w:rsid w:val="0005707A"/>
    <w:rsid w:val="000577F0"/>
    <w:rsid w:val="0005780B"/>
    <w:rsid w:val="000579C2"/>
    <w:rsid w:val="000600BA"/>
    <w:rsid w:val="000605B8"/>
    <w:rsid w:val="00060A5D"/>
    <w:rsid w:val="000613E1"/>
    <w:rsid w:val="00061C08"/>
    <w:rsid w:val="00062157"/>
    <w:rsid w:val="00062398"/>
    <w:rsid w:val="00063968"/>
    <w:rsid w:val="00063C5C"/>
    <w:rsid w:val="00064FCC"/>
    <w:rsid w:val="00065058"/>
    <w:rsid w:val="000656D5"/>
    <w:rsid w:val="00065B5A"/>
    <w:rsid w:val="00065CF1"/>
    <w:rsid w:val="00066333"/>
    <w:rsid w:val="00066376"/>
    <w:rsid w:val="000664C6"/>
    <w:rsid w:val="000667D6"/>
    <w:rsid w:val="000707C6"/>
    <w:rsid w:val="00070A95"/>
    <w:rsid w:val="000714BD"/>
    <w:rsid w:val="000720EF"/>
    <w:rsid w:val="00072505"/>
    <w:rsid w:val="00072A70"/>
    <w:rsid w:val="00072CDD"/>
    <w:rsid w:val="0007397D"/>
    <w:rsid w:val="00073E82"/>
    <w:rsid w:val="00073EA7"/>
    <w:rsid w:val="0007423F"/>
    <w:rsid w:val="00074566"/>
    <w:rsid w:val="00074885"/>
    <w:rsid w:val="00074F11"/>
    <w:rsid w:val="000751D7"/>
    <w:rsid w:val="000754DB"/>
    <w:rsid w:val="00075DA4"/>
    <w:rsid w:val="00076A77"/>
    <w:rsid w:val="00076E61"/>
    <w:rsid w:val="00076FA9"/>
    <w:rsid w:val="000771FD"/>
    <w:rsid w:val="0007782A"/>
    <w:rsid w:val="00077F4E"/>
    <w:rsid w:val="000800CA"/>
    <w:rsid w:val="00080B35"/>
    <w:rsid w:val="00081799"/>
    <w:rsid w:val="00081A27"/>
    <w:rsid w:val="000820A0"/>
    <w:rsid w:val="000823A0"/>
    <w:rsid w:val="00082423"/>
    <w:rsid w:val="000826C0"/>
    <w:rsid w:val="00082791"/>
    <w:rsid w:val="00082AC6"/>
    <w:rsid w:val="00082C0B"/>
    <w:rsid w:val="00084046"/>
    <w:rsid w:val="00084677"/>
    <w:rsid w:val="00084783"/>
    <w:rsid w:val="00084B1A"/>
    <w:rsid w:val="00084CB0"/>
    <w:rsid w:val="00084D20"/>
    <w:rsid w:val="00085135"/>
    <w:rsid w:val="00085D35"/>
    <w:rsid w:val="00085D37"/>
    <w:rsid w:val="00085EE8"/>
    <w:rsid w:val="00085FE4"/>
    <w:rsid w:val="000879EA"/>
    <w:rsid w:val="00087B9F"/>
    <w:rsid w:val="0009010B"/>
    <w:rsid w:val="00091742"/>
    <w:rsid w:val="00091A63"/>
    <w:rsid w:val="00091C54"/>
    <w:rsid w:val="00091CAA"/>
    <w:rsid w:val="00091D44"/>
    <w:rsid w:val="000920AD"/>
    <w:rsid w:val="000921E2"/>
    <w:rsid w:val="00092329"/>
    <w:rsid w:val="00092748"/>
    <w:rsid w:val="00092810"/>
    <w:rsid w:val="000929FD"/>
    <w:rsid w:val="000935F1"/>
    <w:rsid w:val="00093978"/>
    <w:rsid w:val="00094B03"/>
    <w:rsid w:val="00094CC5"/>
    <w:rsid w:val="00095B10"/>
    <w:rsid w:val="00095D26"/>
    <w:rsid w:val="00096C06"/>
    <w:rsid w:val="00096C86"/>
    <w:rsid w:val="00096CC3"/>
    <w:rsid w:val="000978A4"/>
    <w:rsid w:val="00097DFD"/>
    <w:rsid w:val="00097E74"/>
    <w:rsid w:val="000A0B55"/>
    <w:rsid w:val="000A104C"/>
    <w:rsid w:val="000A10EF"/>
    <w:rsid w:val="000A110B"/>
    <w:rsid w:val="000A12DC"/>
    <w:rsid w:val="000A133D"/>
    <w:rsid w:val="000A17EA"/>
    <w:rsid w:val="000A1E0B"/>
    <w:rsid w:val="000A2636"/>
    <w:rsid w:val="000A28AC"/>
    <w:rsid w:val="000A2CB4"/>
    <w:rsid w:val="000A2E28"/>
    <w:rsid w:val="000A36CB"/>
    <w:rsid w:val="000A37C1"/>
    <w:rsid w:val="000A3D64"/>
    <w:rsid w:val="000A3E5B"/>
    <w:rsid w:val="000A4E9C"/>
    <w:rsid w:val="000A53BB"/>
    <w:rsid w:val="000A5746"/>
    <w:rsid w:val="000A5834"/>
    <w:rsid w:val="000A5BE0"/>
    <w:rsid w:val="000A5FC6"/>
    <w:rsid w:val="000A6BE4"/>
    <w:rsid w:val="000A75E3"/>
    <w:rsid w:val="000B00CC"/>
    <w:rsid w:val="000B0569"/>
    <w:rsid w:val="000B0C6E"/>
    <w:rsid w:val="000B0F47"/>
    <w:rsid w:val="000B11BD"/>
    <w:rsid w:val="000B175B"/>
    <w:rsid w:val="000B24A9"/>
    <w:rsid w:val="000B2A5F"/>
    <w:rsid w:val="000B2F6E"/>
    <w:rsid w:val="000B3206"/>
    <w:rsid w:val="000B3FDF"/>
    <w:rsid w:val="000B48E3"/>
    <w:rsid w:val="000B4CA5"/>
    <w:rsid w:val="000B4EBB"/>
    <w:rsid w:val="000B53F2"/>
    <w:rsid w:val="000B553B"/>
    <w:rsid w:val="000B5BBE"/>
    <w:rsid w:val="000B61F9"/>
    <w:rsid w:val="000B643E"/>
    <w:rsid w:val="000B731F"/>
    <w:rsid w:val="000B73E8"/>
    <w:rsid w:val="000B7460"/>
    <w:rsid w:val="000B7757"/>
    <w:rsid w:val="000B7E40"/>
    <w:rsid w:val="000C0B05"/>
    <w:rsid w:val="000C11A3"/>
    <w:rsid w:val="000C13C3"/>
    <w:rsid w:val="000C145C"/>
    <w:rsid w:val="000C15DE"/>
    <w:rsid w:val="000C16CD"/>
    <w:rsid w:val="000C1A86"/>
    <w:rsid w:val="000C1F94"/>
    <w:rsid w:val="000C23AB"/>
    <w:rsid w:val="000C33E9"/>
    <w:rsid w:val="000C3607"/>
    <w:rsid w:val="000C3662"/>
    <w:rsid w:val="000C394D"/>
    <w:rsid w:val="000C3C2F"/>
    <w:rsid w:val="000C4B86"/>
    <w:rsid w:val="000C5E36"/>
    <w:rsid w:val="000C60FD"/>
    <w:rsid w:val="000C6402"/>
    <w:rsid w:val="000C69D9"/>
    <w:rsid w:val="000C721D"/>
    <w:rsid w:val="000C7370"/>
    <w:rsid w:val="000C770B"/>
    <w:rsid w:val="000C780E"/>
    <w:rsid w:val="000D09C3"/>
    <w:rsid w:val="000D14D8"/>
    <w:rsid w:val="000D1723"/>
    <w:rsid w:val="000D17C5"/>
    <w:rsid w:val="000D250C"/>
    <w:rsid w:val="000D2B8D"/>
    <w:rsid w:val="000D2EAC"/>
    <w:rsid w:val="000D42DC"/>
    <w:rsid w:val="000D46CF"/>
    <w:rsid w:val="000D4CD8"/>
    <w:rsid w:val="000D6192"/>
    <w:rsid w:val="000D73A5"/>
    <w:rsid w:val="000D77D6"/>
    <w:rsid w:val="000D7FC8"/>
    <w:rsid w:val="000E0006"/>
    <w:rsid w:val="000E0189"/>
    <w:rsid w:val="000E0555"/>
    <w:rsid w:val="000E07DD"/>
    <w:rsid w:val="000E0AE2"/>
    <w:rsid w:val="000E0E82"/>
    <w:rsid w:val="000E0F5B"/>
    <w:rsid w:val="000E1085"/>
    <w:rsid w:val="000E1786"/>
    <w:rsid w:val="000E2048"/>
    <w:rsid w:val="000E220D"/>
    <w:rsid w:val="000E230F"/>
    <w:rsid w:val="000E253E"/>
    <w:rsid w:val="000E254B"/>
    <w:rsid w:val="000E3648"/>
    <w:rsid w:val="000E3AB2"/>
    <w:rsid w:val="000E3DBB"/>
    <w:rsid w:val="000E4202"/>
    <w:rsid w:val="000E4616"/>
    <w:rsid w:val="000E4709"/>
    <w:rsid w:val="000E497A"/>
    <w:rsid w:val="000E4992"/>
    <w:rsid w:val="000E5BB3"/>
    <w:rsid w:val="000E5EAA"/>
    <w:rsid w:val="000E622F"/>
    <w:rsid w:val="000E658B"/>
    <w:rsid w:val="000E797E"/>
    <w:rsid w:val="000E7CAC"/>
    <w:rsid w:val="000F0009"/>
    <w:rsid w:val="000F0038"/>
    <w:rsid w:val="000F07E2"/>
    <w:rsid w:val="000F07F5"/>
    <w:rsid w:val="000F0C4B"/>
    <w:rsid w:val="000F0D95"/>
    <w:rsid w:val="000F1AD9"/>
    <w:rsid w:val="000F1B1D"/>
    <w:rsid w:val="000F1C5F"/>
    <w:rsid w:val="000F1CBD"/>
    <w:rsid w:val="000F1FEB"/>
    <w:rsid w:val="000F2058"/>
    <w:rsid w:val="000F2292"/>
    <w:rsid w:val="000F2630"/>
    <w:rsid w:val="000F305A"/>
    <w:rsid w:val="000F307F"/>
    <w:rsid w:val="000F39E1"/>
    <w:rsid w:val="000F432F"/>
    <w:rsid w:val="000F5689"/>
    <w:rsid w:val="000F5AAC"/>
    <w:rsid w:val="000F5F0F"/>
    <w:rsid w:val="000F6860"/>
    <w:rsid w:val="000F7001"/>
    <w:rsid w:val="000F7066"/>
    <w:rsid w:val="000F741C"/>
    <w:rsid w:val="00100EB5"/>
    <w:rsid w:val="00101815"/>
    <w:rsid w:val="00101E99"/>
    <w:rsid w:val="00101F9E"/>
    <w:rsid w:val="001020E9"/>
    <w:rsid w:val="00103176"/>
    <w:rsid w:val="001038FE"/>
    <w:rsid w:val="00103C2A"/>
    <w:rsid w:val="00104961"/>
    <w:rsid w:val="00105B1C"/>
    <w:rsid w:val="00105D15"/>
    <w:rsid w:val="00106132"/>
    <w:rsid w:val="00106295"/>
    <w:rsid w:val="00106549"/>
    <w:rsid w:val="00106AA5"/>
    <w:rsid w:val="00106FAC"/>
    <w:rsid w:val="00106FCE"/>
    <w:rsid w:val="0010730D"/>
    <w:rsid w:val="0010750A"/>
    <w:rsid w:val="00107698"/>
    <w:rsid w:val="00107BD2"/>
    <w:rsid w:val="00107FFB"/>
    <w:rsid w:val="001108AD"/>
    <w:rsid w:val="001108D4"/>
    <w:rsid w:val="00110932"/>
    <w:rsid w:val="00110CC7"/>
    <w:rsid w:val="001117C1"/>
    <w:rsid w:val="00111A07"/>
    <w:rsid w:val="00111F87"/>
    <w:rsid w:val="00112074"/>
    <w:rsid w:val="00112200"/>
    <w:rsid w:val="00112226"/>
    <w:rsid w:val="00112608"/>
    <w:rsid w:val="00112703"/>
    <w:rsid w:val="0011279A"/>
    <w:rsid w:val="001128E6"/>
    <w:rsid w:val="00112C42"/>
    <w:rsid w:val="00113450"/>
    <w:rsid w:val="00113900"/>
    <w:rsid w:val="00114CE3"/>
    <w:rsid w:val="00115A49"/>
    <w:rsid w:val="00115D56"/>
    <w:rsid w:val="001161AF"/>
    <w:rsid w:val="0011659A"/>
    <w:rsid w:val="00116BEE"/>
    <w:rsid w:val="001171CB"/>
    <w:rsid w:val="00120572"/>
    <w:rsid w:val="00120C76"/>
    <w:rsid w:val="00120F39"/>
    <w:rsid w:val="0012148E"/>
    <w:rsid w:val="0012225B"/>
    <w:rsid w:val="001225BD"/>
    <w:rsid w:val="00122A3B"/>
    <w:rsid w:val="00123F6E"/>
    <w:rsid w:val="00124031"/>
    <w:rsid w:val="001244BD"/>
    <w:rsid w:val="001246BA"/>
    <w:rsid w:val="00124F72"/>
    <w:rsid w:val="0012506C"/>
    <w:rsid w:val="00125271"/>
    <w:rsid w:val="00125B8B"/>
    <w:rsid w:val="00125CE3"/>
    <w:rsid w:val="00125D28"/>
    <w:rsid w:val="00125D44"/>
    <w:rsid w:val="00125D94"/>
    <w:rsid w:val="00125E70"/>
    <w:rsid w:val="00125EF5"/>
    <w:rsid w:val="00126B86"/>
    <w:rsid w:val="00126FBB"/>
    <w:rsid w:val="001271BC"/>
    <w:rsid w:val="00127FE9"/>
    <w:rsid w:val="0013034B"/>
    <w:rsid w:val="001305E3"/>
    <w:rsid w:val="00130952"/>
    <w:rsid w:val="0013119B"/>
    <w:rsid w:val="00131980"/>
    <w:rsid w:val="0013199F"/>
    <w:rsid w:val="00131A4F"/>
    <w:rsid w:val="00133B3C"/>
    <w:rsid w:val="0013415B"/>
    <w:rsid w:val="00134B0A"/>
    <w:rsid w:val="001350D9"/>
    <w:rsid w:val="001356B5"/>
    <w:rsid w:val="00135ABB"/>
    <w:rsid w:val="00135ADC"/>
    <w:rsid w:val="00136BA9"/>
    <w:rsid w:val="001375D6"/>
    <w:rsid w:val="00140902"/>
    <w:rsid w:val="00140FB5"/>
    <w:rsid w:val="001413C8"/>
    <w:rsid w:val="001416A7"/>
    <w:rsid w:val="00141A39"/>
    <w:rsid w:val="00141B6F"/>
    <w:rsid w:val="00141D9D"/>
    <w:rsid w:val="00142678"/>
    <w:rsid w:val="00142B42"/>
    <w:rsid w:val="001431C0"/>
    <w:rsid w:val="001434C9"/>
    <w:rsid w:val="001436C5"/>
    <w:rsid w:val="00143A98"/>
    <w:rsid w:val="00143BBD"/>
    <w:rsid w:val="00143BFD"/>
    <w:rsid w:val="00144A57"/>
    <w:rsid w:val="00144C67"/>
    <w:rsid w:val="001454EF"/>
    <w:rsid w:val="0014599D"/>
    <w:rsid w:val="00146141"/>
    <w:rsid w:val="0014678D"/>
    <w:rsid w:val="001470AF"/>
    <w:rsid w:val="00147959"/>
    <w:rsid w:val="001479AD"/>
    <w:rsid w:val="001479CB"/>
    <w:rsid w:val="00150060"/>
    <w:rsid w:val="0015016B"/>
    <w:rsid w:val="001501DC"/>
    <w:rsid w:val="00150325"/>
    <w:rsid w:val="0015033F"/>
    <w:rsid w:val="001518FD"/>
    <w:rsid w:val="00151B56"/>
    <w:rsid w:val="00152117"/>
    <w:rsid w:val="00152174"/>
    <w:rsid w:val="00152A3A"/>
    <w:rsid w:val="00152DD0"/>
    <w:rsid w:val="00153549"/>
    <w:rsid w:val="00153766"/>
    <w:rsid w:val="00153CF0"/>
    <w:rsid w:val="001548D9"/>
    <w:rsid w:val="00154F8A"/>
    <w:rsid w:val="0015553F"/>
    <w:rsid w:val="00155819"/>
    <w:rsid w:val="001558E8"/>
    <w:rsid w:val="00156033"/>
    <w:rsid w:val="001563A9"/>
    <w:rsid w:val="00156486"/>
    <w:rsid w:val="00156690"/>
    <w:rsid w:val="00156691"/>
    <w:rsid w:val="001568CD"/>
    <w:rsid w:val="00156A27"/>
    <w:rsid w:val="00156BC5"/>
    <w:rsid w:val="00156F9D"/>
    <w:rsid w:val="001572FC"/>
    <w:rsid w:val="00157357"/>
    <w:rsid w:val="001576CD"/>
    <w:rsid w:val="0015790A"/>
    <w:rsid w:val="001608B5"/>
    <w:rsid w:val="00161071"/>
    <w:rsid w:val="001610A1"/>
    <w:rsid w:val="001612A1"/>
    <w:rsid w:val="00161FF6"/>
    <w:rsid w:val="0016234D"/>
    <w:rsid w:val="0016238A"/>
    <w:rsid w:val="00162C6F"/>
    <w:rsid w:val="00163BE9"/>
    <w:rsid w:val="00163C59"/>
    <w:rsid w:val="00163ED2"/>
    <w:rsid w:val="00164515"/>
    <w:rsid w:val="00164A97"/>
    <w:rsid w:val="0016542E"/>
    <w:rsid w:val="00165E3E"/>
    <w:rsid w:val="00166BEB"/>
    <w:rsid w:val="00166F66"/>
    <w:rsid w:val="0016766E"/>
    <w:rsid w:val="0017028B"/>
    <w:rsid w:val="001704F8"/>
    <w:rsid w:val="00170A62"/>
    <w:rsid w:val="00171227"/>
    <w:rsid w:val="00171E51"/>
    <w:rsid w:val="00171E8A"/>
    <w:rsid w:val="00172D80"/>
    <w:rsid w:val="00173714"/>
    <w:rsid w:val="00173EE9"/>
    <w:rsid w:val="001747B5"/>
    <w:rsid w:val="00174FA4"/>
    <w:rsid w:val="0017554D"/>
    <w:rsid w:val="00175793"/>
    <w:rsid w:val="00175CB2"/>
    <w:rsid w:val="001767B0"/>
    <w:rsid w:val="00176DA9"/>
    <w:rsid w:val="00176DD7"/>
    <w:rsid w:val="0017729B"/>
    <w:rsid w:val="00177977"/>
    <w:rsid w:val="00177AC8"/>
    <w:rsid w:val="00180260"/>
    <w:rsid w:val="001804B4"/>
    <w:rsid w:val="001812B7"/>
    <w:rsid w:val="001815FE"/>
    <w:rsid w:val="001819F7"/>
    <w:rsid w:val="001823D9"/>
    <w:rsid w:val="00182951"/>
    <w:rsid w:val="00182AE3"/>
    <w:rsid w:val="00182DB6"/>
    <w:rsid w:val="00182F53"/>
    <w:rsid w:val="0018525F"/>
    <w:rsid w:val="001855E0"/>
    <w:rsid w:val="00185823"/>
    <w:rsid w:val="00186620"/>
    <w:rsid w:val="00186770"/>
    <w:rsid w:val="00186784"/>
    <w:rsid w:val="00187354"/>
    <w:rsid w:val="00187415"/>
    <w:rsid w:val="00190182"/>
    <w:rsid w:val="00190B3E"/>
    <w:rsid w:val="00191184"/>
    <w:rsid w:val="001916D0"/>
    <w:rsid w:val="00191727"/>
    <w:rsid w:val="00192272"/>
    <w:rsid w:val="00192D5D"/>
    <w:rsid w:val="00192DB2"/>
    <w:rsid w:val="00193169"/>
    <w:rsid w:val="0019319C"/>
    <w:rsid w:val="00194ABE"/>
    <w:rsid w:val="00194D76"/>
    <w:rsid w:val="00195153"/>
    <w:rsid w:val="00195845"/>
    <w:rsid w:val="0019651E"/>
    <w:rsid w:val="00196CD7"/>
    <w:rsid w:val="0019742A"/>
    <w:rsid w:val="001978C8"/>
    <w:rsid w:val="00197BEB"/>
    <w:rsid w:val="00197C9C"/>
    <w:rsid w:val="001A07B5"/>
    <w:rsid w:val="001A0BB0"/>
    <w:rsid w:val="001A0F69"/>
    <w:rsid w:val="001A1193"/>
    <w:rsid w:val="001A1B70"/>
    <w:rsid w:val="001A1B91"/>
    <w:rsid w:val="001A20DD"/>
    <w:rsid w:val="001A235C"/>
    <w:rsid w:val="001A23DE"/>
    <w:rsid w:val="001A341C"/>
    <w:rsid w:val="001A3502"/>
    <w:rsid w:val="001A4F47"/>
    <w:rsid w:val="001A4F57"/>
    <w:rsid w:val="001A52DF"/>
    <w:rsid w:val="001A546E"/>
    <w:rsid w:val="001A5DB5"/>
    <w:rsid w:val="001A6434"/>
    <w:rsid w:val="001A6B85"/>
    <w:rsid w:val="001A6FD6"/>
    <w:rsid w:val="001B0149"/>
    <w:rsid w:val="001B0E97"/>
    <w:rsid w:val="001B113C"/>
    <w:rsid w:val="001B1D49"/>
    <w:rsid w:val="001B1E68"/>
    <w:rsid w:val="001B1FFA"/>
    <w:rsid w:val="001B238F"/>
    <w:rsid w:val="001B2A79"/>
    <w:rsid w:val="001B32CC"/>
    <w:rsid w:val="001B33AC"/>
    <w:rsid w:val="001B358F"/>
    <w:rsid w:val="001B3A53"/>
    <w:rsid w:val="001B3C5C"/>
    <w:rsid w:val="001B4465"/>
    <w:rsid w:val="001B4D19"/>
    <w:rsid w:val="001B58CE"/>
    <w:rsid w:val="001B5D20"/>
    <w:rsid w:val="001B613E"/>
    <w:rsid w:val="001B688E"/>
    <w:rsid w:val="001B6894"/>
    <w:rsid w:val="001B6E91"/>
    <w:rsid w:val="001B6FF1"/>
    <w:rsid w:val="001B7316"/>
    <w:rsid w:val="001B761D"/>
    <w:rsid w:val="001B7656"/>
    <w:rsid w:val="001B76D6"/>
    <w:rsid w:val="001B772D"/>
    <w:rsid w:val="001B7AC6"/>
    <w:rsid w:val="001B7EF6"/>
    <w:rsid w:val="001C0011"/>
    <w:rsid w:val="001C02E3"/>
    <w:rsid w:val="001C0682"/>
    <w:rsid w:val="001C07B2"/>
    <w:rsid w:val="001C084F"/>
    <w:rsid w:val="001C1BE4"/>
    <w:rsid w:val="001C1DE6"/>
    <w:rsid w:val="001C1E27"/>
    <w:rsid w:val="001C2021"/>
    <w:rsid w:val="001C2A0F"/>
    <w:rsid w:val="001C2B71"/>
    <w:rsid w:val="001C2C3F"/>
    <w:rsid w:val="001C3552"/>
    <w:rsid w:val="001C35CF"/>
    <w:rsid w:val="001C3628"/>
    <w:rsid w:val="001C3807"/>
    <w:rsid w:val="001C3D35"/>
    <w:rsid w:val="001C414B"/>
    <w:rsid w:val="001C433B"/>
    <w:rsid w:val="001C499E"/>
    <w:rsid w:val="001C6076"/>
    <w:rsid w:val="001C6263"/>
    <w:rsid w:val="001C633C"/>
    <w:rsid w:val="001C683F"/>
    <w:rsid w:val="001C6AFF"/>
    <w:rsid w:val="001C70A3"/>
    <w:rsid w:val="001C7489"/>
    <w:rsid w:val="001D0313"/>
    <w:rsid w:val="001D0DC8"/>
    <w:rsid w:val="001D1475"/>
    <w:rsid w:val="001D198A"/>
    <w:rsid w:val="001D1E36"/>
    <w:rsid w:val="001D2258"/>
    <w:rsid w:val="001D2930"/>
    <w:rsid w:val="001D2969"/>
    <w:rsid w:val="001D29FC"/>
    <w:rsid w:val="001D2C74"/>
    <w:rsid w:val="001D2D59"/>
    <w:rsid w:val="001D387E"/>
    <w:rsid w:val="001D3E36"/>
    <w:rsid w:val="001D49AE"/>
    <w:rsid w:val="001D5943"/>
    <w:rsid w:val="001D60C4"/>
    <w:rsid w:val="001D6622"/>
    <w:rsid w:val="001D6E34"/>
    <w:rsid w:val="001D70CB"/>
    <w:rsid w:val="001D799A"/>
    <w:rsid w:val="001E08A5"/>
    <w:rsid w:val="001E0D1A"/>
    <w:rsid w:val="001E1283"/>
    <w:rsid w:val="001E18DA"/>
    <w:rsid w:val="001E1EF0"/>
    <w:rsid w:val="001E28BC"/>
    <w:rsid w:val="001E29F6"/>
    <w:rsid w:val="001E2C51"/>
    <w:rsid w:val="001E3443"/>
    <w:rsid w:val="001E40B2"/>
    <w:rsid w:val="001E41EF"/>
    <w:rsid w:val="001E46DE"/>
    <w:rsid w:val="001E49EF"/>
    <w:rsid w:val="001E5464"/>
    <w:rsid w:val="001E5D99"/>
    <w:rsid w:val="001E5E29"/>
    <w:rsid w:val="001E65D0"/>
    <w:rsid w:val="001E676D"/>
    <w:rsid w:val="001E7463"/>
    <w:rsid w:val="001F1296"/>
    <w:rsid w:val="001F169D"/>
    <w:rsid w:val="001F16AE"/>
    <w:rsid w:val="001F19A6"/>
    <w:rsid w:val="001F1EA0"/>
    <w:rsid w:val="001F1F38"/>
    <w:rsid w:val="001F2AAF"/>
    <w:rsid w:val="001F33A7"/>
    <w:rsid w:val="001F3AE9"/>
    <w:rsid w:val="001F3E66"/>
    <w:rsid w:val="001F43C2"/>
    <w:rsid w:val="001F560F"/>
    <w:rsid w:val="001F5634"/>
    <w:rsid w:val="001F5C6D"/>
    <w:rsid w:val="001F67A7"/>
    <w:rsid w:val="001F6D19"/>
    <w:rsid w:val="001F6D5B"/>
    <w:rsid w:val="001F70B4"/>
    <w:rsid w:val="00200D84"/>
    <w:rsid w:val="0020120B"/>
    <w:rsid w:val="002013D0"/>
    <w:rsid w:val="002018FF"/>
    <w:rsid w:val="002024BA"/>
    <w:rsid w:val="00202755"/>
    <w:rsid w:val="0020374F"/>
    <w:rsid w:val="002042AE"/>
    <w:rsid w:val="00204D76"/>
    <w:rsid w:val="00204D8F"/>
    <w:rsid w:val="00205AD0"/>
    <w:rsid w:val="00205B9F"/>
    <w:rsid w:val="00205C57"/>
    <w:rsid w:val="002064E0"/>
    <w:rsid w:val="00206B5A"/>
    <w:rsid w:val="002073B5"/>
    <w:rsid w:val="00207AB5"/>
    <w:rsid w:val="00210767"/>
    <w:rsid w:val="00210D01"/>
    <w:rsid w:val="00210F93"/>
    <w:rsid w:val="002114F3"/>
    <w:rsid w:val="00211966"/>
    <w:rsid w:val="002119CB"/>
    <w:rsid w:val="00211F32"/>
    <w:rsid w:val="00213302"/>
    <w:rsid w:val="0021341B"/>
    <w:rsid w:val="0021367B"/>
    <w:rsid w:val="002136F2"/>
    <w:rsid w:val="00213B69"/>
    <w:rsid w:val="00213EA2"/>
    <w:rsid w:val="00214518"/>
    <w:rsid w:val="0021513E"/>
    <w:rsid w:val="00215544"/>
    <w:rsid w:val="00215A1C"/>
    <w:rsid w:val="00215CD4"/>
    <w:rsid w:val="00216A3D"/>
    <w:rsid w:val="00216B12"/>
    <w:rsid w:val="00216B3D"/>
    <w:rsid w:val="00216DC7"/>
    <w:rsid w:val="00216E1C"/>
    <w:rsid w:val="00216E72"/>
    <w:rsid w:val="002178B4"/>
    <w:rsid w:val="0022038E"/>
    <w:rsid w:val="0022085A"/>
    <w:rsid w:val="00220C14"/>
    <w:rsid w:val="00220C22"/>
    <w:rsid w:val="00220C9C"/>
    <w:rsid w:val="00220DDB"/>
    <w:rsid w:val="0022157D"/>
    <w:rsid w:val="00221596"/>
    <w:rsid w:val="002215BB"/>
    <w:rsid w:val="00221643"/>
    <w:rsid w:val="00222BB1"/>
    <w:rsid w:val="00222BC8"/>
    <w:rsid w:val="00222C31"/>
    <w:rsid w:val="00222F89"/>
    <w:rsid w:val="00223299"/>
    <w:rsid w:val="002232EB"/>
    <w:rsid w:val="002237DE"/>
    <w:rsid w:val="00223984"/>
    <w:rsid w:val="00223A59"/>
    <w:rsid w:val="002247B7"/>
    <w:rsid w:val="002253C4"/>
    <w:rsid w:val="00225425"/>
    <w:rsid w:val="00225BA3"/>
    <w:rsid w:val="00225FF3"/>
    <w:rsid w:val="00226338"/>
    <w:rsid w:val="0022649C"/>
    <w:rsid w:val="00226777"/>
    <w:rsid w:val="00226F18"/>
    <w:rsid w:val="0022726F"/>
    <w:rsid w:val="0022786F"/>
    <w:rsid w:val="00227AE7"/>
    <w:rsid w:val="00227C59"/>
    <w:rsid w:val="00227E18"/>
    <w:rsid w:val="002304C6"/>
    <w:rsid w:val="00230775"/>
    <w:rsid w:val="0023083E"/>
    <w:rsid w:val="00230ABE"/>
    <w:rsid w:val="00230C6F"/>
    <w:rsid w:val="00230EA1"/>
    <w:rsid w:val="002311DD"/>
    <w:rsid w:val="00231951"/>
    <w:rsid w:val="00232651"/>
    <w:rsid w:val="0023299B"/>
    <w:rsid w:val="00232B6C"/>
    <w:rsid w:val="00233679"/>
    <w:rsid w:val="00233AC9"/>
    <w:rsid w:val="0023443A"/>
    <w:rsid w:val="002348E7"/>
    <w:rsid w:val="00234E94"/>
    <w:rsid w:val="00235184"/>
    <w:rsid w:val="00235979"/>
    <w:rsid w:val="00235FD4"/>
    <w:rsid w:val="00236314"/>
    <w:rsid w:val="0023686C"/>
    <w:rsid w:val="00237170"/>
    <w:rsid w:val="00237417"/>
    <w:rsid w:val="00240603"/>
    <w:rsid w:val="00240D62"/>
    <w:rsid w:val="00240EE9"/>
    <w:rsid w:val="002414E1"/>
    <w:rsid w:val="00241BE8"/>
    <w:rsid w:val="0024210E"/>
    <w:rsid w:val="0024250E"/>
    <w:rsid w:val="00242C8A"/>
    <w:rsid w:val="00242F6E"/>
    <w:rsid w:val="002430CE"/>
    <w:rsid w:val="002434F8"/>
    <w:rsid w:val="00243715"/>
    <w:rsid w:val="00244416"/>
    <w:rsid w:val="002444D3"/>
    <w:rsid w:val="0024558C"/>
    <w:rsid w:val="00245734"/>
    <w:rsid w:val="00245C20"/>
    <w:rsid w:val="0024749C"/>
    <w:rsid w:val="002475B0"/>
    <w:rsid w:val="00247889"/>
    <w:rsid w:val="00247B27"/>
    <w:rsid w:val="00247F72"/>
    <w:rsid w:val="0025048A"/>
    <w:rsid w:val="002504D2"/>
    <w:rsid w:val="00250AE6"/>
    <w:rsid w:val="00250CFA"/>
    <w:rsid w:val="00251287"/>
    <w:rsid w:val="00251322"/>
    <w:rsid w:val="00251C47"/>
    <w:rsid w:val="002520FE"/>
    <w:rsid w:val="00252154"/>
    <w:rsid w:val="00252465"/>
    <w:rsid w:val="00252CAF"/>
    <w:rsid w:val="00252F87"/>
    <w:rsid w:val="00253464"/>
    <w:rsid w:val="00254058"/>
    <w:rsid w:val="00254385"/>
    <w:rsid w:val="0025439D"/>
    <w:rsid w:val="002548FF"/>
    <w:rsid w:val="00254E3C"/>
    <w:rsid w:val="00255BE4"/>
    <w:rsid w:val="00255D08"/>
    <w:rsid w:val="002561FC"/>
    <w:rsid w:val="002564CE"/>
    <w:rsid w:val="00256ADA"/>
    <w:rsid w:val="00257C84"/>
    <w:rsid w:val="0026080F"/>
    <w:rsid w:val="0026116F"/>
    <w:rsid w:val="00261657"/>
    <w:rsid w:val="00261BB2"/>
    <w:rsid w:val="00262070"/>
    <w:rsid w:val="002636CC"/>
    <w:rsid w:val="00263743"/>
    <w:rsid w:val="00263C52"/>
    <w:rsid w:val="0026495B"/>
    <w:rsid w:val="00264E15"/>
    <w:rsid w:val="002655B9"/>
    <w:rsid w:val="00265DAA"/>
    <w:rsid w:val="00266130"/>
    <w:rsid w:val="002665D3"/>
    <w:rsid w:val="0026688F"/>
    <w:rsid w:val="00266D24"/>
    <w:rsid w:val="0027033E"/>
    <w:rsid w:val="002703E7"/>
    <w:rsid w:val="0027098F"/>
    <w:rsid w:val="00271097"/>
    <w:rsid w:val="00271594"/>
    <w:rsid w:val="0027192C"/>
    <w:rsid w:val="00271998"/>
    <w:rsid w:val="00271DC8"/>
    <w:rsid w:val="00271FDD"/>
    <w:rsid w:val="002721A9"/>
    <w:rsid w:val="0027221D"/>
    <w:rsid w:val="00272335"/>
    <w:rsid w:val="00272728"/>
    <w:rsid w:val="00272A19"/>
    <w:rsid w:val="00272D64"/>
    <w:rsid w:val="00273C18"/>
    <w:rsid w:val="00273FEF"/>
    <w:rsid w:val="0027421D"/>
    <w:rsid w:val="002748A6"/>
    <w:rsid w:val="00275448"/>
    <w:rsid w:val="00275638"/>
    <w:rsid w:val="00276035"/>
    <w:rsid w:val="002760BF"/>
    <w:rsid w:val="00277A06"/>
    <w:rsid w:val="00277A68"/>
    <w:rsid w:val="00280005"/>
    <w:rsid w:val="002802CD"/>
    <w:rsid w:val="00280348"/>
    <w:rsid w:val="002804FB"/>
    <w:rsid w:val="00280827"/>
    <w:rsid w:val="00281B40"/>
    <w:rsid w:val="00281CFF"/>
    <w:rsid w:val="00282419"/>
    <w:rsid w:val="00282681"/>
    <w:rsid w:val="002829F9"/>
    <w:rsid w:val="00282C15"/>
    <w:rsid w:val="00282ECC"/>
    <w:rsid w:val="00283227"/>
    <w:rsid w:val="002839C1"/>
    <w:rsid w:val="00284459"/>
    <w:rsid w:val="002844F8"/>
    <w:rsid w:val="002872F6"/>
    <w:rsid w:val="00287EC3"/>
    <w:rsid w:val="00287FA3"/>
    <w:rsid w:val="00290DCB"/>
    <w:rsid w:val="00290E2B"/>
    <w:rsid w:val="00290EE6"/>
    <w:rsid w:val="00291F55"/>
    <w:rsid w:val="00292BBC"/>
    <w:rsid w:val="00293416"/>
    <w:rsid w:val="0029353D"/>
    <w:rsid w:val="002944BD"/>
    <w:rsid w:val="0029546F"/>
    <w:rsid w:val="00295876"/>
    <w:rsid w:val="00295959"/>
    <w:rsid w:val="00295B55"/>
    <w:rsid w:val="0029652D"/>
    <w:rsid w:val="00296BA1"/>
    <w:rsid w:val="0029715C"/>
    <w:rsid w:val="002A07D6"/>
    <w:rsid w:val="002A0AA3"/>
    <w:rsid w:val="002A0AB8"/>
    <w:rsid w:val="002A0C86"/>
    <w:rsid w:val="002A1029"/>
    <w:rsid w:val="002A1776"/>
    <w:rsid w:val="002A1CEC"/>
    <w:rsid w:val="002A283A"/>
    <w:rsid w:val="002A3184"/>
    <w:rsid w:val="002A31B4"/>
    <w:rsid w:val="002A36C8"/>
    <w:rsid w:val="002A37E2"/>
    <w:rsid w:val="002A3AAE"/>
    <w:rsid w:val="002A3EF3"/>
    <w:rsid w:val="002A460F"/>
    <w:rsid w:val="002A47E0"/>
    <w:rsid w:val="002A659A"/>
    <w:rsid w:val="002A6D8F"/>
    <w:rsid w:val="002A77AF"/>
    <w:rsid w:val="002A77C9"/>
    <w:rsid w:val="002A7975"/>
    <w:rsid w:val="002A7A62"/>
    <w:rsid w:val="002A7F84"/>
    <w:rsid w:val="002B0FEB"/>
    <w:rsid w:val="002B1415"/>
    <w:rsid w:val="002B1AB8"/>
    <w:rsid w:val="002B1E98"/>
    <w:rsid w:val="002B251C"/>
    <w:rsid w:val="002B2529"/>
    <w:rsid w:val="002B2A1E"/>
    <w:rsid w:val="002B3877"/>
    <w:rsid w:val="002B3BCA"/>
    <w:rsid w:val="002B4530"/>
    <w:rsid w:val="002B4A40"/>
    <w:rsid w:val="002B4E0E"/>
    <w:rsid w:val="002B5683"/>
    <w:rsid w:val="002B5928"/>
    <w:rsid w:val="002B5CCC"/>
    <w:rsid w:val="002B5E14"/>
    <w:rsid w:val="002B6111"/>
    <w:rsid w:val="002B6616"/>
    <w:rsid w:val="002B6C14"/>
    <w:rsid w:val="002B7006"/>
    <w:rsid w:val="002B764F"/>
    <w:rsid w:val="002C004F"/>
    <w:rsid w:val="002C00D2"/>
    <w:rsid w:val="002C18DC"/>
    <w:rsid w:val="002C1B54"/>
    <w:rsid w:val="002C1D01"/>
    <w:rsid w:val="002C1E9C"/>
    <w:rsid w:val="002C208C"/>
    <w:rsid w:val="002C20F6"/>
    <w:rsid w:val="002C2303"/>
    <w:rsid w:val="002C255A"/>
    <w:rsid w:val="002C2660"/>
    <w:rsid w:val="002C3147"/>
    <w:rsid w:val="002C33C8"/>
    <w:rsid w:val="002C3B1F"/>
    <w:rsid w:val="002C3C0A"/>
    <w:rsid w:val="002C3FDD"/>
    <w:rsid w:val="002C49CB"/>
    <w:rsid w:val="002C4B73"/>
    <w:rsid w:val="002C4BB6"/>
    <w:rsid w:val="002C5224"/>
    <w:rsid w:val="002C6194"/>
    <w:rsid w:val="002C6207"/>
    <w:rsid w:val="002C679F"/>
    <w:rsid w:val="002C6C78"/>
    <w:rsid w:val="002C6D1C"/>
    <w:rsid w:val="002C7349"/>
    <w:rsid w:val="002C7C46"/>
    <w:rsid w:val="002C7CAB"/>
    <w:rsid w:val="002C7E47"/>
    <w:rsid w:val="002C7F4E"/>
    <w:rsid w:val="002D08B8"/>
    <w:rsid w:val="002D115C"/>
    <w:rsid w:val="002D11D3"/>
    <w:rsid w:val="002D1A6A"/>
    <w:rsid w:val="002D1DC8"/>
    <w:rsid w:val="002D2278"/>
    <w:rsid w:val="002D23AD"/>
    <w:rsid w:val="002D298B"/>
    <w:rsid w:val="002D2ADB"/>
    <w:rsid w:val="002D31C8"/>
    <w:rsid w:val="002D31E4"/>
    <w:rsid w:val="002D3608"/>
    <w:rsid w:val="002D3BB4"/>
    <w:rsid w:val="002D40FF"/>
    <w:rsid w:val="002D5A10"/>
    <w:rsid w:val="002D5E25"/>
    <w:rsid w:val="002D5E47"/>
    <w:rsid w:val="002D6AD3"/>
    <w:rsid w:val="002E0016"/>
    <w:rsid w:val="002E0A77"/>
    <w:rsid w:val="002E0C6F"/>
    <w:rsid w:val="002E126C"/>
    <w:rsid w:val="002E139E"/>
    <w:rsid w:val="002E1522"/>
    <w:rsid w:val="002E16E7"/>
    <w:rsid w:val="002E1B4A"/>
    <w:rsid w:val="002E2175"/>
    <w:rsid w:val="002E2996"/>
    <w:rsid w:val="002E2B28"/>
    <w:rsid w:val="002E30BA"/>
    <w:rsid w:val="002E33A9"/>
    <w:rsid w:val="002E3D6B"/>
    <w:rsid w:val="002E47B9"/>
    <w:rsid w:val="002E4FB8"/>
    <w:rsid w:val="002E5FD4"/>
    <w:rsid w:val="002E6242"/>
    <w:rsid w:val="002E664D"/>
    <w:rsid w:val="002E7847"/>
    <w:rsid w:val="002E7B88"/>
    <w:rsid w:val="002E7EF3"/>
    <w:rsid w:val="002F00C6"/>
    <w:rsid w:val="002F14A9"/>
    <w:rsid w:val="002F14B3"/>
    <w:rsid w:val="002F1A6E"/>
    <w:rsid w:val="002F1B52"/>
    <w:rsid w:val="002F1E47"/>
    <w:rsid w:val="002F204B"/>
    <w:rsid w:val="002F217E"/>
    <w:rsid w:val="002F23B7"/>
    <w:rsid w:val="002F26B2"/>
    <w:rsid w:val="002F2A5D"/>
    <w:rsid w:val="002F2D6C"/>
    <w:rsid w:val="002F310A"/>
    <w:rsid w:val="002F32B8"/>
    <w:rsid w:val="002F33C9"/>
    <w:rsid w:val="002F42E0"/>
    <w:rsid w:val="002F534A"/>
    <w:rsid w:val="002F588F"/>
    <w:rsid w:val="002F657E"/>
    <w:rsid w:val="002F6F2A"/>
    <w:rsid w:val="002F7294"/>
    <w:rsid w:val="002F7732"/>
    <w:rsid w:val="002F78F2"/>
    <w:rsid w:val="002F7CA8"/>
    <w:rsid w:val="00300B2F"/>
    <w:rsid w:val="0030159B"/>
    <w:rsid w:val="003015C3"/>
    <w:rsid w:val="00301714"/>
    <w:rsid w:val="00302026"/>
    <w:rsid w:val="0030280E"/>
    <w:rsid w:val="0030309F"/>
    <w:rsid w:val="003038C1"/>
    <w:rsid w:val="00303A61"/>
    <w:rsid w:val="00303D7F"/>
    <w:rsid w:val="00303D90"/>
    <w:rsid w:val="0030412F"/>
    <w:rsid w:val="003044FF"/>
    <w:rsid w:val="003045D2"/>
    <w:rsid w:val="0030520B"/>
    <w:rsid w:val="00306402"/>
    <w:rsid w:val="00306CE6"/>
    <w:rsid w:val="00307663"/>
    <w:rsid w:val="003076B8"/>
    <w:rsid w:val="003076EB"/>
    <w:rsid w:val="003108EB"/>
    <w:rsid w:val="00310A9F"/>
    <w:rsid w:val="00311C54"/>
    <w:rsid w:val="00311E3E"/>
    <w:rsid w:val="0031205E"/>
    <w:rsid w:val="003124A7"/>
    <w:rsid w:val="00312F7B"/>
    <w:rsid w:val="00313EE4"/>
    <w:rsid w:val="003145B1"/>
    <w:rsid w:val="003145CF"/>
    <w:rsid w:val="00314A78"/>
    <w:rsid w:val="00315D57"/>
    <w:rsid w:val="00315F56"/>
    <w:rsid w:val="00316166"/>
    <w:rsid w:val="00316A1D"/>
    <w:rsid w:val="00316C88"/>
    <w:rsid w:val="0031765B"/>
    <w:rsid w:val="003200F1"/>
    <w:rsid w:val="0032017E"/>
    <w:rsid w:val="00320567"/>
    <w:rsid w:val="00320871"/>
    <w:rsid w:val="003209C7"/>
    <w:rsid w:val="00321615"/>
    <w:rsid w:val="00321CED"/>
    <w:rsid w:val="003223E6"/>
    <w:rsid w:val="003224D7"/>
    <w:rsid w:val="0032269B"/>
    <w:rsid w:val="0032274B"/>
    <w:rsid w:val="00323050"/>
    <w:rsid w:val="0032380B"/>
    <w:rsid w:val="0032396C"/>
    <w:rsid w:val="00323BE0"/>
    <w:rsid w:val="00323CEF"/>
    <w:rsid w:val="0032419C"/>
    <w:rsid w:val="003242B1"/>
    <w:rsid w:val="00324558"/>
    <w:rsid w:val="00324630"/>
    <w:rsid w:val="00324F39"/>
    <w:rsid w:val="00324FFA"/>
    <w:rsid w:val="0032576E"/>
    <w:rsid w:val="00325A0F"/>
    <w:rsid w:val="00325C65"/>
    <w:rsid w:val="0032605C"/>
    <w:rsid w:val="0032640A"/>
    <w:rsid w:val="003270E9"/>
    <w:rsid w:val="00327245"/>
    <w:rsid w:val="00327E00"/>
    <w:rsid w:val="00327E24"/>
    <w:rsid w:val="00327EFE"/>
    <w:rsid w:val="00330268"/>
    <w:rsid w:val="003302B8"/>
    <w:rsid w:val="00330464"/>
    <w:rsid w:val="003304BC"/>
    <w:rsid w:val="00330A89"/>
    <w:rsid w:val="00331B55"/>
    <w:rsid w:val="00331DBC"/>
    <w:rsid w:val="00331E3D"/>
    <w:rsid w:val="00331E64"/>
    <w:rsid w:val="00331EA8"/>
    <w:rsid w:val="0033237E"/>
    <w:rsid w:val="00332686"/>
    <w:rsid w:val="003326D1"/>
    <w:rsid w:val="003326F0"/>
    <w:rsid w:val="0033294D"/>
    <w:rsid w:val="0033350D"/>
    <w:rsid w:val="00333535"/>
    <w:rsid w:val="00333CB3"/>
    <w:rsid w:val="00334515"/>
    <w:rsid w:val="003345DE"/>
    <w:rsid w:val="003354A1"/>
    <w:rsid w:val="00335AB3"/>
    <w:rsid w:val="0033677F"/>
    <w:rsid w:val="003371AD"/>
    <w:rsid w:val="003372D6"/>
    <w:rsid w:val="0033793C"/>
    <w:rsid w:val="003401DA"/>
    <w:rsid w:val="00340A2F"/>
    <w:rsid w:val="00341CAB"/>
    <w:rsid w:val="003431CF"/>
    <w:rsid w:val="0034368A"/>
    <w:rsid w:val="00343E2C"/>
    <w:rsid w:val="0034430F"/>
    <w:rsid w:val="0034455F"/>
    <w:rsid w:val="00344B9C"/>
    <w:rsid w:val="003462E5"/>
    <w:rsid w:val="003466A8"/>
    <w:rsid w:val="00346AB4"/>
    <w:rsid w:val="00346C18"/>
    <w:rsid w:val="00347689"/>
    <w:rsid w:val="00350984"/>
    <w:rsid w:val="00350E66"/>
    <w:rsid w:val="00350E82"/>
    <w:rsid w:val="00350F83"/>
    <w:rsid w:val="0035143B"/>
    <w:rsid w:val="003514E5"/>
    <w:rsid w:val="003515A3"/>
    <w:rsid w:val="00351A14"/>
    <w:rsid w:val="00351ECD"/>
    <w:rsid w:val="0035249C"/>
    <w:rsid w:val="00353EAA"/>
    <w:rsid w:val="003548BF"/>
    <w:rsid w:val="00354BC7"/>
    <w:rsid w:val="00354CF9"/>
    <w:rsid w:val="003555DB"/>
    <w:rsid w:val="0035569C"/>
    <w:rsid w:val="0035648F"/>
    <w:rsid w:val="00356791"/>
    <w:rsid w:val="003567BC"/>
    <w:rsid w:val="003573A9"/>
    <w:rsid w:val="00357C4E"/>
    <w:rsid w:val="00360534"/>
    <w:rsid w:val="0036065B"/>
    <w:rsid w:val="003606D3"/>
    <w:rsid w:val="00360B18"/>
    <w:rsid w:val="0036164D"/>
    <w:rsid w:val="00362510"/>
    <w:rsid w:val="0036308C"/>
    <w:rsid w:val="003632ED"/>
    <w:rsid w:val="00363FB0"/>
    <w:rsid w:val="003643B3"/>
    <w:rsid w:val="00364AFA"/>
    <w:rsid w:val="0036573A"/>
    <w:rsid w:val="00365895"/>
    <w:rsid w:val="00365BDA"/>
    <w:rsid w:val="00366357"/>
    <w:rsid w:val="0036693B"/>
    <w:rsid w:val="00366BF6"/>
    <w:rsid w:val="0036702F"/>
    <w:rsid w:val="00367EF8"/>
    <w:rsid w:val="0037009A"/>
    <w:rsid w:val="003701C5"/>
    <w:rsid w:val="00370754"/>
    <w:rsid w:val="0037083F"/>
    <w:rsid w:val="00370C23"/>
    <w:rsid w:val="00370C4D"/>
    <w:rsid w:val="003710FD"/>
    <w:rsid w:val="00371B70"/>
    <w:rsid w:val="00371C4D"/>
    <w:rsid w:val="00371D04"/>
    <w:rsid w:val="00371E0A"/>
    <w:rsid w:val="00372240"/>
    <w:rsid w:val="0037266E"/>
    <w:rsid w:val="003728A2"/>
    <w:rsid w:val="00372EAB"/>
    <w:rsid w:val="0037331C"/>
    <w:rsid w:val="0037345C"/>
    <w:rsid w:val="00373460"/>
    <w:rsid w:val="00373669"/>
    <w:rsid w:val="00373BA0"/>
    <w:rsid w:val="003740A8"/>
    <w:rsid w:val="00374257"/>
    <w:rsid w:val="0037425E"/>
    <w:rsid w:val="003746FC"/>
    <w:rsid w:val="003748CE"/>
    <w:rsid w:val="00375441"/>
    <w:rsid w:val="003755A5"/>
    <w:rsid w:val="003756E7"/>
    <w:rsid w:val="0037577A"/>
    <w:rsid w:val="00375F52"/>
    <w:rsid w:val="00376574"/>
    <w:rsid w:val="0037677A"/>
    <w:rsid w:val="00376783"/>
    <w:rsid w:val="00376A2F"/>
    <w:rsid w:val="003770D2"/>
    <w:rsid w:val="00377614"/>
    <w:rsid w:val="003779D9"/>
    <w:rsid w:val="00377BE5"/>
    <w:rsid w:val="00377D5D"/>
    <w:rsid w:val="00380979"/>
    <w:rsid w:val="00380BD9"/>
    <w:rsid w:val="003811D1"/>
    <w:rsid w:val="003815B8"/>
    <w:rsid w:val="003819FD"/>
    <w:rsid w:val="00381B4E"/>
    <w:rsid w:val="0038283E"/>
    <w:rsid w:val="0038284A"/>
    <w:rsid w:val="0038309A"/>
    <w:rsid w:val="003833E4"/>
    <w:rsid w:val="003834D5"/>
    <w:rsid w:val="003844E1"/>
    <w:rsid w:val="00384AFA"/>
    <w:rsid w:val="00384ED1"/>
    <w:rsid w:val="00385003"/>
    <w:rsid w:val="003852B0"/>
    <w:rsid w:val="003853E8"/>
    <w:rsid w:val="003854FD"/>
    <w:rsid w:val="00385654"/>
    <w:rsid w:val="00385771"/>
    <w:rsid w:val="00385AC4"/>
    <w:rsid w:val="00385E19"/>
    <w:rsid w:val="00385F26"/>
    <w:rsid w:val="003871DB"/>
    <w:rsid w:val="00387A45"/>
    <w:rsid w:val="00387F63"/>
    <w:rsid w:val="00390B40"/>
    <w:rsid w:val="00390D2B"/>
    <w:rsid w:val="00391285"/>
    <w:rsid w:val="00391C8D"/>
    <w:rsid w:val="00391EC1"/>
    <w:rsid w:val="003921B4"/>
    <w:rsid w:val="00392598"/>
    <w:rsid w:val="003925A0"/>
    <w:rsid w:val="00392702"/>
    <w:rsid w:val="00393408"/>
    <w:rsid w:val="00393D43"/>
    <w:rsid w:val="00393DA0"/>
    <w:rsid w:val="00394550"/>
    <w:rsid w:val="0039470A"/>
    <w:rsid w:val="0039482D"/>
    <w:rsid w:val="00394F17"/>
    <w:rsid w:val="00395320"/>
    <w:rsid w:val="00395634"/>
    <w:rsid w:val="0039640C"/>
    <w:rsid w:val="003969D2"/>
    <w:rsid w:val="003970D0"/>
    <w:rsid w:val="003975B0"/>
    <w:rsid w:val="00397C13"/>
    <w:rsid w:val="00397C3A"/>
    <w:rsid w:val="003A0502"/>
    <w:rsid w:val="003A055D"/>
    <w:rsid w:val="003A06FA"/>
    <w:rsid w:val="003A0AB3"/>
    <w:rsid w:val="003A110C"/>
    <w:rsid w:val="003A13BB"/>
    <w:rsid w:val="003A1421"/>
    <w:rsid w:val="003A175F"/>
    <w:rsid w:val="003A1800"/>
    <w:rsid w:val="003A180B"/>
    <w:rsid w:val="003A214A"/>
    <w:rsid w:val="003A2241"/>
    <w:rsid w:val="003A226D"/>
    <w:rsid w:val="003A2730"/>
    <w:rsid w:val="003A2A79"/>
    <w:rsid w:val="003A2CDB"/>
    <w:rsid w:val="003A2D95"/>
    <w:rsid w:val="003A2EEC"/>
    <w:rsid w:val="003A3D9E"/>
    <w:rsid w:val="003A3E07"/>
    <w:rsid w:val="003A43F3"/>
    <w:rsid w:val="003A45C9"/>
    <w:rsid w:val="003A503C"/>
    <w:rsid w:val="003A57DB"/>
    <w:rsid w:val="003A6E58"/>
    <w:rsid w:val="003A72B1"/>
    <w:rsid w:val="003A78BE"/>
    <w:rsid w:val="003A7BAC"/>
    <w:rsid w:val="003A7DE2"/>
    <w:rsid w:val="003A7F1C"/>
    <w:rsid w:val="003B0ACC"/>
    <w:rsid w:val="003B0B92"/>
    <w:rsid w:val="003B0F21"/>
    <w:rsid w:val="003B1493"/>
    <w:rsid w:val="003B17DF"/>
    <w:rsid w:val="003B263A"/>
    <w:rsid w:val="003B2CD2"/>
    <w:rsid w:val="003B327A"/>
    <w:rsid w:val="003B4EC1"/>
    <w:rsid w:val="003B5BF5"/>
    <w:rsid w:val="003B5C29"/>
    <w:rsid w:val="003B6A83"/>
    <w:rsid w:val="003B6CC0"/>
    <w:rsid w:val="003B7075"/>
    <w:rsid w:val="003B73FA"/>
    <w:rsid w:val="003B7889"/>
    <w:rsid w:val="003B7BAF"/>
    <w:rsid w:val="003C029D"/>
    <w:rsid w:val="003C0459"/>
    <w:rsid w:val="003C054B"/>
    <w:rsid w:val="003C0C09"/>
    <w:rsid w:val="003C14CB"/>
    <w:rsid w:val="003C14D8"/>
    <w:rsid w:val="003C2814"/>
    <w:rsid w:val="003C2E12"/>
    <w:rsid w:val="003C2FE2"/>
    <w:rsid w:val="003C3B86"/>
    <w:rsid w:val="003C3C02"/>
    <w:rsid w:val="003C3ECB"/>
    <w:rsid w:val="003C3F1C"/>
    <w:rsid w:val="003C452A"/>
    <w:rsid w:val="003C4598"/>
    <w:rsid w:val="003C493D"/>
    <w:rsid w:val="003C4BD4"/>
    <w:rsid w:val="003C50A1"/>
    <w:rsid w:val="003C50DE"/>
    <w:rsid w:val="003C62D0"/>
    <w:rsid w:val="003C6609"/>
    <w:rsid w:val="003C6654"/>
    <w:rsid w:val="003C6712"/>
    <w:rsid w:val="003C6A14"/>
    <w:rsid w:val="003C6A6E"/>
    <w:rsid w:val="003C6F0F"/>
    <w:rsid w:val="003C7028"/>
    <w:rsid w:val="003C71C0"/>
    <w:rsid w:val="003C71C1"/>
    <w:rsid w:val="003C7601"/>
    <w:rsid w:val="003C78F2"/>
    <w:rsid w:val="003D0060"/>
    <w:rsid w:val="003D0AA5"/>
    <w:rsid w:val="003D0F57"/>
    <w:rsid w:val="003D1095"/>
    <w:rsid w:val="003D10AE"/>
    <w:rsid w:val="003D2186"/>
    <w:rsid w:val="003D2859"/>
    <w:rsid w:val="003D2A5B"/>
    <w:rsid w:val="003D2CD2"/>
    <w:rsid w:val="003D3385"/>
    <w:rsid w:val="003D36DB"/>
    <w:rsid w:val="003D3F69"/>
    <w:rsid w:val="003D3FC2"/>
    <w:rsid w:val="003D40D4"/>
    <w:rsid w:val="003D4763"/>
    <w:rsid w:val="003D49B9"/>
    <w:rsid w:val="003D52B2"/>
    <w:rsid w:val="003D5DAA"/>
    <w:rsid w:val="003D6558"/>
    <w:rsid w:val="003D6CDD"/>
    <w:rsid w:val="003D7361"/>
    <w:rsid w:val="003E050B"/>
    <w:rsid w:val="003E086C"/>
    <w:rsid w:val="003E0BAB"/>
    <w:rsid w:val="003E19B1"/>
    <w:rsid w:val="003E1D49"/>
    <w:rsid w:val="003E1D82"/>
    <w:rsid w:val="003E220B"/>
    <w:rsid w:val="003E2316"/>
    <w:rsid w:val="003E2503"/>
    <w:rsid w:val="003E2DD2"/>
    <w:rsid w:val="003E3D5F"/>
    <w:rsid w:val="003E42EB"/>
    <w:rsid w:val="003E520F"/>
    <w:rsid w:val="003E56F2"/>
    <w:rsid w:val="003E5872"/>
    <w:rsid w:val="003E68A3"/>
    <w:rsid w:val="003E6BB4"/>
    <w:rsid w:val="003E6FDF"/>
    <w:rsid w:val="003F028A"/>
    <w:rsid w:val="003F02BB"/>
    <w:rsid w:val="003F1334"/>
    <w:rsid w:val="003F1CCE"/>
    <w:rsid w:val="003F26AB"/>
    <w:rsid w:val="003F27C3"/>
    <w:rsid w:val="003F2986"/>
    <w:rsid w:val="003F2B17"/>
    <w:rsid w:val="003F2F13"/>
    <w:rsid w:val="003F2F90"/>
    <w:rsid w:val="003F3152"/>
    <w:rsid w:val="003F3686"/>
    <w:rsid w:val="003F3AC9"/>
    <w:rsid w:val="003F441E"/>
    <w:rsid w:val="003F5325"/>
    <w:rsid w:val="003F535A"/>
    <w:rsid w:val="003F59B2"/>
    <w:rsid w:val="003F5B93"/>
    <w:rsid w:val="003F60FA"/>
    <w:rsid w:val="003F63EE"/>
    <w:rsid w:val="003F662E"/>
    <w:rsid w:val="003F68FB"/>
    <w:rsid w:val="003F6B84"/>
    <w:rsid w:val="003F73BB"/>
    <w:rsid w:val="003F7648"/>
    <w:rsid w:val="00400151"/>
    <w:rsid w:val="00400481"/>
    <w:rsid w:val="00400589"/>
    <w:rsid w:val="0040081F"/>
    <w:rsid w:val="00400923"/>
    <w:rsid w:val="004012CD"/>
    <w:rsid w:val="0040175A"/>
    <w:rsid w:val="00401E12"/>
    <w:rsid w:val="004024AD"/>
    <w:rsid w:val="00403033"/>
    <w:rsid w:val="004036F3"/>
    <w:rsid w:val="00404499"/>
    <w:rsid w:val="0040476B"/>
    <w:rsid w:val="00404A27"/>
    <w:rsid w:val="00405796"/>
    <w:rsid w:val="00406D4D"/>
    <w:rsid w:val="00406E53"/>
    <w:rsid w:val="004076C2"/>
    <w:rsid w:val="0040770E"/>
    <w:rsid w:val="0040798A"/>
    <w:rsid w:val="00410EA5"/>
    <w:rsid w:val="00410F95"/>
    <w:rsid w:val="00411351"/>
    <w:rsid w:val="0041142B"/>
    <w:rsid w:val="00411592"/>
    <w:rsid w:val="00411682"/>
    <w:rsid w:val="00411997"/>
    <w:rsid w:val="00411AAA"/>
    <w:rsid w:val="00412FE9"/>
    <w:rsid w:val="00413787"/>
    <w:rsid w:val="00413E46"/>
    <w:rsid w:val="00414266"/>
    <w:rsid w:val="00414AFD"/>
    <w:rsid w:val="00414C23"/>
    <w:rsid w:val="00414C6F"/>
    <w:rsid w:val="004159B4"/>
    <w:rsid w:val="00416A12"/>
    <w:rsid w:val="00416A55"/>
    <w:rsid w:val="00417079"/>
    <w:rsid w:val="00417C09"/>
    <w:rsid w:val="00417FB4"/>
    <w:rsid w:val="00420111"/>
    <w:rsid w:val="0042149F"/>
    <w:rsid w:val="004215C4"/>
    <w:rsid w:val="0042322E"/>
    <w:rsid w:val="00423ED8"/>
    <w:rsid w:val="00424000"/>
    <w:rsid w:val="004240AC"/>
    <w:rsid w:val="00424301"/>
    <w:rsid w:val="004250F0"/>
    <w:rsid w:val="0042530B"/>
    <w:rsid w:val="004256CE"/>
    <w:rsid w:val="00425AE1"/>
    <w:rsid w:val="00425EBB"/>
    <w:rsid w:val="0042634C"/>
    <w:rsid w:val="00426550"/>
    <w:rsid w:val="0042667E"/>
    <w:rsid w:val="00426B95"/>
    <w:rsid w:val="00426D50"/>
    <w:rsid w:val="00427076"/>
    <w:rsid w:val="004301C6"/>
    <w:rsid w:val="00430501"/>
    <w:rsid w:val="00430E00"/>
    <w:rsid w:val="004316DD"/>
    <w:rsid w:val="004317A8"/>
    <w:rsid w:val="00431805"/>
    <w:rsid w:val="00431A07"/>
    <w:rsid w:val="0043230E"/>
    <w:rsid w:val="00432531"/>
    <w:rsid w:val="00432F12"/>
    <w:rsid w:val="0043324F"/>
    <w:rsid w:val="00433760"/>
    <w:rsid w:val="004337F1"/>
    <w:rsid w:val="004345EE"/>
    <w:rsid w:val="0043507E"/>
    <w:rsid w:val="004350FD"/>
    <w:rsid w:val="00435583"/>
    <w:rsid w:val="00436530"/>
    <w:rsid w:val="00436742"/>
    <w:rsid w:val="004367ED"/>
    <w:rsid w:val="004372C7"/>
    <w:rsid w:val="00437340"/>
    <w:rsid w:val="004375E8"/>
    <w:rsid w:val="004378B4"/>
    <w:rsid w:val="00440256"/>
    <w:rsid w:val="004402EC"/>
    <w:rsid w:val="00440309"/>
    <w:rsid w:val="004421DB"/>
    <w:rsid w:val="004421FF"/>
    <w:rsid w:val="00442708"/>
    <w:rsid w:val="0044291F"/>
    <w:rsid w:val="00442994"/>
    <w:rsid w:val="0044333E"/>
    <w:rsid w:val="00443627"/>
    <w:rsid w:val="00443628"/>
    <w:rsid w:val="00443AA5"/>
    <w:rsid w:val="00443F1E"/>
    <w:rsid w:val="00443FA8"/>
    <w:rsid w:val="004441C2"/>
    <w:rsid w:val="004446CC"/>
    <w:rsid w:val="00444C29"/>
    <w:rsid w:val="00445D2E"/>
    <w:rsid w:val="00446B56"/>
    <w:rsid w:val="00446BAD"/>
    <w:rsid w:val="00446F42"/>
    <w:rsid w:val="004479B3"/>
    <w:rsid w:val="004479DF"/>
    <w:rsid w:val="00447DEE"/>
    <w:rsid w:val="00450A05"/>
    <w:rsid w:val="004515D2"/>
    <w:rsid w:val="00451BEA"/>
    <w:rsid w:val="00452511"/>
    <w:rsid w:val="004543FB"/>
    <w:rsid w:val="00454688"/>
    <w:rsid w:val="00454A68"/>
    <w:rsid w:val="00455463"/>
    <w:rsid w:val="0045564C"/>
    <w:rsid w:val="00455975"/>
    <w:rsid w:val="00455BF0"/>
    <w:rsid w:val="00455E88"/>
    <w:rsid w:val="00455EFE"/>
    <w:rsid w:val="0045670E"/>
    <w:rsid w:val="00456918"/>
    <w:rsid w:val="00456D28"/>
    <w:rsid w:val="004573B1"/>
    <w:rsid w:val="0045788C"/>
    <w:rsid w:val="00457A44"/>
    <w:rsid w:val="004603FA"/>
    <w:rsid w:val="0046108A"/>
    <w:rsid w:val="004610AC"/>
    <w:rsid w:val="00461A8C"/>
    <w:rsid w:val="004621A5"/>
    <w:rsid w:val="004628A0"/>
    <w:rsid w:val="004641EB"/>
    <w:rsid w:val="004642E6"/>
    <w:rsid w:val="0046430B"/>
    <w:rsid w:val="004644AC"/>
    <w:rsid w:val="00464A99"/>
    <w:rsid w:val="0046526E"/>
    <w:rsid w:val="0046585D"/>
    <w:rsid w:val="00465963"/>
    <w:rsid w:val="00465D11"/>
    <w:rsid w:val="00465D3C"/>
    <w:rsid w:val="00465D6E"/>
    <w:rsid w:val="00465D7E"/>
    <w:rsid w:val="00465F0B"/>
    <w:rsid w:val="004666D7"/>
    <w:rsid w:val="00466C0F"/>
    <w:rsid w:val="00466D0F"/>
    <w:rsid w:val="00466E9B"/>
    <w:rsid w:val="00467C48"/>
    <w:rsid w:val="00467D6A"/>
    <w:rsid w:val="00467E4C"/>
    <w:rsid w:val="00470123"/>
    <w:rsid w:val="00470311"/>
    <w:rsid w:val="00470906"/>
    <w:rsid w:val="00470A93"/>
    <w:rsid w:val="00471393"/>
    <w:rsid w:val="0047207A"/>
    <w:rsid w:val="00472C60"/>
    <w:rsid w:val="004736FF"/>
    <w:rsid w:val="00473760"/>
    <w:rsid w:val="00473D11"/>
    <w:rsid w:val="0047413B"/>
    <w:rsid w:val="00474EFF"/>
    <w:rsid w:val="0047503E"/>
    <w:rsid w:val="004753A5"/>
    <w:rsid w:val="004754FC"/>
    <w:rsid w:val="004759F4"/>
    <w:rsid w:val="00475B41"/>
    <w:rsid w:val="00476429"/>
    <w:rsid w:val="00476E14"/>
    <w:rsid w:val="00477BB2"/>
    <w:rsid w:val="0048025B"/>
    <w:rsid w:val="00480634"/>
    <w:rsid w:val="00480B98"/>
    <w:rsid w:val="004810FB"/>
    <w:rsid w:val="00481C6B"/>
    <w:rsid w:val="00481D71"/>
    <w:rsid w:val="00481E32"/>
    <w:rsid w:val="00481FA8"/>
    <w:rsid w:val="00482FB6"/>
    <w:rsid w:val="00484B65"/>
    <w:rsid w:val="004853DE"/>
    <w:rsid w:val="004854FB"/>
    <w:rsid w:val="004855B1"/>
    <w:rsid w:val="00486517"/>
    <w:rsid w:val="0048652C"/>
    <w:rsid w:val="0048700E"/>
    <w:rsid w:val="00487624"/>
    <w:rsid w:val="00487818"/>
    <w:rsid w:val="00487B9C"/>
    <w:rsid w:val="00487DC4"/>
    <w:rsid w:val="00487FD3"/>
    <w:rsid w:val="00487FDD"/>
    <w:rsid w:val="00491C3D"/>
    <w:rsid w:val="00492456"/>
    <w:rsid w:val="0049255C"/>
    <w:rsid w:val="0049292D"/>
    <w:rsid w:val="0049298C"/>
    <w:rsid w:val="00492DF9"/>
    <w:rsid w:val="0049325E"/>
    <w:rsid w:val="00494195"/>
    <w:rsid w:val="004945E0"/>
    <w:rsid w:val="004950DB"/>
    <w:rsid w:val="00495425"/>
    <w:rsid w:val="00495547"/>
    <w:rsid w:val="00495B09"/>
    <w:rsid w:val="00496B2A"/>
    <w:rsid w:val="004A0202"/>
    <w:rsid w:val="004A07E9"/>
    <w:rsid w:val="004A082A"/>
    <w:rsid w:val="004A08CB"/>
    <w:rsid w:val="004A0F50"/>
    <w:rsid w:val="004A0F72"/>
    <w:rsid w:val="004A1D66"/>
    <w:rsid w:val="004A31D1"/>
    <w:rsid w:val="004A3995"/>
    <w:rsid w:val="004A3CCA"/>
    <w:rsid w:val="004A3DE8"/>
    <w:rsid w:val="004A5CFD"/>
    <w:rsid w:val="004A63E6"/>
    <w:rsid w:val="004A6820"/>
    <w:rsid w:val="004A6BCC"/>
    <w:rsid w:val="004A7A11"/>
    <w:rsid w:val="004A7DE8"/>
    <w:rsid w:val="004A7EB3"/>
    <w:rsid w:val="004A7FE1"/>
    <w:rsid w:val="004B00D0"/>
    <w:rsid w:val="004B066F"/>
    <w:rsid w:val="004B0BC1"/>
    <w:rsid w:val="004B1149"/>
    <w:rsid w:val="004B256F"/>
    <w:rsid w:val="004B27A6"/>
    <w:rsid w:val="004B3EF0"/>
    <w:rsid w:val="004B44F0"/>
    <w:rsid w:val="004B4C80"/>
    <w:rsid w:val="004B5033"/>
    <w:rsid w:val="004B589C"/>
    <w:rsid w:val="004B6442"/>
    <w:rsid w:val="004B645C"/>
    <w:rsid w:val="004B6FAF"/>
    <w:rsid w:val="004C00B4"/>
    <w:rsid w:val="004C1ACC"/>
    <w:rsid w:val="004C206D"/>
    <w:rsid w:val="004C2610"/>
    <w:rsid w:val="004C28C9"/>
    <w:rsid w:val="004C3104"/>
    <w:rsid w:val="004C39F6"/>
    <w:rsid w:val="004C3D22"/>
    <w:rsid w:val="004C3DEA"/>
    <w:rsid w:val="004C43D3"/>
    <w:rsid w:val="004C59D1"/>
    <w:rsid w:val="004C5B23"/>
    <w:rsid w:val="004C62FC"/>
    <w:rsid w:val="004C6A5F"/>
    <w:rsid w:val="004C6C7B"/>
    <w:rsid w:val="004C76A0"/>
    <w:rsid w:val="004C7810"/>
    <w:rsid w:val="004C7B21"/>
    <w:rsid w:val="004D01F2"/>
    <w:rsid w:val="004D123B"/>
    <w:rsid w:val="004D1807"/>
    <w:rsid w:val="004D1924"/>
    <w:rsid w:val="004D2236"/>
    <w:rsid w:val="004D3891"/>
    <w:rsid w:val="004D3F10"/>
    <w:rsid w:val="004D5367"/>
    <w:rsid w:val="004D5AD0"/>
    <w:rsid w:val="004D610D"/>
    <w:rsid w:val="004D63BF"/>
    <w:rsid w:val="004D6448"/>
    <w:rsid w:val="004D64DB"/>
    <w:rsid w:val="004D69B6"/>
    <w:rsid w:val="004D6FFC"/>
    <w:rsid w:val="004D705B"/>
    <w:rsid w:val="004D7878"/>
    <w:rsid w:val="004D7A29"/>
    <w:rsid w:val="004D7DB2"/>
    <w:rsid w:val="004E0CF7"/>
    <w:rsid w:val="004E1011"/>
    <w:rsid w:val="004E1762"/>
    <w:rsid w:val="004E2150"/>
    <w:rsid w:val="004E288D"/>
    <w:rsid w:val="004E292C"/>
    <w:rsid w:val="004E2C88"/>
    <w:rsid w:val="004E2EC7"/>
    <w:rsid w:val="004E3626"/>
    <w:rsid w:val="004E3769"/>
    <w:rsid w:val="004E3826"/>
    <w:rsid w:val="004E3C5A"/>
    <w:rsid w:val="004E3F1A"/>
    <w:rsid w:val="004E4A85"/>
    <w:rsid w:val="004E4AEF"/>
    <w:rsid w:val="004E4BE0"/>
    <w:rsid w:val="004E54B1"/>
    <w:rsid w:val="004E5569"/>
    <w:rsid w:val="004E56C3"/>
    <w:rsid w:val="004E5C5F"/>
    <w:rsid w:val="004E5F60"/>
    <w:rsid w:val="004E672B"/>
    <w:rsid w:val="004E73D2"/>
    <w:rsid w:val="004E74C6"/>
    <w:rsid w:val="004E7D6E"/>
    <w:rsid w:val="004E7E2F"/>
    <w:rsid w:val="004F0212"/>
    <w:rsid w:val="004F059A"/>
    <w:rsid w:val="004F0B91"/>
    <w:rsid w:val="004F0E0A"/>
    <w:rsid w:val="004F11DB"/>
    <w:rsid w:val="004F1A40"/>
    <w:rsid w:val="004F1B68"/>
    <w:rsid w:val="004F21E9"/>
    <w:rsid w:val="004F3004"/>
    <w:rsid w:val="004F3014"/>
    <w:rsid w:val="004F36E5"/>
    <w:rsid w:val="004F3981"/>
    <w:rsid w:val="004F4382"/>
    <w:rsid w:val="004F4A85"/>
    <w:rsid w:val="004F58E8"/>
    <w:rsid w:val="004F59FA"/>
    <w:rsid w:val="004F5A93"/>
    <w:rsid w:val="004F5E5E"/>
    <w:rsid w:val="004F6317"/>
    <w:rsid w:val="004F649B"/>
    <w:rsid w:val="004F6F69"/>
    <w:rsid w:val="004F78E0"/>
    <w:rsid w:val="005001E3"/>
    <w:rsid w:val="00500D95"/>
    <w:rsid w:val="00500DF3"/>
    <w:rsid w:val="00501A9F"/>
    <w:rsid w:val="0050232E"/>
    <w:rsid w:val="00502985"/>
    <w:rsid w:val="00502F39"/>
    <w:rsid w:val="00503C30"/>
    <w:rsid w:val="0050518E"/>
    <w:rsid w:val="00505EF4"/>
    <w:rsid w:val="0050639F"/>
    <w:rsid w:val="00506702"/>
    <w:rsid w:val="00506904"/>
    <w:rsid w:val="00506F43"/>
    <w:rsid w:val="00506FA9"/>
    <w:rsid w:val="005074EF"/>
    <w:rsid w:val="005077C7"/>
    <w:rsid w:val="005100DE"/>
    <w:rsid w:val="005101D0"/>
    <w:rsid w:val="0051086A"/>
    <w:rsid w:val="00510CBE"/>
    <w:rsid w:val="00510FDE"/>
    <w:rsid w:val="005114D0"/>
    <w:rsid w:val="0051198F"/>
    <w:rsid w:val="00511C55"/>
    <w:rsid w:val="00512E25"/>
    <w:rsid w:val="0051309C"/>
    <w:rsid w:val="005131D4"/>
    <w:rsid w:val="005133BC"/>
    <w:rsid w:val="0051393B"/>
    <w:rsid w:val="00514C9A"/>
    <w:rsid w:val="00514F0B"/>
    <w:rsid w:val="005151B3"/>
    <w:rsid w:val="005156B5"/>
    <w:rsid w:val="005175AC"/>
    <w:rsid w:val="005178A5"/>
    <w:rsid w:val="00517EB6"/>
    <w:rsid w:val="00517EC5"/>
    <w:rsid w:val="0052076D"/>
    <w:rsid w:val="00520A11"/>
    <w:rsid w:val="00520CF5"/>
    <w:rsid w:val="00520E89"/>
    <w:rsid w:val="0052140D"/>
    <w:rsid w:val="00521B9D"/>
    <w:rsid w:val="00521DDB"/>
    <w:rsid w:val="005220DA"/>
    <w:rsid w:val="00522184"/>
    <w:rsid w:val="0052238E"/>
    <w:rsid w:val="005224D4"/>
    <w:rsid w:val="00522713"/>
    <w:rsid w:val="00522A3C"/>
    <w:rsid w:val="00522C18"/>
    <w:rsid w:val="00523209"/>
    <w:rsid w:val="00523D2F"/>
    <w:rsid w:val="00524763"/>
    <w:rsid w:val="00524863"/>
    <w:rsid w:val="00524DDE"/>
    <w:rsid w:val="00524E59"/>
    <w:rsid w:val="0052533F"/>
    <w:rsid w:val="00525649"/>
    <w:rsid w:val="005257A6"/>
    <w:rsid w:val="005267BC"/>
    <w:rsid w:val="005273EB"/>
    <w:rsid w:val="005277B3"/>
    <w:rsid w:val="00527AAA"/>
    <w:rsid w:val="00527DB4"/>
    <w:rsid w:val="0053023F"/>
    <w:rsid w:val="005309C4"/>
    <w:rsid w:val="00531BA4"/>
    <w:rsid w:val="005326B6"/>
    <w:rsid w:val="00532D87"/>
    <w:rsid w:val="00533190"/>
    <w:rsid w:val="00535CB5"/>
    <w:rsid w:val="00535E9F"/>
    <w:rsid w:val="00536031"/>
    <w:rsid w:val="00536352"/>
    <w:rsid w:val="005364F8"/>
    <w:rsid w:val="0053684E"/>
    <w:rsid w:val="005368A8"/>
    <w:rsid w:val="00536BD5"/>
    <w:rsid w:val="00536F64"/>
    <w:rsid w:val="00537020"/>
    <w:rsid w:val="005372DB"/>
    <w:rsid w:val="00537726"/>
    <w:rsid w:val="00540347"/>
    <w:rsid w:val="005406D6"/>
    <w:rsid w:val="005408B2"/>
    <w:rsid w:val="00541360"/>
    <w:rsid w:val="00541A08"/>
    <w:rsid w:val="00541AEA"/>
    <w:rsid w:val="00542F65"/>
    <w:rsid w:val="00543747"/>
    <w:rsid w:val="0054581A"/>
    <w:rsid w:val="00546293"/>
    <w:rsid w:val="005474CA"/>
    <w:rsid w:val="00550155"/>
    <w:rsid w:val="00550376"/>
    <w:rsid w:val="0055041A"/>
    <w:rsid w:val="005508E3"/>
    <w:rsid w:val="00550940"/>
    <w:rsid w:val="00550D84"/>
    <w:rsid w:val="00550E8B"/>
    <w:rsid w:val="005519B9"/>
    <w:rsid w:val="00551ACC"/>
    <w:rsid w:val="00552F07"/>
    <w:rsid w:val="005533FC"/>
    <w:rsid w:val="0055374B"/>
    <w:rsid w:val="00553D64"/>
    <w:rsid w:val="00554271"/>
    <w:rsid w:val="00554A80"/>
    <w:rsid w:val="00554B3C"/>
    <w:rsid w:val="00554CF8"/>
    <w:rsid w:val="005560DC"/>
    <w:rsid w:val="0055701B"/>
    <w:rsid w:val="00557553"/>
    <w:rsid w:val="00557ACA"/>
    <w:rsid w:val="00557BD0"/>
    <w:rsid w:val="00557D5A"/>
    <w:rsid w:val="00560982"/>
    <w:rsid w:val="00560DA0"/>
    <w:rsid w:val="00560E31"/>
    <w:rsid w:val="005610A3"/>
    <w:rsid w:val="00561733"/>
    <w:rsid w:val="0056257D"/>
    <w:rsid w:val="00562B48"/>
    <w:rsid w:val="00562B52"/>
    <w:rsid w:val="00563452"/>
    <w:rsid w:val="005639F6"/>
    <w:rsid w:val="00563D0A"/>
    <w:rsid w:val="00564241"/>
    <w:rsid w:val="005643BA"/>
    <w:rsid w:val="0056499C"/>
    <w:rsid w:val="00564A1F"/>
    <w:rsid w:val="00564ACA"/>
    <w:rsid w:val="00565309"/>
    <w:rsid w:val="00565896"/>
    <w:rsid w:val="00565A45"/>
    <w:rsid w:val="005666E4"/>
    <w:rsid w:val="0056680B"/>
    <w:rsid w:val="00567133"/>
    <w:rsid w:val="00567448"/>
    <w:rsid w:val="005677C1"/>
    <w:rsid w:val="00567ACA"/>
    <w:rsid w:val="00567ACD"/>
    <w:rsid w:val="0057018E"/>
    <w:rsid w:val="0057040B"/>
    <w:rsid w:val="005706AB"/>
    <w:rsid w:val="00570DD7"/>
    <w:rsid w:val="00570FDC"/>
    <w:rsid w:val="00571062"/>
    <w:rsid w:val="005710A9"/>
    <w:rsid w:val="005711AB"/>
    <w:rsid w:val="005713C8"/>
    <w:rsid w:val="00571556"/>
    <w:rsid w:val="00571587"/>
    <w:rsid w:val="00571955"/>
    <w:rsid w:val="00571E1A"/>
    <w:rsid w:val="0057299A"/>
    <w:rsid w:val="00572CBC"/>
    <w:rsid w:val="00572D37"/>
    <w:rsid w:val="0057334A"/>
    <w:rsid w:val="005733EF"/>
    <w:rsid w:val="00573D99"/>
    <w:rsid w:val="00573FAD"/>
    <w:rsid w:val="00573FC2"/>
    <w:rsid w:val="0057405C"/>
    <w:rsid w:val="00574248"/>
    <w:rsid w:val="00574460"/>
    <w:rsid w:val="005748F1"/>
    <w:rsid w:val="00574CE2"/>
    <w:rsid w:val="00574CF8"/>
    <w:rsid w:val="00574E11"/>
    <w:rsid w:val="0057500D"/>
    <w:rsid w:val="00576BC8"/>
    <w:rsid w:val="005771E1"/>
    <w:rsid w:val="0057745C"/>
    <w:rsid w:val="00577473"/>
    <w:rsid w:val="005778BC"/>
    <w:rsid w:val="00580237"/>
    <w:rsid w:val="00580980"/>
    <w:rsid w:val="00580E87"/>
    <w:rsid w:val="005817D3"/>
    <w:rsid w:val="005817F2"/>
    <w:rsid w:val="005818B4"/>
    <w:rsid w:val="00581C03"/>
    <w:rsid w:val="00582169"/>
    <w:rsid w:val="005824DB"/>
    <w:rsid w:val="00582A41"/>
    <w:rsid w:val="00582E93"/>
    <w:rsid w:val="00583411"/>
    <w:rsid w:val="00583620"/>
    <w:rsid w:val="0058392D"/>
    <w:rsid w:val="005840DE"/>
    <w:rsid w:val="0058424A"/>
    <w:rsid w:val="005845F4"/>
    <w:rsid w:val="00584687"/>
    <w:rsid w:val="00584958"/>
    <w:rsid w:val="00585327"/>
    <w:rsid w:val="00585B72"/>
    <w:rsid w:val="005867BE"/>
    <w:rsid w:val="00586F91"/>
    <w:rsid w:val="00586FD2"/>
    <w:rsid w:val="00587AF6"/>
    <w:rsid w:val="00587CF7"/>
    <w:rsid w:val="005903AF"/>
    <w:rsid w:val="005906E3"/>
    <w:rsid w:val="005907C1"/>
    <w:rsid w:val="005908A1"/>
    <w:rsid w:val="00591367"/>
    <w:rsid w:val="00591983"/>
    <w:rsid w:val="00591A43"/>
    <w:rsid w:val="00591C9E"/>
    <w:rsid w:val="00591E4F"/>
    <w:rsid w:val="00592529"/>
    <w:rsid w:val="00592888"/>
    <w:rsid w:val="00592F7C"/>
    <w:rsid w:val="0059310E"/>
    <w:rsid w:val="005932CD"/>
    <w:rsid w:val="00593598"/>
    <w:rsid w:val="005936F3"/>
    <w:rsid w:val="0059464A"/>
    <w:rsid w:val="005946DE"/>
    <w:rsid w:val="00594972"/>
    <w:rsid w:val="0059560B"/>
    <w:rsid w:val="005958DD"/>
    <w:rsid w:val="0059668D"/>
    <w:rsid w:val="00596B5C"/>
    <w:rsid w:val="00596B6E"/>
    <w:rsid w:val="00596BDB"/>
    <w:rsid w:val="00597450"/>
    <w:rsid w:val="005974FB"/>
    <w:rsid w:val="005A058D"/>
    <w:rsid w:val="005A05C2"/>
    <w:rsid w:val="005A0799"/>
    <w:rsid w:val="005A0F19"/>
    <w:rsid w:val="005A11F1"/>
    <w:rsid w:val="005A127C"/>
    <w:rsid w:val="005A13D5"/>
    <w:rsid w:val="005A16ED"/>
    <w:rsid w:val="005A1994"/>
    <w:rsid w:val="005A1B9B"/>
    <w:rsid w:val="005A1D89"/>
    <w:rsid w:val="005A2864"/>
    <w:rsid w:val="005A2AC5"/>
    <w:rsid w:val="005A38A3"/>
    <w:rsid w:val="005A3BC1"/>
    <w:rsid w:val="005A3D51"/>
    <w:rsid w:val="005A4111"/>
    <w:rsid w:val="005A42A2"/>
    <w:rsid w:val="005A434C"/>
    <w:rsid w:val="005A457A"/>
    <w:rsid w:val="005A4FE7"/>
    <w:rsid w:val="005A578E"/>
    <w:rsid w:val="005A6297"/>
    <w:rsid w:val="005A63C5"/>
    <w:rsid w:val="005A79A3"/>
    <w:rsid w:val="005B00D9"/>
    <w:rsid w:val="005B0822"/>
    <w:rsid w:val="005B0E0B"/>
    <w:rsid w:val="005B1163"/>
    <w:rsid w:val="005B1EEB"/>
    <w:rsid w:val="005B1F8D"/>
    <w:rsid w:val="005B20D6"/>
    <w:rsid w:val="005B2105"/>
    <w:rsid w:val="005B225A"/>
    <w:rsid w:val="005B26CF"/>
    <w:rsid w:val="005B29F7"/>
    <w:rsid w:val="005B3606"/>
    <w:rsid w:val="005B38EE"/>
    <w:rsid w:val="005B3CCE"/>
    <w:rsid w:val="005B3F27"/>
    <w:rsid w:val="005B480A"/>
    <w:rsid w:val="005B48C2"/>
    <w:rsid w:val="005B5D61"/>
    <w:rsid w:val="005B5E17"/>
    <w:rsid w:val="005B5F95"/>
    <w:rsid w:val="005B60E2"/>
    <w:rsid w:val="005B62C2"/>
    <w:rsid w:val="005B6642"/>
    <w:rsid w:val="005B69D6"/>
    <w:rsid w:val="005B72D6"/>
    <w:rsid w:val="005B72DB"/>
    <w:rsid w:val="005B738E"/>
    <w:rsid w:val="005B745D"/>
    <w:rsid w:val="005B7647"/>
    <w:rsid w:val="005B7B62"/>
    <w:rsid w:val="005B7F24"/>
    <w:rsid w:val="005B7FEC"/>
    <w:rsid w:val="005C08B4"/>
    <w:rsid w:val="005C0ABC"/>
    <w:rsid w:val="005C0C83"/>
    <w:rsid w:val="005C0F7C"/>
    <w:rsid w:val="005C1405"/>
    <w:rsid w:val="005C1577"/>
    <w:rsid w:val="005C1996"/>
    <w:rsid w:val="005C1C8B"/>
    <w:rsid w:val="005C21F5"/>
    <w:rsid w:val="005C2599"/>
    <w:rsid w:val="005C295F"/>
    <w:rsid w:val="005C2DCD"/>
    <w:rsid w:val="005C4183"/>
    <w:rsid w:val="005C46D9"/>
    <w:rsid w:val="005C4948"/>
    <w:rsid w:val="005C535F"/>
    <w:rsid w:val="005C651F"/>
    <w:rsid w:val="005C710C"/>
    <w:rsid w:val="005C74F9"/>
    <w:rsid w:val="005C7876"/>
    <w:rsid w:val="005C7A43"/>
    <w:rsid w:val="005D042A"/>
    <w:rsid w:val="005D0464"/>
    <w:rsid w:val="005D0559"/>
    <w:rsid w:val="005D0881"/>
    <w:rsid w:val="005D100F"/>
    <w:rsid w:val="005D1EFE"/>
    <w:rsid w:val="005D2782"/>
    <w:rsid w:val="005D2A9C"/>
    <w:rsid w:val="005D3B19"/>
    <w:rsid w:val="005D4A38"/>
    <w:rsid w:val="005D4CAC"/>
    <w:rsid w:val="005D500E"/>
    <w:rsid w:val="005D51D2"/>
    <w:rsid w:val="005D560D"/>
    <w:rsid w:val="005D6902"/>
    <w:rsid w:val="005D6F91"/>
    <w:rsid w:val="005D6FCA"/>
    <w:rsid w:val="005D7086"/>
    <w:rsid w:val="005D746E"/>
    <w:rsid w:val="005D78A9"/>
    <w:rsid w:val="005D7FA2"/>
    <w:rsid w:val="005E03F5"/>
    <w:rsid w:val="005E0D82"/>
    <w:rsid w:val="005E0DA4"/>
    <w:rsid w:val="005E1121"/>
    <w:rsid w:val="005E1211"/>
    <w:rsid w:val="005E1271"/>
    <w:rsid w:val="005E1968"/>
    <w:rsid w:val="005E19A0"/>
    <w:rsid w:val="005E2146"/>
    <w:rsid w:val="005E2B4E"/>
    <w:rsid w:val="005E3240"/>
    <w:rsid w:val="005E392A"/>
    <w:rsid w:val="005E3A39"/>
    <w:rsid w:val="005E428D"/>
    <w:rsid w:val="005E47B5"/>
    <w:rsid w:val="005E4C8E"/>
    <w:rsid w:val="005E5129"/>
    <w:rsid w:val="005E65BD"/>
    <w:rsid w:val="005E69BD"/>
    <w:rsid w:val="005E741E"/>
    <w:rsid w:val="005E7BA2"/>
    <w:rsid w:val="005E7DF9"/>
    <w:rsid w:val="005E7F1C"/>
    <w:rsid w:val="005E7FF0"/>
    <w:rsid w:val="005F00A7"/>
    <w:rsid w:val="005F0175"/>
    <w:rsid w:val="005F0730"/>
    <w:rsid w:val="005F09AB"/>
    <w:rsid w:val="005F0EA0"/>
    <w:rsid w:val="005F0F64"/>
    <w:rsid w:val="005F1435"/>
    <w:rsid w:val="005F19E9"/>
    <w:rsid w:val="005F1C9F"/>
    <w:rsid w:val="005F2944"/>
    <w:rsid w:val="005F2A3E"/>
    <w:rsid w:val="005F2AD2"/>
    <w:rsid w:val="005F2F6A"/>
    <w:rsid w:val="005F3254"/>
    <w:rsid w:val="005F4241"/>
    <w:rsid w:val="005F4841"/>
    <w:rsid w:val="005F4A7E"/>
    <w:rsid w:val="005F4B4E"/>
    <w:rsid w:val="005F4BFC"/>
    <w:rsid w:val="005F4C1B"/>
    <w:rsid w:val="005F4E46"/>
    <w:rsid w:val="005F5124"/>
    <w:rsid w:val="005F547B"/>
    <w:rsid w:val="005F55B0"/>
    <w:rsid w:val="005F5EF1"/>
    <w:rsid w:val="005F62B1"/>
    <w:rsid w:val="005F6814"/>
    <w:rsid w:val="005F73C5"/>
    <w:rsid w:val="005F75B7"/>
    <w:rsid w:val="005F787A"/>
    <w:rsid w:val="005F7F06"/>
    <w:rsid w:val="005F7FAD"/>
    <w:rsid w:val="00600803"/>
    <w:rsid w:val="00600FC7"/>
    <w:rsid w:val="00601742"/>
    <w:rsid w:val="00601959"/>
    <w:rsid w:val="00601EA4"/>
    <w:rsid w:val="00601EB6"/>
    <w:rsid w:val="00602446"/>
    <w:rsid w:val="0060260F"/>
    <w:rsid w:val="006035F9"/>
    <w:rsid w:val="0060384B"/>
    <w:rsid w:val="00603B77"/>
    <w:rsid w:val="006043CA"/>
    <w:rsid w:val="006047CE"/>
    <w:rsid w:val="00604ACF"/>
    <w:rsid w:val="00604DB0"/>
    <w:rsid w:val="00604FC0"/>
    <w:rsid w:val="00605115"/>
    <w:rsid w:val="0060512B"/>
    <w:rsid w:val="0060535E"/>
    <w:rsid w:val="0060538D"/>
    <w:rsid w:val="00605542"/>
    <w:rsid w:val="00605A1E"/>
    <w:rsid w:val="0060606C"/>
    <w:rsid w:val="0060625F"/>
    <w:rsid w:val="00606550"/>
    <w:rsid w:val="006075AF"/>
    <w:rsid w:val="00607A9B"/>
    <w:rsid w:val="006107F2"/>
    <w:rsid w:val="00610863"/>
    <w:rsid w:val="00611317"/>
    <w:rsid w:val="0061181C"/>
    <w:rsid w:val="0061193F"/>
    <w:rsid w:val="00611B41"/>
    <w:rsid w:val="00612F2C"/>
    <w:rsid w:val="0061301B"/>
    <w:rsid w:val="00613C6E"/>
    <w:rsid w:val="00613F83"/>
    <w:rsid w:val="00615A20"/>
    <w:rsid w:val="0061626E"/>
    <w:rsid w:val="006167A5"/>
    <w:rsid w:val="006169E8"/>
    <w:rsid w:val="00616E06"/>
    <w:rsid w:val="00616F53"/>
    <w:rsid w:val="006170AF"/>
    <w:rsid w:val="006173C0"/>
    <w:rsid w:val="006208BA"/>
    <w:rsid w:val="00620C5B"/>
    <w:rsid w:val="00621497"/>
    <w:rsid w:val="006216F8"/>
    <w:rsid w:val="0062197C"/>
    <w:rsid w:val="00621A52"/>
    <w:rsid w:val="00621A91"/>
    <w:rsid w:val="00621CBA"/>
    <w:rsid w:val="00622119"/>
    <w:rsid w:val="00622D6E"/>
    <w:rsid w:val="00623111"/>
    <w:rsid w:val="006239D3"/>
    <w:rsid w:val="00624D73"/>
    <w:rsid w:val="00625353"/>
    <w:rsid w:val="0062551D"/>
    <w:rsid w:val="006259A2"/>
    <w:rsid w:val="00625E51"/>
    <w:rsid w:val="0062608F"/>
    <w:rsid w:val="00627426"/>
    <w:rsid w:val="006279A8"/>
    <w:rsid w:val="00627D04"/>
    <w:rsid w:val="00627E0C"/>
    <w:rsid w:val="00627E65"/>
    <w:rsid w:val="006303AE"/>
    <w:rsid w:val="00630532"/>
    <w:rsid w:val="00630540"/>
    <w:rsid w:val="00631024"/>
    <w:rsid w:val="00631229"/>
    <w:rsid w:val="00631D02"/>
    <w:rsid w:val="00631E77"/>
    <w:rsid w:val="006326B7"/>
    <w:rsid w:val="0063314E"/>
    <w:rsid w:val="006334F1"/>
    <w:rsid w:val="006349FD"/>
    <w:rsid w:val="006351A3"/>
    <w:rsid w:val="006357E1"/>
    <w:rsid w:val="00635839"/>
    <w:rsid w:val="006361B5"/>
    <w:rsid w:val="006365A1"/>
    <w:rsid w:val="006366AA"/>
    <w:rsid w:val="00636C48"/>
    <w:rsid w:val="00637069"/>
    <w:rsid w:val="0064044D"/>
    <w:rsid w:val="00640F20"/>
    <w:rsid w:val="00641470"/>
    <w:rsid w:val="00641F17"/>
    <w:rsid w:val="00641FD7"/>
    <w:rsid w:val="0064220B"/>
    <w:rsid w:val="006423B4"/>
    <w:rsid w:val="00642A3E"/>
    <w:rsid w:val="00642AEB"/>
    <w:rsid w:val="00642B95"/>
    <w:rsid w:val="006437B5"/>
    <w:rsid w:val="00643FF4"/>
    <w:rsid w:val="00644129"/>
    <w:rsid w:val="0064439C"/>
    <w:rsid w:val="00644828"/>
    <w:rsid w:val="00645106"/>
    <w:rsid w:val="006452C5"/>
    <w:rsid w:val="0064547C"/>
    <w:rsid w:val="006454C7"/>
    <w:rsid w:val="00645534"/>
    <w:rsid w:val="00645C2A"/>
    <w:rsid w:val="00645C4D"/>
    <w:rsid w:val="00645E2F"/>
    <w:rsid w:val="006460C4"/>
    <w:rsid w:val="00646331"/>
    <w:rsid w:val="00646B7F"/>
    <w:rsid w:val="00646D36"/>
    <w:rsid w:val="00646DAD"/>
    <w:rsid w:val="00647D5B"/>
    <w:rsid w:val="006503B1"/>
    <w:rsid w:val="006505BF"/>
    <w:rsid w:val="00651259"/>
    <w:rsid w:val="00651D15"/>
    <w:rsid w:val="0065203C"/>
    <w:rsid w:val="00653142"/>
    <w:rsid w:val="0065359D"/>
    <w:rsid w:val="006538B2"/>
    <w:rsid w:val="006540CE"/>
    <w:rsid w:val="00654206"/>
    <w:rsid w:val="00656640"/>
    <w:rsid w:val="0065668C"/>
    <w:rsid w:val="00656A70"/>
    <w:rsid w:val="00656D75"/>
    <w:rsid w:val="0065782B"/>
    <w:rsid w:val="006578DF"/>
    <w:rsid w:val="00657A15"/>
    <w:rsid w:val="00657E8F"/>
    <w:rsid w:val="006601A7"/>
    <w:rsid w:val="00660F5B"/>
    <w:rsid w:val="00661891"/>
    <w:rsid w:val="00662FF1"/>
    <w:rsid w:val="0066376C"/>
    <w:rsid w:val="00663DA1"/>
    <w:rsid w:val="006641C5"/>
    <w:rsid w:val="0066437A"/>
    <w:rsid w:val="00664CFC"/>
    <w:rsid w:val="00664ED3"/>
    <w:rsid w:val="00665141"/>
    <w:rsid w:val="00665B37"/>
    <w:rsid w:val="0066692B"/>
    <w:rsid w:val="0066755F"/>
    <w:rsid w:val="006700B0"/>
    <w:rsid w:val="00670238"/>
    <w:rsid w:val="0067031E"/>
    <w:rsid w:val="0067049F"/>
    <w:rsid w:val="00670AD5"/>
    <w:rsid w:val="006712D7"/>
    <w:rsid w:val="006715BB"/>
    <w:rsid w:val="00671AB0"/>
    <w:rsid w:val="00672244"/>
    <w:rsid w:val="00672734"/>
    <w:rsid w:val="00673730"/>
    <w:rsid w:val="0067381E"/>
    <w:rsid w:val="00673D04"/>
    <w:rsid w:val="00673FB8"/>
    <w:rsid w:val="006759AC"/>
    <w:rsid w:val="00675B4A"/>
    <w:rsid w:val="00675C42"/>
    <w:rsid w:val="00675D15"/>
    <w:rsid w:val="006761F7"/>
    <w:rsid w:val="006762EE"/>
    <w:rsid w:val="006765DD"/>
    <w:rsid w:val="00676773"/>
    <w:rsid w:val="00676CF3"/>
    <w:rsid w:val="00677C3F"/>
    <w:rsid w:val="00677F22"/>
    <w:rsid w:val="00677F72"/>
    <w:rsid w:val="00681230"/>
    <w:rsid w:val="00681CAB"/>
    <w:rsid w:val="00681EEF"/>
    <w:rsid w:val="00681F3E"/>
    <w:rsid w:val="00682AAC"/>
    <w:rsid w:val="00682CE1"/>
    <w:rsid w:val="00682EE7"/>
    <w:rsid w:val="00683726"/>
    <w:rsid w:val="00683BBB"/>
    <w:rsid w:val="00683F8A"/>
    <w:rsid w:val="00683FB4"/>
    <w:rsid w:val="00684165"/>
    <w:rsid w:val="00684E92"/>
    <w:rsid w:val="006855FB"/>
    <w:rsid w:val="006859C0"/>
    <w:rsid w:val="00685AD0"/>
    <w:rsid w:val="00685BA9"/>
    <w:rsid w:val="006862FD"/>
    <w:rsid w:val="00686859"/>
    <w:rsid w:val="006875D2"/>
    <w:rsid w:val="0068777D"/>
    <w:rsid w:val="00690096"/>
    <w:rsid w:val="006901E6"/>
    <w:rsid w:val="006907A3"/>
    <w:rsid w:val="00690884"/>
    <w:rsid w:val="00691502"/>
    <w:rsid w:val="006915CE"/>
    <w:rsid w:val="00691832"/>
    <w:rsid w:val="00691C8F"/>
    <w:rsid w:val="00691D44"/>
    <w:rsid w:val="00691DD3"/>
    <w:rsid w:val="00692064"/>
    <w:rsid w:val="0069216C"/>
    <w:rsid w:val="006928BB"/>
    <w:rsid w:val="00692E84"/>
    <w:rsid w:val="00693460"/>
    <w:rsid w:val="00693ED0"/>
    <w:rsid w:val="00693F70"/>
    <w:rsid w:val="0069438C"/>
    <w:rsid w:val="006943D7"/>
    <w:rsid w:val="00694F34"/>
    <w:rsid w:val="006950C0"/>
    <w:rsid w:val="00695166"/>
    <w:rsid w:val="00696B1B"/>
    <w:rsid w:val="00696F6C"/>
    <w:rsid w:val="00697727"/>
    <w:rsid w:val="00697CFD"/>
    <w:rsid w:val="00697F0B"/>
    <w:rsid w:val="00697FD5"/>
    <w:rsid w:val="006A01D7"/>
    <w:rsid w:val="006A0269"/>
    <w:rsid w:val="006A02DF"/>
    <w:rsid w:val="006A049D"/>
    <w:rsid w:val="006A07BB"/>
    <w:rsid w:val="006A0B84"/>
    <w:rsid w:val="006A0DBC"/>
    <w:rsid w:val="006A155D"/>
    <w:rsid w:val="006A16A6"/>
    <w:rsid w:val="006A18AB"/>
    <w:rsid w:val="006A2478"/>
    <w:rsid w:val="006A24B8"/>
    <w:rsid w:val="006A26EC"/>
    <w:rsid w:val="006A27A0"/>
    <w:rsid w:val="006A34D8"/>
    <w:rsid w:val="006A3FBE"/>
    <w:rsid w:val="006A4790"/>
    <w:rsid w:val="006A531E"/>
    <w:rsid w:val="006A5681"/>
    <w:rsid w:val="006A5887"/>
    <w:rsid w:val="006A6897"/>
    <w:rsid w:val="006A6B62"/>
    <w:rsid w:val="006A6C2F"/>
    <w:rsid w:val="006A6EFD"/>
    <w:rsid w:val="006A71C6"/>
    <w:rsid w:val="006A7377"/>
    <w:rsid w:val="006A7CE3"/>
    <w:rsid w:val="006A7F92"/>
    <w:rsid w:val="006B1132"/>
    <w:rsid w:val="006B1EF8"/>
    <w:rsid w:val="006B2255"/>
    <w:rsid w:val="006B2EB3"/>
    <w:rsid w:val="006B3232"/>
    <w:rsid w:val="006B3464"/>
    <w:rsid w:val="006B34F7"/>
    <w:rsid w:val="006B39AC"/>
    <w:rsid w:val="006B3BCB"/>
    <w:rsid w:val="006B3C02"/>
    <w:rsid w:val="006B3C63"/>
    <w:rsid w:val="006B3FCA"/>
    <w:rsid w:val="006B4036"/>
    <w:rsid w:val="006B41E4"/>
    <w:rsid w:val="006B4969"/>
    <w:rsid w:val="006B540A"/>
    <w:rsid w:val="006B59AE"/>
    <w:rsid w:val="006B61AD"/>
    <w:rsid w:val="006B6279"/>
    <w:rsid w:val="006B66E5"/>
    <w:rsid w:val="006B6B01"/>
    <w:rsid w:val="006B7AE3"/>
    <w:rsid w:val="006C0230"/>
    <w:rsid w:val="006C050B"/>
    <w:rsid w:val="006C09F8"/>
    <w:rsid w:val="006C0B7D"/>
    <w:rsid w:val="006C26FD"/>
    <w:rsid w:val="006C2B90"/>
    <w:rsid w:val="006C2ECF"/>
    <w:rsid w:val="006C38F3"/>
    <w:rsid w:val="006C4711"/>
    <w:rsid w:val="006C484F"/>
    <w:rsid w:val="006C4962"/>
    <w:rsid w:val="006C49BB"/>
    <w:rsid w:val="006C4A7A"/>
    <w:rsid w:val="006C4EC1"/>
    <w:rsid w:val="006C4EE4"/>
    <w:rsid w:val="006C50BA"/>
    <w:rsid w:val="006C5829"/>
    <w:rsid w:val="006C74D2"/>
    <w:rsid w:val="006C79C8"/>
    <w:rsid w:val="006C7A01"/>
    <w:rsid w:val="006C7D1B"/>
    <w:rsid w:val="006C7DFA"/>
    <w:rsid w:val="006C7F55"/>
    <w:rsid w:val="006D00EC"/>
    <w:rsid w:val="006D0242"/>
    <w:rsid w:val="006D084E"/>
    <w:rsid w:val="006D0C48"/>
    <w:rsid w:val="006D2D69"/>
    <w:rsid w:val="006D2F4D"/>
    <w:rsid w:val="006D3195"/>
    <w:rsid w:val="006D34B2"/>
    <w:rsid w:val="006D367E"/>
    <w:rsid w:val="006D36A0"/>
    <w:rsid w:val="006D3D02"/>
    <w:rsid w:val="006D40B9"/>
    <w:rsid w:val="006D466B"/>
    <w:rsid w:val="006D47A4"/>
    <w:rsid w:val="006D4CA5"/>
    <w:rsid w:val="006D4F08"/>
    <w:rsid w:val="006D4FC8"/>
    <w:rsid w:val="006D542E"/>
    <w:rsid w:val="006D5887"/>
    <w:rsid w:val="006D58D3"/>
    <w:rsid w:val="006D62AB"/>
    <w:rsid w:val="006D67C1"/>
    <w:rsid w:val="006D6F1D"/>
    <w:rsid w:val="006D723E"/>
    <w:rsid w:val="006D76DC"/>
    <w:rsid w:val="006D77D6"/>
    <w:rsid w:val="006D7D72"/>
    <w:rsid w:val="006E0360"/>
    <w:rsid w:val="006E0693"/>
    <w:rsid w:val="006E0708"/>
    <w:rsid w:val="006E0D09"/>
    <w:rsid w:val="006E1A2D"/>
    <w:rsid w:val="006E1FD8"/>
    <w:rsid w:val="006E25F8"/>
    <w:rsid w:val="006E27A7"/>
    <w:rsid w:val="006E2862"/>
    <w:rsid w:val="006E2965"/>
    <w:rsid w:val="006E298B"/>
    <w:rsid w:val="006E32BE"/>
    <w:rsid w:val="006E3404"/>
    <w:rsid w:val="006E3A44"/>
    <w:rsid w:val="006E3D58"/>
    <w:rsid w:val="006E3DAD"/>
    <w:rsid w:val="006E3F43"/>
    <w:rsid w:val="006E4775"/>
    <w:rsid w:val="006E4907"/>
    <w:rsid w:val="006E4C22"/>
    <w:rsid w:val="006E542B"/>
    <w:rsid w:val="006E574D"/>
    <w:rsid w:val="006E5A62"/>
    <w:rsid w:val="006E5AB8"/>
    <w:rsid w:val="006E5D5C"/>
    <w:rsid w:val="006E5E10"/>
    <w:rsid w:val="006E62A1"/>
    <w:rsid w:val="006E6340"/>
    <w:rsid w:val="006E674D"/>
    <w:rsid w:val="006E6D92"/>
    <w:rsid w:val="006E702B"/>
    <w:rsid w:val="006E70DE"/>
    <w:rsid w:val="006E7490"/>
    <w:rsid w:val="006E7817"/>
    <w:rsid w:val="006E7AD7"/>
    <w:rsid w:val="006E7E98"/>
    <w:rsid w:val="006F065C"/>
    <w:rsid w:val="006F2291"/>
    <w:rsid w:val="006F2647"/>
    <w:rsid w:val="006F2DE3"/>
    <w:rsid w:val="006F2F10"/>
    <w:rsid w:val="006F2F28"/>
    <w:rsid w:val="006F3292"/>
    <w:rsid w:val="006F3372"/>
    <w:rsid w:val="006F34B1"/>
    <w:rsid w:val="006F35A5"/>
    <w:rsid w:val="006F37B4"/>
    <w:rsid w:val="006F53B8"/>
    <w:rsid w:val="006F542C"/>
    <w:rsid w:val="006F5947"/>
    <w:rsid w:val="006F59E9"/>
    <w:rsid w:val="006F6397"/>
    <w:rsid w:val="006F66CD"/>
    <w:rsid w:val="006F699C"/>
    <w:rsid w:val="006F6A40"/>
    <w:rsid w:val="006F708E"/>
    <w:rsid w:val="006F71BA"/>
    <w:rsid w:val="006F7749"/>
    <w:rsid w:val="006F7D1C"/>
    <w:rsid w:val="00700A21"/>
    <w:rsid w:val="00700DF1"/>
    <w:rsid w:val="00701003"/>
    <w:rsid w:val="00701385"/>
    <w:rsid w:val="0070189A"/>
    <w:rsid w:val="00701914"/>
    <w:rsid w:val="0070236F"/>
    <w:rsid w:val="00702728"/>
    <w:rsid w:val="00702FA3"/>
    <w:rsid w:val="00703044"/>
    <w:rsid w:val="0070322E"/>
    <w:rsid w:val="00703B41"/>
    <w:rsid w:val="007051D2"/>
    <w:rsid w:val="007054A3"/>
    <w:rsid w:val="007058FE"/>
    <w:rsid w:val="00705A15"/>
    <w:rsid w:val="00705CAC"/>
    <w:rsid w:val="00705D96"/>
    <w:rsid w:val="00705D98"/>
    <w:rsid w:val="00706A15"/>
    <w:rsid w:val="007070AF"/>
    <w:rsid w:val="007077BD"/>
    <w:rsid w:val="00707E97"/>
    <w:rsid w:val="00710096"/>
    <w:rsid w:val="00710518"/>
    <w:rsid w:val="0071075F"/>
    <w:rsid w:val="00710E81"/>
    <w:rsid w:val="00710ED6"/>
    <w:rsid w:val="0071163F"/>
    <w:rsid w:val="0071164A"/>
    <w:rsid w:val="007118D7"/>
    <w:rsid w:val="0071190F"/>
    <w:rsid w:val="00711D2D"/>
    <w:rsid w:val="0071207C"/>
    <w:rsid w:val="00712DBD"/>
    <w:rsid w:val="00713400"/>
    <w:rsid w:val="0071358E"/>
    <w:rsid w:val="00713763"/>
    <w:rsid w:val="00713ACB"/>
    <w:rsid w:val="00714506"/>
    <w:rsid w:val="00714C9F"/>
    <w:rsid w:val="007159BF"/>
    <w:rsid w:val="00715F40"/>
    <w:rsid w:val="00715F4B"/>
    <w:rsid w:val="00716616"/>
    <w:rsid w:val="00716C84"/>
    <w:rsid w:val="00716C9A"/>
    <w:rsid w:val="00716CD8"/>
    <w:rsid w:val="0071707E"/>
    <w:rsid w:val="0071712B"/>
    <w:rsid w:val="00717C68"/>
    <w:rsid w:val="00720174"/>
    <w:rsid w:val="0072019A"/>
    <w:rsid w:val="007203D5"/>
    <w:rsid w:val="0072049A"/>
    <w:rsid w:val="0072099D"/>
    <w:rsid w:val="00720B49"/>
    <w:rsid w:val="00720CFC"/>
    <w:rsid w:val="00720F4A"/>
    <w:rsid w:val="00721FAE"/>
    <w:rsid w:val="0072286D"/>
    <w:rsid w:val="007229D9"/>
    <w:rsid w:val="00722A7D"/>
    <w:rsid w:val="00723242"/>
    <w:rsid w:val="00723304"/>
    <w:rsid w:val="007237C2"/>
    <w:rsid w:val="0072385E"/>
    <w:rsid w:val="00723CFE"/>
    <w:rsid w:val="00723DE9"/>
    <w:rsid w:val="00723EA0"/>
    <w:rsid w:val="00724216"/>
    <w:rsid w:val="00724730"/>
    <w:rsid w:val="007248F7"/>
    <w:rsid w:val="00725466"/>
    <w:rsid w:val="00725D5B"/>
    <w:rsid w:val="007260AD"/>
    <w:rsid w:val="00726165"/>
    <w:rsid w:val="0072665D"/>
    <w:rsid w:val="00726A44"/>
    <w:rsid w:val="00727AA3"/>
    <w:rsid w:val="00727BB4"/>
    <w:rsid w:val="00727C54"/>
    <w:rsid w:val="00727DE7"/>
    <w:rsid w:val="00730E1F"/>
    <w:rsid w:val="00731B17"/>
    <w:rsid w:val="007323D8"/>
    <w:rsid w:val="00732889"/>
    <w:rsid w:val="00732992"/>
    <w:rsid w:val="00732FFB"/>
    <w:rsid w:val="007330B7"/>
    <w:rsid w:val="00733D3B"/>
    <w:rsid w:val="007344AA"/>
    <w:rsid w:val="00734E17"/>
    <w:rsid w:val="00735E87"/>
    <w:rsid w:val="007362BA"/>
    <w:rsid w:val="0073750E"/>
    <w:rsid w:val="0073763D"/>
    <w:rsid w:val="00737710"/>
    <w:rsid w:val="00737E94"/>
    <w:rsid w:val="0074039E"/>
    <w:rsid w:val="00740A0A"/>
    <w:rsid w:val="00740AF8"/>
    <w:rsid w:val="00740E36"/>
    <w:rsid w:val="007414BB"/>
    <w:rsid w:val="007417B5"/>
    <w:rsid w:val="00741A62"/>
    <w:rsid w:val="007427D2"/>
    <w:rsid w:val="00742903"/>
    <w:rsid w:val="00742F93"/>
    <w:rsid w:val="00743764"/>
    <w:rsid w:val="0074394F"/>
    <w:rsid w:val="0074422B"/>
    <w:rsid w:val="007444EB"/>
    <w:rsid w:val="00744658"/>
    <w:rsid w:val="00744AEE"/>
    <w:rsid w:val="00744B28"/>
    <w:rsid w:val="00744CE4"/>
    <w:rsid w:val="00745B41"/>
    <w:rsid w:val="00747302"/>
    <w:rsid w:val="0075088A"/>
    <w:rsid w:val="00751262"/>
    <w:rsid w:val="00751F51"/>
    <w:rsid w:val="00751F62"/>
    <w:rsid w:val="0075272E"/>
    <w:rsid w:val="00752E5D"/>
    <w:rsid w:val="00753419"/>
    <w:rsid w:val="007536CE"/>
    <w:rsid w:val="00753C3F"/>
    <w:rsid w:val="00753F89"/>
    <w:rsid w:val="00754393"/>
    <w:rsid w:val="00754432"/>
    <w:rsid w:val="0075483C"/>
    <w:rsid w:val="00755004"/>
    <w:rsid w:val="00755C6C"/>
    <w:rsid w:val="00755EF6"/>
    <w:rsid w:val="007561CF"/>
    <w:rsid w:val="00756939"/>
    <w:rsid w:val="00756944"/>
    <w:rsid w:val="00756AA6"/>
    <w:rsid w:val="00756ABF"/>
    <w:rsid w:val="00757439"/>
    <w:rsid w:val="00757ACA"/>
    <w:rsid w:val="00757C99"/>
    <w:rsid w:val="00757EAC"/>
    <w:rsid w:val="007602F2"/>
    <w:rsid w:val="00760755"/>
    <w:rsid w:val="00760815"/>
    <w:rsid w:val="00760DA3"/>
    <w:rsid w:val="007614EC"/>
    <w:rsid w:val="0076156B"/>
    <w:rsid w:val="0076171E"/>
    <w:rsid w:val="007618D6"/>
    <w:rsid w:val="00761BDE"/>
    <w:rsid w:val="00762611"/>
    <w:rsid w:val="00762C96"/>
    <w:rsid w:val="00762DE0"/>
    <w:rsid w:val="00762F15"/>
    <w:rsid w:val="007641CB"/>
    <w:rsid w:val="007641FE"/>
    <w:rsid w:val="007644CB"/>
    <w:rsid w:val="007646C9"/>
    <w:rsid w:val="00764B7A"/>
    <w:rsid w:val="00764EC3"/>
    <w:rsid w:val="00766322"/>
    <w:rsid w:val="00766451"/>
    <w:rsid w:val="00766A9E"/>
    <w:rsid w:val="007671BE"/>
    <w:rsid w:val="00767336"/>
    <w:rsid w:val="00767708"/>
    <w:rsid w:val="007679E9"/>
    <w:rsid w:val="00770311"/>
    <w:rsid w:val="0077082B"/>
    <w:rsid w:val="00770892"/>
    <w:rsid w:val="00770AF4"/>
    <w:rsid w:val="00770B44"/>
    <w:rsid w:val="00770C16"/>
    <w:rsid w:val="00771034"/>
    <w:rsid w:val="00771B2C"/>
    <w:rsid w:val="00771EEC"/>
    <w:rsid w:val="007721C3"/>
    <w:rsid w:val="007725FA"/>
    <w:rsid w:val="00772A0A"/>
    <w:rsid w:val="00772A1F"/>
    <w:rsid w:val="00772B36"/>
    <w:rsid w:val="0077327D"/>
    <w:rsid w:val="00773639"/>
    <w:rsid w:val="0077392D"/>
    <w:rsid w:val="007745F9"/>
    <w:rsid w:val="007747AD"/>
    <w:rsid w:val="00774AF7"/>
    <w:rsid w:val="00775436"/>
    <w:rsid w:val="00775551"/>
    <w:rsid w:val="00775630"/>
    <w:rsid w:val="0077563E"/>
    <w:rsid w:val="00775C83"/>
    <w:rsid w:val="00776092"/>
    <w:rsid w:val="00776100"/>
    <w:rsid w:val="0077680A"/>
    <w:rsid w:val="00776941"/>
    <w:rsid w:val="00776E83"/>
    <w:rsid w:val="00776FC7"/>
    <w:rsid w:val="007773CB"/>
    <w:rsid w:val="0077764B"/>
    <w:rsid w:val="007778BD"/>
    <w:rsid w:val="00777976"/>
    <w:rsid w:val="00777EBE"/>
    <w:rsid w:val="00777FC0"/>
    <w:rsid w:val="007805E2"/>
    <w:rsid w:val="00780C81"/>
    <w:rsid w:val="007818BE"/>
    <w:rsid w:val="007820B5"/>
    <w:rsid w:val="00782DD2"/>
    <w:rsid w:val="0078308E"/>
    <w:rsid w:val="007836CA"/>
    <w:rsid w:val="00784135"/>
    <w:rsid w:val="007843F3"/>
    <w:rsid w:val="007849F3"/>
    <w:rsid w:val="00784E30"/>
    <w:rsid w:val="0078511C"/>
    <w:rsid w:val="007858DC"/>
    <w:rsid w:val="00785964"/>
    <w:rsid w:val="007859FF"/>
    <w:rsid w:val="00786174"/>
    <w:rsid w:val="007863EC"/>
    <w:rsid w:val="00786BCB"/>
    <w:rsid w:val="00786DD0"/>
    <w:rsid w:val="0078754A"/>
    <w:rsid w:val="00787844"/>
    <w:rsid w:val="00787A6A"/>
    <w:rsid w:val="00790865"/>
    <w:rsid w:val="00790CC3"/>
    <w:rsid w:val="00790E40"/>
    <w:rsid w:val="0079291B"/>
    <w:rsid w:val="00793739"/>
    <w:rsid w:val="00793A20"/>
    <w:rsid w:val="00793D64"/>
    <w:rsid w:val="00793DE2"/>
    <w:rsid w:val="00793E3E"/>
    <w:rsid w:val="00793FB0"/>
    <w:rsid w:val="0079412B"/>
    <w:rsid w:val="00794263"/>
    <w:rsid w:val="007943D8"/>
    <w:rsid w:val="00794EA2"/>
    <w:rsid w:val="00796160"/>
    <w:rsid w:val="00796AE1"/>
    <w:rsid w:val="00797708"/>
    <w:rsid w:val="00797819"/>
    <w:rsid w:val="007A0774"/>
    <w:rsid w:val="007A10A3"/>
    <w:rsid w:val="007A14E6"/>
    <w:rsid w:val="007A18C5"/>
    <w:rsid w:val="007A1F1A"/>
    <w:rsid w:val="007A232E"/>
    <w:rsid w:val="007A26FB"/>
    <w:rsid w:val="007A29A5"/>
    <w:rsid w:val="007A2CA7"/>
    <w:rsid w:val="007A2D21"/>
    <w:rsid w:val="007A2DBF"/>
    <w:rsid w:val="007A35B7"/>
    <w:rsid w:val="007A36C1"/>
    <w:rsid w:val="007A3912"/>
    <w:rsid w:val="007A4ECD"/>
    <w:rsid w:val="007A502B"/>
    <w:rsid w:val="007A5BD6"/>
    <w:rsid w:val="007A5CF1"/>
    <w:rsid w:val="007A657A"/>
    <w:rsid w:val="007A68CE"/>
    <w:rsid w:val="007A6DD9"/>
    <w:rsid w:val="007A7087"/>
    <w:rsid w:val="007A70C6"/>
    <w:rsid w:val="007A7382"/>
    <w:rsid w:val="007A7668"/>
    <w:rsid w:val="007A766F"/>
    <w:rsid w:val="007A77C0"/>
    <w:rsid w:val="007A7928"/>
    <w:rsid w:val="007A7BDC"/>
    <w:rsid w:val="007A7C27"/>
    <w:rsid w:val="007B008A"/>
    <w:rsid w:val="007B023C"/>
    <w:rsid w:val="007B0477"/>
    <w:rsid w:val="007B1401"/>
    <w:rsid w:val="007B141B"/>
    <w:rsid w:val="007B15E7"/>
    <w:rsid w:val="007B1F3E"/>
    <w:rsid w:val="007B2720"/>
    <w:rsid w:val="007B2B3A"/>
    <w:rsid w:val="007B2D4A"/>
    <w:rsid w:val="007B2DC9"/>
    <w:rsid w:val="007B33B6"/>
    <w:rsid w:val="007B3902"/>
    <w:rsid w:val="007B3AD4"/>
    <w:rsid w:val="007B4017"/>
    <w:rsid w:val="007B4813"/>
    <w:rsid w:val="007B4952"/>
    <w:rsid w:val="007B4B3D"/>
    <w:rsid w:val="007B4B88"/>
    <w:rsid w:val="007B5233"/>
    <w:rsid w:val="007B530B"/>
    <w:rsid w:val="007B562B"/>
    <w:rsid w:val="007B57F7"/>
    <w:rsid w:val="007B59FA"/>
    <w:rsid w:val="007B5F75"/>
    <w:rsid w:val="007B622B"/>
    <w:rsid w:val="007B657B"/>
    <w:rsid w:val="007B6741"/>
    <w:rsid w:val="007B7177"/>
    <w:rsid w:val="007C0205"/>
    <w:rsid w:val="007C062D"/>
    <w:rsid w:val="007C1059"/>
    <w:rsid w:val="007C10A4"/>
    <w:rsid w:val="007C16A8"/>
    <w:rsid w:val="007C182D"/>
    <w:rsid w:val="007C1B92"/>
    <w:rsid w:val="007C1C45"/>
    <w:rsid w:val="007C28FC"/>
    <w:rsid w:val="007C2DE4"/>
    <w:rsid w:val="007C31DC"/>
    <w:rsid w:val="007C37BD"/>
    <w:rsid w:val="007C4C5F"/>
    <w:rsid w:val="007C4CA2"/>
    <w:rsid w:val="007C5D8E"/>
    <w:rsid w:val="007C6352"/>
    <w:rsid w:val="007C7130"/>
    <w:rsid w:val="007C7C27"/>
    <w:rsid w:val="007C7E00"/>
    <w:rsid w:val="007C7F97"/>
    <w:rsid w:val="007D0109"/>
    <w:rsid w:val="007D0473"/>
    <w:rsid w:val="007D05F0"/>
    <w:rsid w:val="007D0789"/>
    <w:rsid w:val="007D0D4D"/>
    <w:rsid w:val="007D153D"/>
    <w:rsid w:val="007D156E"/>
    <w:rsid w:val="007D18DD"/>
    <w:rsid w:val="007D19F0"/>
    <w:rsid w:val="007D209F"/>
    <w:rsid w:val="007D21A5"/>
    <w:rsid w:val="007D2637"/>
    <w:rsid w:val="007D32CF"/>
    <w:rsid w:val="007D349C"/>
    <w:rsid w:val="007D3DA5"/>
    <w:rsid w:val="007D428A"/>
    <w:rsid w:val="007D4589"/>
    <w:rsid w:val="007D4757"/>
    <w:rsid w:val="007D4C9B"/>
    <w:rsid w:val="007D5BEE"/>
    <w:rsid w:val="007D6008"/>
    <w:rsid w:val="007D666D"/>
    <w:rsid w:val="007D68E6"/>
    <w:rsid w:val="007D7583"/>
    <w:rsid w:val="007D7654"/>
    <w:rsid w:val="007D78FA"/>
    <w:rsid w:val="007D7CCB"/>
    <w:rsid w:val="007D7FE9"/>
    <w:rsid w:val="007E0282"/>
    <w:rsid w:val="007E0306"/>
    <w:rsid w:val="007E0ACB"/>
    <w:rsid w:val="007E0FBA"/>
    <w:rsid w:val="007E1751"/>
    <w:rsid w:val="007E1927"/>
    <w:rsid w:val="007E22C8"/>
    <w:rsid w:val="007E2489"/>
    <w:rsid w:val="007E2597"/>
    <w:rsid w:val="007E26D5"/>
    <w:rsid w:val="007E2BCF"/>
    <w:rsid w:val="007E2C42"/>
    <w:rsid w:val="007E3126"/>
    <w:rsid w:val="007E31A7"/>
    <w:rsid w:val="007E373F"/>
    <w:rsid w:val="007E3887"/>
    <w:rsid w:val="007E3F89"/>
    <w:rsid w:val="007E474E"/>
    <w:rsid w:val="007E47BB"/>
    <w:rsid w:val="007E5C2C"/>
    <w:rsid w:val="007E62F1"/>
    <w:rsid w:val="007E677B"/>
    <w:rsid w:val="007E6E0D"/>
    <w:rsid w:val="007E7435"/>
    <w:rsid w:val="007E76CA"/>
    <w:rsid w:val="007E7C72"/>
    <w:rsid w:val="007F0057"/>
    <w:rsid w:val="007F150D"/>
    <w:rsid w:val="007F18EA"/>
    <w:rsid w:val="007F355D"/>
    <w:rsid w:val="007F3F1E"/>
    <w:rsid w:val="007F4820"/>
    <w:rsid w:val="007F4877"/>
    <w:rsid w:val="007F4AF3"/>
    <w:rsid w:val="007F4EF7"/>
    <w:rsid w:val="007F5547"/>
    <w:rsid w:val="007F5E25"/>
    <w:rsid w:val="007F64B2"/>
    <w:rsid w:val="007F6942"/>
    <w:rsid w:val="007F70F5"/>
    <w:rsid w:val="007F7624"/>
    <w:rsid w:val="007F795C"/>
    <w:rsid w:val="007F79D3"/>
    <w:rsid w:val="008005C9"/>
    <w:rsid w:val="00800A5E"/>
    <w:rsid w:val="00801CC9"/>
    <w:rsid w:val="00801DA3"/>
    <w:rsid w:val="00802161"/>
    <w:rsid w:val="00803251"/>
    <w:rsid w:val="008038B5"/>
    <w:rsid w:val="00803D6E"/>
    <w:rsid w:val="00804F9A"/>
    <w:rsid w:val="00805781"/>
    <w:rsid w:val="00805A15"/>
    <w:rsid w:val="00805AAC"/>
    <w:rsid w:val="0080607B"/>
    <w:rsid w:val="008062C0"/>
    <w:rsid w:val="0080637F"/>
    <w:rsid w:val="0080675F"/>
    <w:rsid w:val="00806C80"/>
    <w:rsid w:val="00806D17"/>
    <w:rsid w:val="00807196"/>
    <w:rsid w:val="008075D0"/>
    <w:rsid w:val="0080777E"/>
    <w:rsid w:val="008079FD"/>
    <w:rsid w:val="00807BB4"/>
    <w:rsid w:val="00810054"/>
    <w:rsid w:val="008106A3"/>
    <w:rsid w:val="00810C42"/>
    <w:rsid w:val="00811971"/>
    <w:rsid w:val="00811A29"/>
    <w:rsid w:val="00811CE6"/>
    <w:rsid w:val="00811F30"/>
    <w:rsid w:val="008129B3"/>
    <w:rsid w:val="00812DB5"/>
    <w:rsid w:val="00813ECF"/>
    <w:rsid w:val="008148C2"/>
    <w:rsid w:val="00815033"/>
    <w:rsid w:val="008152C4"/>
    <w:rsid w:val="008156A4"/>
    <w:rsid w:val="0081695B"/>
    <w:rsid w:val="00816F94"/>
    <w:rsid w:val="008175CB"/>
    <w:rsid w:val="00817622"/>
    <w:rsid w:val="008179EA"/>
    <w:rsid w:val="00817CE2"/>
    <w:rsid w:val="008208A7"/>
    <w:rsid w:val="00820B73"/>
    <w:rsid w:val="00821674"/>
    <w:rsid w:val="0082190B"/>
    <w:rsid w:val="00821A42"/>
    <w:rsid w:val="00821FFE"/>
    <w:rsid w:val="00822029"/>
    <w:rsid w:val="00822054"/>
    <w:rsid w:val="00822901"/>
    <w:rsid w:val="00822AEE"/>
    <w:rsid w:val="00822C09"/>
    <w:rsid w:val="00822D37"/>
    <w:rsid w:val="00822F78"/>
    <w:rsid w:val="00823449"/>
    <w:rsid w:val="008236A0"/>
    <w:rsid w:val="00823D5D"/>
    <w:rsid w:val="0082442D"/>
    <w:rsid w:val="0082475A"/>
    <w:rsid w:val="008248AA"/>
    <w:rsid w:val="00824BA0"/>
    <w:rsid w:val="0082553C"/>
    <w:rsid w:val="00825B01"/>
    <w:rsid w:val="00825D59"/>
    <w:rsid w:val="00826A7A"/>
    <w:rsid w:val="00826A8C"/>
    <w:rsid w:val="00826D38"/>
    <w:rsid w:val="00827582"/>
    <w:rsid w:val="0082759B"/>
    <w:rsid w:val="00827A40"/>
    <w:rsid w:val="008304C3"/>
    <w:rsid w:val="008307CC"/>
    <w:rsid w:val="00830A4B"/>
    <w:rsid w:val="00830D2A"/>
    <w:rsid w:val="00831236"/>
    <w:rsid w:val="008312F8"/>
    <w:rsid w:val="00831811"/>
    <w:rsid w:val="00831B2C"/>
    <w:rsid w:val="00833192"/>
    <w:rsid w:val="0083343C"/>
    <w:rsid w:val="00835349"/>
    <w:rsid w:val="00835F42"/>
    <w:rsid w:val="008367F6"/>
    <w:rsid w:val="00836EC4"/>
    <w:rsid w:val="00836FA3"/>
    <w:rsid w:val="00836FDF"/>
    <w:rsid w:val="00837791"/>
    <w:rsid w:val="00840A66"/>
    <w:rsid w:val="00840CA0"/>
    <w:rsid w:val="008410E2"/>
    <w:rsid w:val="008419DA"/>
    <w:rsid w:val="00841F8C"/>
    <w:rsid w:val="00842063"/>
    <w:rsid w:val="00842938"/>
    <w:rsid w:val="008429E4"/>
    <w:rsid w:val="00843469"/>
    <w:rsid w:val="00843572"/>
    <w:rsid w:val="0084411E"/>
    <w:rsid w:val="00844F57"/>
    <w:rsid w:val="008451DF"/>
    <w:rsid w:val="0084523C"/>
    <w:rsid w:val="00845A2B"/>
    <w:rsid w:val="00846AFA"/>
    <w:rsid w:val="00847B85"/>
    <w:rsid w:val="00847F71"/>
    <w:rsid w:val="00850047"/>
    <w:rsid w:val="008505A7"/>
    <w:rsid w:val="00852155"/>
    <w:rsid w:val="0085282C"/>
    <w:rsid w:val="00852945"/>
    <w:rsid w:val="00852A6D"/>
    <w:rsid w:val="00852CFF"/>
    <w:rsid w:val="00852E1F"/>
    <w:rsid w:val="00853350"/>
    <w:rsid w:val="00853FCE"/>
    <w:rsid w:val="00854B16"/>
    <w:rsid w:val="00854BC5"/>
    <w:rsid w:val="00855106"/>
    <w:rsid w:val="008554E9"/>
    <w:rsid w:val="00855541"/>
    <w:rsid w:val="00855E17"/>
    <w:rsid w:val="0085661E"/>
    <w:rsid w:val="00856839"/>
    <w:rsid w:val="00856BAA"/>
    <w:rsid w:val="008579C7"/>
    <w:rsid w:val="00857CC7"/>
    <w:rsid w:val="00857EEE"/>
    <w:rsid w:val="00860332"/>
    <w:rsid w:val="00860AE0"/>
    <w:rsid w:val="00860BBB"/>
    <w:rsid w:val="00861065"/>
    <w:rsid w:val="00861D26"/>
    <w:rsid w:val="008626AF"/>
    <w:rsid w:val="00862D7C"/>
    <w:rsid w:val="00862F22"/>
    <w:rsid w:val="008638B1"/>
    <w:rsid w:val="00863C56"/>
    <w:rsid w:val="00863EF4"/>
    <w:rsid w:val="008643AF"/>
    <w:rsid w:val="008645EC"/>
    <w:rsid w:val="00864811"/>
    <w:rsid w:val="008649FF"/>
    <w:rsid w:val="00864C6B"/>
    <w:rsid w:val="00865C7D"/>
    <w:rsid w:val="00865C9B"/>
    <w:rsid w:val="00865D03"/>
    <w:rsid w:val="00865F7B"/>
    <w:rsid w:val="00866014"/>
    <w:rsid w:val="008663F0"/>
    <w:rsid w:val="0086660F"/>
    <w:rsid w:val="008674E8"/>
    <w:rsid w:val="00870146"/>
    <w:rsid w:val="00870592"/>
    <w:rsid w:val="008713C7"/>
    <w:rsid w:val="008716A0"/>
    <w:rsid w:val="00871751"/>
    <w:rsid w:val="008717E8"/>
    <w:rsid w:val="00871F15"/>
    <w:rsid w:val="00872007"/>
    <w:rsid w:val="0087250E"/>
    <w:rsid w:val="00872698"/>
    <w:rsid w:val="00872882"/>
    <w:rsid w:val="00872B40"/>
    <w:rsid w:val="00873C41"/>
    <w:rsid w:val="00873F01"/>
    <w:rsid w:val="0087411F"/>
    <w:rsid w:val="0087447C"/>
    <w:rsid w:val="008745B5"/>
    <w:rsid w:val="00874E90"/>
    <w:rsid w:val="008753FC"/>
    <w:rsid w:val="008755C6"/>
    <w:rsid w:val="008757CD"/>
    <w:rsid w:val="00875898"/>
    <w:rsid w:val="00875D14"/>
    <w:rsid w:val="00876540"/>
    <w:rsid w:val="008769FB"/>
    <w:rsid w:val="008770A0"/>
    <w:rsid w:val="008779F2"/>
    <w:rsid w:val="00877E9E"/>
    <w:rsid w:val="00880026"/>
    <w:rsid w:val="00880152"/>
    <w:rsid w:val="0088057F"/>
    <w:rsid w:val="0088130D"/>
    <w:rsid w:val="0088188C"/>
    <w:rsid w:val="00881C20"/>
    <w:rsid w:val="0088202E"/>
    <w:rsid w:val="008821FC"/>
    <w:rsid w:val="008822B7"/>
    <w:rsid w:val="0088291C"/>
    <w:rsid w:val="00883277"/>
    <w:rsid w:val="00883D8E"/>
    <w:rsid w:val="00884001"/>
    <w:rsid w:val="0088470F"/>
    <w:rsid w:val="00885488"/>
    <w:rsid w:val="008858B4"/>
    <w:rsid w:val="0088610E"/>
    <w:rsid w:val="00886253"/>
    <w:rsid w:val="00886411"/>
    <w:rsid w:val="00886431"/>
    <w:rsid w:val="0088660C"/>
    <w:rsid w:val="00886906"/>
    <w:rsid w:val="00886BD4"/>
    <w:rsid w:val="00886E0F"/>
    <w:rsid w:val="008870F3"/>
    <w:rsid w:val="008874CC"/>
    <w:rsid w:val="00887519"/>
    <w:rsid w:val="0088794B"/>
    <w:rsid w:val="008901B8"/>
    <w:rsid w:val="00890200"/>
    <w:rsid w:val="008906FD"/>
    <w:rsid w:val="00890CD2"/>
    <w:rsid w:val="0089154F"/>
    <w:rsid w:val="008915AF"/>
    <w:rsid w:val="008919F3"/>
    <w:rsid w:val="00891C66"/>
    <w:rsid w:val="00891F33"/>
    <w:rsid w:val="0089230D"/>
    <w:rsid w:val="00892422"/>
    <w:rsid w:val="00892645"/>
    <w:rsid w:val="008928CC"/>
    <w:rsid w:val="00892B9E"/>
    <w:rsid w:val="00893373"/>
    <w:rsid w:val="00893662"/>
    <w:rsid w:val="00893D47"/>
    <w:rsid w:val="00894476"/>
    <w:rsid w:val="008953C5"/>
    <w:rsid w:val="008955BA"/>
    <w:rsid w:val="0089562B"/>
    <w:rsid w:val="008956AB"/>
    <w:rsid w:val="00895EA1"/>
    <w:rsid w:val="00896237"/>
    <w:rsid w:val="00896B2D"/>
    <w:rsid w:val="00896F38"/>
    <w:rsid w:val="00897194"/>
    <w:rsid w:val="008972B5"/>
    <w:rsid w:val="008972E6"/>
    <w:rsid w:val="00897FCE"/>
    <w:rsid w:val="008A0608"/>
    <w:rsid w:val="008A0D7A"/>
    <w:rsid w:val="008A0F58"/>
    <w:rsid w:val="008A151C"/>
    <w:rsid w:val="008A16FA"/>
    <w:rsid w:val="008A182F"/>
    <w:rsid w:val="008A1AA4"/>
    <w:rsid w:val="008A1BB6"/>
    <w:rsid w:val="008A2261"/>
    <w:rsid w:val="008A23F1"/>
    <w:rsid w:val="008A2BCA"/>
    <w:rsid w:val="008A2FD8"/>
    <w:rsid w:val="008A3101"/>
    <w:rsid w:val="008A315D"/>
    <w:rsid w:val="008A4871"/>
    <w:rsid w:val="008A53BC"/>
    <w:rsid w:val="008A58BC"/>
    <w:rsid w:val="008A5B2B"/>
    <w:rsid w:val="008A5BB2"/>
    <w:rsid w:val="008A5CDF"/>
    <w:rsid w:val="008A5E74"/>
    <w:rsid w:val="008A68F0"/>
    <w:rsid w:val="008A6B53"/>
    <w:rsid w:val="008A6D41"/>
    <w:rsid w:val="008A6E1B"/>
    <w:rsid w:val="008A73A5"/>
    <w:rsid w:val="008A7A25"/>
    <w:rsid w:val="008A7E30"/>
    <w:rsid w:val="008B0195"/>
    <w:rsid w:val="008B0B33"/>
    <w:rsid w:val="008B0D95"/>
    <w:rsid w:val="008B15BB"/>
    <w:rsid w:val="008B2587"/>
    <w:rsid w:val="008B2612"/>
    <w:rsid w:val="008B2F79"/>
    <w:rsid w:val="008B3DA4"/>
    <w:rsid w:val="008B41B9"/>
    <w:rsid w:val="008B41F3"/>
    <w:rsid w:val="008B4654"/>
    <w:rsid w:val="008B49C2"/>
    <w:rsid w:val="008B4AAC"/>
    <w:rsid w:val="008B4C3D"/>
    <w:rsid w:val="008B4CD2"/>
    <w:rsid w:val="008B5240"/>
    <w:rsid w:val="008B52E2"/>
    <w:rsid w:val="008B763C"/>
    <w:rsid w:val="008C01C5"/>
    <w:rsid w:val="008C19EB"/>
    <w:rsid w:val="008C1B60"/>
    <w:rsid w:val="008C21BB"/>
    <w:rsid w:val="008C2429"/>
    <w:rsid w:val="008C29DD"/>
    <w:rsid w:val="008C3E7D"/>
    <w:rsid w:val="008C40BB"/>
    <w:rsid w:val="008C452E"/>
    <w:rsid w:val="008C4634"/>
    <w:rsid w:val="008C5B2A"/>
    <w:rsid w:val="008C6176"/>
    <w:rsid w:val="008C62B0"/>
    <w:rsid w:val="008C6995"/>
    <w:rsid w:val="008C724D"/>
    <w:rsid w:val="008C7419"/>
    <w:rsid w:val="008C7D82"/>
    <w:rsid w:val="008D00EC"/>
    <w:rsid w:val="008D04DC"/>
    <w:rsid w:val="008D0595"/>
    <w:rsid w:val="008D0C5D"/>
    <w:rsid w:val="008D148A"/>
    <w:rsid w:val="008D2128"/>
    <w:rsid w:val="008D2254"/>
    <w:rsid w:val="008D24B7"/>
    <w:rsid w:val="008D26D1"/>
    <w:rsid w:val="008D27E6"/>
    <w:rsid w:val="008D2989"/>
    <w:rsid w:val="008D2B4F"/>
    <w:rsid w:val="008D2C1A"/>
    <w:rsid w:val="008D2C6A"/>
    <w:rsid w:val="008D345C"/>
    <w:rsid w:val="008D3748"/>
    <w:rsid w:val="008D396A"/>
    <w:rsid w:val="008D3C99"/>
    <w:rsid w:val="008D3D62"/>
    <w:rsid w:val="008D4727"/>
    <w:rsid w:val="008D477B"/>
    <w:rsid w:val="008D4873"/>
    <w:rsid w:val="008D48B8"/>
    <w:rsid w:val="008D52C7"/>
    <w:rsid w:val="008D6DA0"/>
    <w:rsid w:val="008D6E97"/>
    <w:rsid w:val="008D723E"/>
    <w:rsid w:val="008D7243"/>
    <w:rsid w:val="008D7887"/>
    <w:rsid w:val="008D7AD5"/>
    <w:rsid w:val="008D7D46"/>
    <w:rsid w:val="008E03C0"/>
    <w:rsid w:val="008E08EE"/>
    <w:rsid w:val="008E1069"/>
    <w:rsid w:val="008E11CE"/>
    <w:rsid w:val="008E1C6B"/>
    <w:rsid w:val="008E27F4"/>
    <w:rsid w:val="008E3362"/>
    <w:rsid w:val="008E400A"/>
    <w:rsid w:val="008E426C"/>
    <w:rsid w:val="008E4384"/>
    <w:rsid w:val="008E44EB"/>
    <w:rsid w:val="008E46FE"/>
    <w:rsid w:val="008E4BF2"/>
    <w:rsid w:val="008E4DCA"/>
    <w:rsid w:val="008E61A5"/>
    <w:rsid w:val="008E69DB"/>
    <w:rsid w:val="008E6D23"/>
    <w:rsid w:val="008E700E"/>
    <w:rsid w:val="008E7670"/>
    <w:rsid w:val="008E7FE7"/>
    <w:rsid w:val="008F05B1"/>
    <w:rsid w:val="008F062F"/>
    <w:rsid w:val="008F093D"/>
    <w:rsid w:val="008F0D64"/>
    <w:rsid w:val="008F12D7"/>
    <w:rsid w:val="008F1675"/>
    <w:rsid w:val="008F19C5"/>
    <w:rsid w:val="008F2137"/>
    <w:rsid w:val="008F33A6"/>
    <w:rsid w:val="008F4E37"/>
    <w:rsid w:val="008F5C10"/>
    <w:rsid w:val="008F5C8D"/>
    <w:rsid w:val="008F604A"/>
    <w:rsid w:val="008F6648"/>
    <w:rsid w:val="008F6797"/>
    <w:rsid w:val="008F6E57"/>
    <w:rsid w:val="008F6EB8"/>
    <w:rsid w:val="008F7351"/>
    <w:rsid w:val="008F7589"/>
    <w:rsid w:val="008F7597"/>
    <w:rsid w:val="008F76F3"/>
    <w:rsid w:val="008F7C59"/>
    <w:rsid w:val="0090057A"/>
    <w:rsid w:val="00900C1C"/>
    <w:rsid w:val="00901448"/>
    <w:rsid w:val="009014E4"/>
    <w:rsid w:val="0090163D"/>
    <w:rsid w:val="00902880"/>
    <w:rsid w:val="009031ED"/>
    <w:rsid w:val="0090355B"/>
    <w:rsid w:val="009039EA"/>
    <w:rsid w:val="0090475D"/>
    <w:rsid w:val="0090476A"/>
    <w:rsid w:val="009047A2"/>
    <w:rsid w:val="00904CB4"/>
    <w:rsid w:val="00905E7B"/>
    <w:rsid w:val="00905E92"/>
    <w:rsid w:val="00905EAC"/>
    <w:rsid w:val="009061D6"/>
    <w:rsid w:val="0090638D"/>
    <w:rsid w:val="009068F3"/>
    <w:rsid w:val="00906951"/>
    <w:rsid w:val="00907462"/>
    <w:rsid w:val="0090751A"/>
    <w:rsid w:val="009079A7"/>
    <w:rsid w:val="00907AED"/>
    <w:rsid w:val="009104BB"/>
    <w:rsid w:val="0091096B"/>
    <w:rsid w:val="00910F06"/>
    <w:rsid w:val="009112C1"/>
    <w:rsid w:val="009113F9"/>
    <w:rsid w:val="0091182A"/>
    <w:rsid w:val="00911BA7"/>
    <w:rsid w:val="00911EB7"/>
    <w:rsid w:val="009120F7"/>
    <w:rsid w:val="0091213E"/>
    <w:rsid w:val="00912250"/>
    <w:rsid w:val="0091255B"/>
    <w:rsid w:val="009132E4"/>
    <w:rsid w:val="009134E5"/>
    <w:rsid w:val="009135B7"/>
    <w:rsid w:val="00913BF0"/>
    <w:rsid w:val="00914175"/>
    <w:rsid w:val="0091431D"/>
    <w:rsid w:val="00914497"/>
    <w:rsid w:val="00914640"/>
    <w:rsid w:val="009149CB"/>
    <w:rsid w:val="00914F81"/>
    <w:rsid w:val="00915C9A"/>
    <w:rsid w:val="00916087"/>
    <w:rsid w:val="0091671C"/>
    <w:rsid w:val="00916791"/>
    <w:rsid w:val="0091680F"/>
    <w:rsid w:val="00916CDB"/>
    <w:rsid w:val="00916FBD"/>
    <w:rsid w:val="009174B3"/>
    <w:rsid w:val="00920830"/>
    <w:rsid w:val="00920E7C"/>
    <w:rsid w:val="00920ECB"/>
    <w:rsid w:val="0092139B"/>
    <w:rsid w:val="009215ED"/>
    <w:rsid w:val="00921712"/>
    <w:rsid w:val="009218EA"/>
    <w:rsid w:val="0092246C"/>
    <w:rsid w:val="00922675"/>
    <w:rsid w:val="00922712"/>
    <w:rsid w:val="00922DDC"/>
    <w:rsid w:val="0092304E"/>
    <w:rsid w:val="00923C1B"/>
    <w:rsid w:val="00923CC9"/>
    <w:rsid w:val="00923F49"/>
    <w:rsid w:val="0092404E"/>
    <w:rsid w:val="00924872"/>
    <w:rsid w:val="009249AC"/>
    <w:rsid w:val="00924D71"/>
    <w:rsid w:val="009256FB"/>
    <w:rsid w:val="00925E03"/>
    <w:rsid w:val="0092606E"/>
    <w:rsid w:val="0092648B"/>
    <w:rsid w:val="0092687C"/>
    <w:rsid w:val="00926EDF"/>
    <w:rsid w:val="0092727C"/>
    <w:rsid w:val="0092753E"/>
    <w:rsid w:val="00927F36"/>
    <w:rsid w:val="00930E41"/>
    <w:rsid w:val="00930EFB"/>
    <w:rsid w:val="00931507"/>
    <w:rsid w:val="00931C05"/>
    <w:rsid w:val="00931DCB"/>
    <w:rsid w:val="00933027"/>
    <w:rsid w:val="009347A1"/>
    <w:rsid w:val="00934A87"/>
    <w:rsid w:val="00934C36"/>
    <w:rsid w:val="00934DA8"/>
    <w:rsid w:val="00935181"/>
    <w:rsid w:val="00935184"/>
    <w:rsid w:val="009362E7"/>
    <w:rsid w:val="00936775"/>
    <w:rsid w:val="00936D33"/>
    <w:rsid w:val="0093700B"/>
    <w:rsid w:val="00937482"/>
    <w:rsid w:val="00937681"/>
    <w:rsid w:val="00940B47"/>
    <w:rsid w:val="00941921"/>
    <w:rsid w:val="00941FC5"/>
    <w:rsid w:val="009423D0"/>
    <w:rsid w:val="00942A1A"/>
    <w:rsid w:val="00942AC5"/>
    <w:rsid w:val="00942CAD"/>
    <w:rsid w:val="00943069"/>
    <w:rsid w:val="0094370A"/>
    <w:rsid w:val="0094379C"/>
    <w:rsid w:val="00943BBB"/>
    <w:rsid w:val="00943F44"/>
    <w:rsid w:val="0094433E"/>
    <w:rsid w:val="00944526"/>
    <w:rsid w:val="009446B6"/>
    <w:rsid w:val="009447C4"/>
    <w:rsid w:val="00944C58"/>
    <w:rsid w:val="00944F4C"/>
    <w:rsid w:val="009453AF"/>
    <w:rsid w:val="00946466"/>
    <w:rsid w:val="00947217"/>
    <w:rsid w:val="00947F99"/>
    <w:rsid w:val="00947FEB"/>
    <w:rsid w:val="00950115"/>
    <w:rsid w:val="00950193"/>
    <w:rsid w:val="00950735"/>
    <w:rsid w:val="00950C3B"/>
    <w:rsid w:val="00951133"/>
    <w:rsid w:val="0095192C"/>
    <w:rsid w:val="00951F05"/>
    <w:rsid w:val="00952364"/>
    <w:rsid w:val="00953C4D"/>
    <w:rsid w:val="009540C8"/>
    <w:rsid w:val="009545F5"/>
    <w:rsid w:val="00954E56"/>
    <w:rsid w:val="00954E8C"/>
    <w:rsid w:val="00954E9D"/>
    <w:rsid w:val="009554F8"/>
    <w:rsid w:val="00956070"/>
    <w:rsid w:val="0095667E"/>
    <w:rsid w:val="00956B73"/>
    <w:rsid w:val="00956BEC"/>
    <w:rsid w:val="00956D19"/>
    <w:rsid w:val="009574C9"/>
    <w:rsid w:val="00957BBB"/>
    <w:rsid w:val="00957BE7"/>
    <w:rsid w:val="009601EC"/>
    <w:rsid w:val="0096055D"/>
    <w:rsid w:val="0096072F"/>
    <w:rsid w:val="0096097C"/>
    <w:rsid w:val="00960AC8"/>
    <w:rsid w:val="00960CDA"/>
    <w:rsid w:val="00960E3A"/>
    <w:rsid w:val="00960E5C"/>
    <w:rsid w:val="009614AC"/>
    <w:rsid w:val="009615A8"/>
    <w:rsid w:val="00961DFA"/>
    <w:rsid w:val="00962521"/>
    <w:rsid w:val="009626A0"/>
    <w:rsid w:val="00962790"/>
    <w:rsid w:val="00963BED"/>
    <w:rsid w:val="00964074"/>
    <w:rsid w:val="009647CE"/>
    <w:rsid w:val="00965835"/>
    <w:rsid w:val="00965DC2"/>
    <w:rsid w:val="00967050"/>
    <w:rsid w:val="009671FF"/>
    <w:rsid w:val="00967679"/>
    <w:rsid w:val="009677FC"/>
    <w:rsid w:val="009678E6"/>
    <w:rsid w:val="009701C7"/>
    <w:rsid w:val="00970DDD"/>
    <w:rsid w:val="009710BB"/>
    <w:rsid w:val="0097141D"/>
    <w:rsid w:val="0097157C"/>
    <w:rsid w:val="009716A4"/>
    <w:rsid w:val="009723C1"/>
    <w:rsid w:val="0097281A"/>
    <w:rsid w:val="009731B6"/>
    <w:rsid w:val="00973D28"/>
    <w:rsid w:val="00973EC9"/>
    <w:rsid w:val="0097497A"/>
    <w:rsid w:val="00974BC5"/>
    <w:rsid w:val="00974BEE"/>
    <w:rsid w:val="00975BE7"/>
    <w:rsid w:val="00975F22"/>
    <w:rsid w:val="00976174"/>
    <w:rsid w:val="009762A3"/>
    <w:rsid w:val="009769D4"/>
    <w:rsid w:val="00977420"/>
    <w:rsid w:val="00977646"/>
    <w:rsid w:val="0098011E"/>
    <w:rsid w:val="0098114B"/>
    <w:rsid w:val="00981844"/>
    <w:rsid w:val="00981DBF"/>
    <w:rsid w:val="00982710"/>
    <w:rsid w:val="0098274F"/>
    <w:rsid w:val="009828C4"/>
    <w:rsid w:val="00982D0C"/>
    <w:rsid w:val="00982F0E"/>
    <w:rsid w:val="00984709"/>
    <w:rsid w:val="009853FA"/>
    <w:rsid w:val="009855BF"/>
    <w:rsid w:val="00985AF2"/>
    <w:rsid w:val="00985B71"/>
    <w:rsid w:val="00985FE4"/>
    <w:rsid w:val="0098689E"/>
    <w:rsid w:val="00986A94"/>
    <w:rsid w:val="00986C15"/>
    <w:rsid w:val="00986D31"/>
    <w:rsid w:val="00986F71"/>
    <w:rsid w:val="00987419"/>
    <w:rsid w:val="00987491"/>
    <w:rsid w:val="00987524"/>
    <w:rsid w:val="009876E9"/>
    <w:rsid w:val="00987AC7"/>
    <w:rsid w:val="00987DCE"/>
    <w:rsid w:val="009906EB"/>
    <w:rsid w:val="00990CDA"/>
    <w:rsid w:val="00991695"/>
    <w:rsid w:val="00991B20"/>
    <w:rsid w:val="0099205B"/>
    <w:rsid w:val="009920A3"/>
    <w:rsid w:val="00992212"/>
    <w:rsid w:val="009922F5"/>
    <w:rsid w:val="0099270A"/>
    <w:rsid w:val="00992832"/>
    <w:rsid w:val="00992876"/>
    <w:rsid w:val="00993E6E"/>
    <w:rsid w:val="00994083"/>
    <w:rsid w:val="00994FE4"/>
    <w:rsid w:val="00995BFB"/>
    <w:rsid w:val="00995C6F"/>
    <w:rsid w:val="009966D9"/>
    <w:rsid w:val="009971F0"/>
    <w:rsid w:val="009976D0"/>
    <w:rsid w:val="00997A24"/>
    <w:rsid w:val="00997A89"/>
    <w:rsid w:val="00997D6D"/>
    <w:rsid w:val="009A02DB"/>
    <w:rsid w:val="009A0523"/>
    <w:rsid w:val="009A072B"/>
    <w:rsid w:val="009A08CC"/>
    <w:rsid w:val="009A097E"/>
    <w:rsid w:val="009A0A56"/>
    <w:rsid w:val="009A12E6"/>
    <w:rsid w:val="009A15A3"/>
    <w:rsid w:val="009A16E1"/>
    <w:rsid w:val="009A2458"/>
    <w:rsid w:val="009A279F"/>
    <w:rsid w:val="009A3345"/>
    <w:rsid w:val="009A3368"/>
    <w:rsid w:val="009A34F8"/>
    <w:rsid w:val="009A384D"/>
    <w:rsid w:val="009A3DDD"/>
    <w:rsid w:val="009A4312"/>
    <w:rsid w:val="009A4B2B"/>
    <w:rsid w:val="009A4BBD"/>
    <w:rsid w:val="009A4F36"/>
    <w:rsid w:val="009A690C"/>
    <w:rsid w:val="009A6D96"/>
    <w:rsid w:val="009A7897"/>
    <w:rsid w:val="009A78A8"/>
    <w:rsid w:val="009A7E0E"/>
    <w:rsid w:val="009B03E1"/>
    <w:rsid w:val="009B07B0"/>
    <w:rsid w:val="009B0D24"/>
    <w:rsid w:val="009B117D"/>
    <w:rsid w:val="009B1F1C"/>
    <w:rsid w:val="009B20F4"/>
    <w:rsid w:val="009B23E3"/>
    <w:rsid w:val="009B2508"/>
    <w:rsid w:val="009B2934"/>
    <w:rsid w:val="009B3018"/>
    <w:rsid w:val="009B32E1"/>
    <w:rsid w:val="009B3877"/>
    <w:rsid w:val="009B3955"/>
    <w:rsid w:val="009B3A8A"/>
    <w:rsid w:val="009B4D98"/>
    <w:rsid w:val="009B4EF8"/>
    <w:rsid w:val="009B4F2A"/>
    <w:rsid w:val="009B5580"/>
    <w:rsid w:val="009B6078"/>
    <w:rsid w:val="009B6894"/>
    <w:rsid w:val="009B69F6"/>
    <w:rsid w:val="009B6FB4"/>
    <w:rsid w:val="009B767A"/>
    <w:rsid w:val="009B7B7E"/>
    <w:rsid w:val="009B7E92"/>
    <w:rsid w:val="009C0881"/>
    <w:rsid w:val="009C0ACA"/>
    <w:rsid w:val="009C1024"/>
    <w:rsid w:val="009C13BC"/>
    <w:rsid w:val="009C1561"/>
    <w:rsid w:val="009C1DBD"/>
    <w:rsid w:val="009C1EB4"/>
    <w:rsid w:val="009C2007"/>
    <w:rsid w:val="009C218E"/>
    <w:rsid w:val="009C23C6"/>
    <w:rsid w:val="009C2DAB"/>
    <w:rsid w:val="009C2DE9"/>
    <w:rsid w:val="009C3BEF"/>
    <w:rsid w:val="009C3C50"/>
    <w:rsid w:val="009C42BB"/>
    <w:rsid w:val="009C42F1"/>
    <w:rsid w:val="009C45C6"/>
    <w:rsid w:val="009C48A1"/>
    <w:rsid w:val="009C4951"/>
    <w:rsid w:val="009C4C6F"/>
    <w:rsid w:val="009C4DA7"/>
    <w:rsid w:val="009C53DA"/>
    <w:rsid w:val="009C5846"/>
    <w:rsid w:val="009C5D1A"/>
    <w:rsid w:val="009C5E2F"/>
    <w:rsid w:val="009C6087"/>
    <w:rsid w:val="009C6820"/>
    <w:rsid w:val="009C6B1F"/>
    <w:rsid w:val="009C72BF"/>
    <w:rsid w:val="009C72EC"/>
    <w:rsid w:val="009C779C"/>
    <w:rsid w:val="009C7E70"/>
    <w:rsid w:val="009D05F6"/>
    <w:rsid w:val="009D0CD6"/>
    <w:rsid w:val="009D13B0"/>
    <w:rsid w:val="009D241A"/>
    <w:rsid w:val="009D2579"/>
    <w:rsid w:val="009D2914"/>
    <w:rsid w:val="009D2CB7"/>
    <w:rsid w:val="009D2E06"/>
    <w:rsid w:val="009D306A"/>
    <w:rsid w:val="009D309A"/>
    <w:rsid w:val="009D36AA"/>
    <w:rsid w:val="009D3D28"/>
    <w:rsid w:val="009D443B"/>
    <w:rsid w:val="009D4BA4"/>
    <w:rsid w:val="009D4D82"/>
    <w:rsid w:val="009D4E39"/>
    <w:rsid w:val="009D561B"/>
    <w:rsid w:val="009D5652"/>
    <w:rsid w:val="009D5796"/>
    <w:rsid w:val="009D57E0"/>
    <w:rsid w:val="009D5A86"/>
    <w:rsid w:val="009D5D0A"/>
    <w:rsid w:val="009D5EA8"/>
    <w:rsid w:val="009D6152"/>
    <w:rsid w:val="009D63F0"/>
    <w:rsid w:val="009D6699"/>
    <w:rsid w:val="009D7E64"/>
    <w:rsid w:val="009D7F57"/>
    <w:rsid w:val="009E012A"/>
    <w:rsid w:val="009E09FF"/>
    <w:rsid w:val="009E0B77"/>
    <w:rsid w:val="009E0BF9"/>
    <w:rsid w:val="009E0E64"/>
    <w:rsid w:val="009E10B6"/>
    <w:rsid w:val="009E1670"/>
    <w:rsid w:val="009E1B40"/>
    <w:rsid w:val="009E24A5"/>
    <w:rsid w:val="009E3212"/>
    <w:rsid w:val="009E391F"/>
    <w:rsid w:val="009E3975"/>
    <w:rsid w:val="009E40A0"/>
    <w:rsid w:val="009E419F"/>
    <w:rsid w:val="009E4C3F"/>
    <w:rsid w:val="009E4EA3"/>
    <w:rsid w:val="009E5362"/>
    <w:rsid w:val="009E54CB"/>
    <w:rsid w:val="009E5A39"/>
    <w:rsid w:val="009E5A9E"/>
    <w:rsid w:val="009E5E8A"/>
    <w:rsid w:val="009E6400"/>
    <w:rsid w:val="009E65D2"/>
    <w:rsid w:val="009E6A6A"/>
    <w:rsid w:val="009E7F44"/>
    <w:rsid w:val="009F01CE"/>
    <w:rsid w:val="009F07F7"/>
    <w:rsid w:val="009F0DDE"/>
    <w:rsid w:val="009F0E2F"/>
    <w:rsid w:val="009F118B"/>
    <w:rsid w:val="009F15ED"/>
    <w:rsid w:val="009F17DC"/>
    <w:rsid w:val="009F1A3C"/>
    <w:rsid w:val="009F1B00"/>
    <w:rsid w:val="009F2324"/>
    <w:rsid w:val="009F24E8"/>
    <w:rsid w:val="009F2AB2"/>
    <w:rsid w:val="009F2C1A"/>
    <w:rsid w:val="009F2F90"/>
    <w:rsid w:val="009F4372"/>
    <w:rsid w:val="009F44AB"/>
    <w:rsid w:val="009F493C"/>
    <w:rsid w:val="009F5F3B"/>
    <w:rsid w:val="009F66AB"/>
    <w:rsid w:val="009F7398"/>
    <w:rsid w:val="009F796D"/>
    <w:rsid w:val="00A00655"/>
    <w:rsid w:val="00A009B9"/>
    <w:rsid w:val="00A00B9F"/>
    <w:rsid w:val="00A01161"/>
    <w:rsid w:val="00A01AB2"/>
    <w:rsid w:val="00A01B02"/>
    <w:rsid w:val="00A01D40"/>
    <w:rsid w:val="00A02095"/>
    <w:rsid w:val="00A02D04"/>
    <w:rsid w:val="00A03F82"/>
    <w:rsid w:val="00A0557C"/>
    <w:rsid w:val="00A05825"/>
    <w:rsid w:val="00A06D9D"/>
    <w:rsid w:val="00A074E3"/>
    <w:rsid w:val="00A07B78"/>
    <w:rsid w:val="00A07EB0"/>
    <w:rsid w:val="00A10FC0"/>
    <w:rsid w:val="00A11309"/>
    <w:rsid w:val="00A11497"/>
    <w:rsid w:val="00A12546"/>
    <w:rsid w:val="00A12D57"/>
    <w:rsid w:val="00A134D7"/>
    <w:rsid w:val="00A143E0"/>
    <w:rsid w:val="00A14970"/>
    <w:rsid w:val="00A1543B"/>
    <w:rsid w:val="00A15937"/>
    <w:rsid w:val="00A16C7C"/>
    <w:rsid w:val="00A17405"/>
    <w:rsid w:val="00A17976"/>
    <w:rsid w:val="00A17D9A"/>
    <w:rsid w:val="00A204E9"/>
    <w:rsid w:val="00A212DF"/>
    <w:rsid w:val="00A21ADF"/>
    <w:rsid w:val="00A2285C"/>
    <w:rsid w:val="00A23373"/>
    <w:rsid w:val="00A23E60"/>
    <w:rsid w:val="00A2444D"/>
    <w:rsid w:val="00A24707"/>
    <w:rsid w:val="00A2498A"/>
    <w:rsid w:val="00A24A4E"/>
    <w:rsid w:val="00A24F3A"/>
    <w:rsid w:val="00A24FFA"/>
    <w:rsid w:val="00A2522D"/>
    <w:rsid w:val="00A25247"/>
    <w:rsid w:val="00A254F4"/>
    <w:rsid w:val="00A2574E"/>
    <w:rsid w:val="00A25D39"/>
    <w:rsid w:val="00A25DD4"/>
    <w:rsid w:val="00A25E51"/>
    <w:rsid w:val="00A260AE"/>
    <w:rsid w:val="00A26178"/>
    <w:rsid w:val="00A26BC6"/>
    <w:rsid w:val="00A270C7"/>
    <w:rsid w:val="00A27A44"/>
    <w:rsid w:val="00A307BC"/>
    <w:rsid w:val="00A30F9E"/>
    <w:rsid w:val="00A33124"/>
    <w:rsid w:val="00A3365B"/>
    <w:rsid w:val="00A33A01"/>
    <w:rsid w:val="00A34575"/>
    <w:rsid w:val="00A34BA6"/>
    <w:rsid w:val="00A34C9A"/>
    <w:rsid w:val="00A355FE"/>
    <w:rsid w:val="00A358D9"/>
    <w:rsid w:val="00A35FA6"/>
    <w:rsid w:val="00A363BD"/>
    <w:rsid w:val="00A36885"/>
    <w:rsid w:val="00A36D4C"/>
    <w:rsid w:val="00A37088"/>
    <w:rsid w:val="00A402AD"/>
    <w:rsid w:val="00A404F5"/>
    <w:rsid w:val="00A40705"/>
    <w:rsid w:val="00A40A9F"/>
    <w:rsid w:val="00A40C21"/>
    <w:rsid w:val="00A40EB9"/>
    <w:rsid w:val="00A4108F"/>
    <w:rsid w:val="00A41353"/>
    <w:rsid w:val="00A42728"/>
    <w:rsid w:val="00A429C5"/>
    <w:rsid w:val="00A43974"/>
    <w:rsid w:val="00A43FA5"/>
    <w:rsid w:val="00A440CF"/>
    <w:rsid w:val="00A44AB6"/>
    <w:rsid w:val="00A45302"/>
    <w:rsid w:val="00A45C2D"/>
    <w:rsid w:val="00A45FCD"/>
    <w:rsid w:val="00A46161"/>
    <w:rsid w:val="00A4650A"/>
    <w:rsid w:val="00A46B96"/>
    <w:rsid w:val="00A47EC9"/>
    <w:rsid w:val="00A5029A"/>
    <w:rsid w:val="00A506B1"/>
    <w:rsid w:val="00A50BEB"/>
    <w:rsid w:val="00A522CD"/>
    <w:rsid w:val="00A5234A"/>
    <w:rsid w:val="00A52A6D"/>
    <w:rsid w:val="00A52EA0"/>
    <w:rsid w:val="00A5305A"/>
    <w:rsid w:val="00A53BBC"/>
    <w:rsid w:val="00A53BD9"/>
    <w:rsid w:val="00A541A2"/>
    <w:rsid w:val="00A54D1A"/>
    <w:rsid w:val="00A5508D"/>
    <w:rsid w:val="00A553D7"/>
    <w:rsid w:val="00A556A4"/>
    <w:rsid w:val="00A55F3F"/>
    <w:rsid w:val="00A56976"/>
    <w:rsid w:val="00A56B66"/>
    <w:rsid w:val="00A56DF8"/>
    <w:rsid w:val="00A57155"/>
    <w:rsid w:val="00A572BB"/>
    <w:rsid w:val="00A5751A"/>
    <w:rsid w:val="00A57DE8"/>
    <w:rsid w:val="00A606CB"/>
    <w:rsid w:val="00A61C2B"/>
    <w:rsid w:val="00A63037"/>
    <w:rsid w:val="00A636CA"/>
    <w:rsid w:val="00A637F0"/>
    <w:rsid w:val="00A64524"/>
    <w:rsid w:val="00A64A77"/>
    <w:rsid w:val="00A65532"/>
    <w:rsid w:val="00A656EA"/>
    <w:rsid w:val="00A65B8E"/>
    <w:rsid w:val="00A66531"/>
    <w:rsid w:val="00A6682B"/>
    <w:rsid w:val="00A66E7E"/>
    <w:rsid w:val="00A6788F"/>
    <w:rsid w:val="00A67911"/>
    <w:rsid w:val="00A67D8E"/>
    <w:rsid w:val="00A704D0"/>
    <w:rsid w:val="00A70642"/>
    <w:rsid w:val="00A70688"/>
    <w:rsid w:val="00A7074F"/>
    <w:rsid w:val="00A70DE0"/>
    <w:rsid w:val="00A71F39"/>
    <w:rsid w:val="00A71FF7"/>
    <w:rsid w:val="00A7237E"/>
    <w:rsid w:val="00A72B74"/>
    <w:rsid w:val="00A7314A"/>
    <w:rsid w:val="00A732AB"/>
    <w:rsid w:val="00A73F7D"/>
    <w:rsid w:val="00A74C19"/>
    <w:rsid w:val="00A7651F"/>
    <w:rsid w:val="00A766D1"/>
    <w:rsid w:val="00A76817"/>
    <w:rsid w:val="00A76A63"/>
    <w:rsid w:val="00A76A77"/>
    <w:rsid w:val="00A7709C"/>
    <w:rsid w:val="00A80438"/>
    <w:rsid w:val="00A80D87"/>
    <w:rsid w:val="00A81A59"/>
    <w:rsid w:val="00A82506"/>
    <w:rsid w:val="00A829E2"/>
    <w:rsid w:val="00A8364F"/>
    <w:rsid w:val="00A8371B"/>
    <w:rsid w:val="00A83809"/>
    <w:rsid w:val="00A83CA3"/>
    <w:rsid w:val="00A83F36"/>
    <w:rsid w:val="00A83FFC"/>
    <w:rsid w:val="00A842CD"/>
    <w:rsid w:val="00A845C3"/>
    <w:rsid w:val="00A84CF4"/>
    <w:rsid w:val="00A84F25"/>
    <w:rsid w:val="00A85646"/>
    <w:rsid w:val="00A85A19"/>
    <w:rsid w:val="00A85BCB"/>
    <w:rsid w:val="00A866BE"/>
    <w:rsid w:val="00A86A21"/>
    <w:rsid w:val="00A86CD5"/>
    <w:rsid w:val="00A872D3"/>
    <w:rsid w:val="00A9033D"/>
    <w:rsid w:val="00A90353"/>
    <w:rsid w:val="00A917C7"/>
    <w:rsid w:val="00A91B1B"/>
    <w:rsid w:val="00A9301C"/>
    <w:rsid w:val="00A93167"/>
    <w:rsid w:val="00A931FD"/>
    <w:rsid w:val="00A93673"/>
    <w:rsid w:val="00A9381C"/>
    <w:rsid w:val="00A940D5"/>
    <w:rsid w:val="00A9428B"/>
    <w:rsid w:val="00A94326"/>
    <w:rsid w:val="00A9479F"/>
    <w:rsid w:val="00A94F82"/>
    <w:rsid w:val="00A95D33"/>
    <w:rsid w:val="00A973DF"/>
    <w:rsid w:val="00A97C2C"/>
    <w:rsid w:val="00A97E88"/>
    <w:rsid w:val="00AA042C"/>
    <w:rsid w:val="00AA057D"/>
    <w:rsid w:val="00AA09AA"/>
    <w:rsid w:val="00AA1024"/>
    <w:rsid w:val="00AA2109"/>
    <w:rsid w:val="00AA2681"/>
    <w:rsid w:val="00AA2777"/>
    <w:rsid w:val="00AA283D"/>
    <w:rsid w:val="00AA2ECB"/>
    <w:rsid w:val="00AA3118"/>
    <w:rsid w:val="00AA31C5"/>
    <w:rsid w:val="00AA324E"/>
    <w:rsid w:val="00AA38AE"/>
    <w:rsid w:val="00AA4123"/>
    <w:rsid w:val="00AA4A19"/>
    <w:rsid w:val="00AA4AA3"/>
    <w:rsid w:val="00AA5514"/>
    <w:rsid w:val="00AA62D3"/>
    <w:rsid w:val="00AA6378"/>
    <w:rsid w:val="00AA63F7"/>
    <w:rsid w:val="00AA6462"/>
    <w:rsid w:val="00AA78A0"/>
    <w:rsid w:val="00AA7B33"/>
    <w:rsid w:val="00AA7DCB"/>
    <w:rsid w:val="00AB0AEA"/>
    <w:rsid w:val="00AB13F0"/>
    <w:rsid w:val="00AB218F"/>
    <w:rsid w:val="00AB2244"/>
    <w:rsid w:val="00AB240F"/>
    <w:rsid w:val="00AB27F2"/>
    <w:rsid w:val="00AB36AC"/>
    <w:rsid w:val="00AB36CF"/>
    <w:rsid w:val="00AB4D3C"/>
    <w:rsid w:val="00AB4FFA"/>
    <w:rsid w:val="00AB51FD"/>
    <w:rsid w:val="00AB534D"/>
    <w:rsid w:val="00AB57DF"/>
    <w:rsid w:val="00AB58BE"/>
    <w:rsid w:val="00AB6517"/>
    <w:rsid w:val="00AB67C9"/>
    <w:rsid w:val="00AB7451"/>
    <w:rsid w:val="00AB7EC1"/>
    <w:rsid w:val="00AC0022"/>
    <w:rsid w:val="00AC0167"/>
    <w:rsid w:val="00AC03EB"/>
    <w:rsid w:val="00AC07D5"/>
    <w:rsid w:val="00AC0A4B"/>
    <w:rsid w:val="00AC100D"/>
    <w:rsid w:val="00AC137C"/>
    <w:rsid w:val="00AC1678"/>
    <w:rsid w:val="00AC19EF"/>
    <w:rsid w:val="00AC1A22"/>
    <w:rsid w:val="00AC24A1"/>
    <w:rsid w:val="00AC35F5"/>
    <w:rsid w:val="00AC36A1"/>
    <w:rsid w:val="00AC375E"/>
    <w:rsid w:val="00AC3873"/>
    <w:rsid w:val="00AC39CC"/>
    <w:rsid w:val="00AC3CDC"/>
    <w:rsid w:val="00AC40A3"/>
    <w:rsid w:val="00AC471B"/>
    <w:rsid w:val="00AC4722"/>
    <w:rsid w:val="00AC49E4"/>
    <w:rsid w:val="00AC4B0C"/>
    <w:rsid w:val="00AC5BE4"/>
    <w:rsid w:val="00AC6C51"/>
    <w:rsid w:val="00AC6CF5"/>
    <w:rsid w:val="00AC6F5D"/>
    <w:rsid w:val="00AC767F"/>
    <w:rsid w:val="00AC77FA"/>
    <w:rsid w:val="00AC7804"/>
    <w:rsid w:val="00AC7FF1"/>
    <w:rsid w:val="00AD03A1"/>
    <w:rsid w:val="00AD04C5"/>
    <w:rsid w:val="00AD0AC8"/>
    <w:rsid w:val="00AD1184"/>
    <w:rsid w:val="00AD235A"/>
    <w:rsid w:val="00AD2A57"/>
    <w:rsid w:val="00AD2AF6"/>
    <w:rsid w:val="00AD36BD"/>
    <w:rsid w:val="00AD3847"/>
    <w:rsid w:val="00AD3AA9"/>
    <w:rsid w:val="00AD3E7B"/>
    <w:rsid w:val="00AD40F2"/>
    <w:rsid w:val="00AD469C"/>
    <w:rsid w:val="00AD49CA"/>
    <w:rsid w:val="00AD4E19"/>
    <w:rsid w:val="00AD5139"/>
    <w:rsid w:val="00AD5210"/>
    <w:rsid w:val="00AD5C9B"/>
    <w:rsid w:val="00AD6783"/>
    <w:rsid w:val="00AD67FF"/>
    <w:rsid w:val="00AD7301"/>
    <w:rsid w:val="00AD7304"/>
    <w:rsid w:val="00AD757D"/>
    <w:rsid w:val="00AE0766"/>
    <w:rsid w:val="00AE155E"/>
    <w:rsid w:val="00AE18DD"/>
    <w:rsid w:val="00AE2843"/>
    <w:rsid w:val="00AE2ADB"/>
    <w:rsid w:val="00AE30D2"/>
    <w:rsid w:val="00AE3E67"/>
    <w:rsid w:val="00AE41CF"/>
    <w:rsid w:val="00AE4638"/>
    <w:rsid w:val="00AE4C08"/>
    <w:rsid w:val="00AE50CE"/>
    <w:rsid w:val="00AE54FD"/>
    <w:rsid w:val="00AE59EE"/>
    <w:rsid w:val="00AE7659"/>
    <w:rsid w:val="00AE7683"/>
    <w:rsid w:val="00AE7A63"/>
    <w:rsid w:val="00AF0023"/>
    <w:rsid w:val="00AF0211"/>
    <w:rsid w:val="00AF13F4"/>
    <w:rsid w:val="00AF190A"/>
    <w:rsid w:val="00AF1F83"/>
    <w:rsid w:val="00AF21A1"/>
    <w:rsid w:val="00AF2304"/>
    <w:rsid w:val="00AF2CE2"/>
    <w:rsid w:val="00AF2F8D"/>
    <w:rsid w:val="00AF304F"/>
    <w:rsid w:val="00AF330C"/>
    <w:rsid w:val="00AF35AB"/>
    <w:rsid w:val="00AF4175"/>
    <w:rsid w:val="00AF506E"/>
    <w:rsid w:val="00AF5957"/>
    <w:rsid w:val="00AF5ADC"/>
    <w:rsid w:val="00AF5D1D"/>
    <w:rsid w:val="00AF5E2B"/>
    <w:rsid w:val="00AF5EA6"/>
    <w:rsid w:val="00AF61D9"/>
    <w:rsid w:val="00AF62E3"/>
    <w:rsid w:val="00AF65E0"/>
    <w:rsid w:val="00AF67B1"/>
    <w:rsid w:val="00AF6BF2"/>
    <w:rsid w:val="00AF738A"/>
    <w:rsid w:val="00AF7460"/>
    <w:rsid w:val="00AF769D"/>
    <w:rsid w:val="00AF7CAC"/>
    <w:rsid w:val="00AF7F53"/>
    <w:rsid w:val="00B0002F"/>
    <w:rsid w:val="00B001A1"/>
    <w:rsid w:val="00B00761"/>
    <w:rsid w:val="00B018FB"/>
    <w:rsid w:val="00B01974"/>
    <w:rsid w:val="00B02EDD"/>
    <w:rsid w:val="00B02F2F"/>
    <w:rsid w:val="00B03180"/>
    <w:rsid w:val="00B03F13"/>
    <w:rsid w:val="00B0452D"/>
    <w:rsid w:val="00B0457F"/>
    <w:rsid w:val="00B045D0"/>
    <w:rsid w:val="00B04C0B"/>
    <w:rsid w:val="00B04EB3"/>
    <w:rsid w:val="00B04F43"/>
    <w:rsid w:val="00B0691E"/>
    <w:rsid w:val="00B07932"/>
    <w:rsid w:val="00B07BE4"/>
    <w:rsid w:val="00B10270"/>
    <w:rsid w:val="00B10A10"/>
    <w:rsid w:val="00B10FC0"/>
    <w:rsid w:val="00B1152F"/>
    <w:rsid w:val="00B11C0E"/>
    <w:rsid w:val="00B11E00"/>
    <w:rsid w:val="00B11E4B"/>
    <w:rsid w:val="00B11F1E"/>
    <w:rsid w:val="00B12CD6"/>
    <w:rsid w:val="00B12DA5"/>
    <w:rsid w:val="00B12F61"/>
    <w:rsid w:val="00B136F0"/>
    <w:rsid w:val="00B1386D"/>
    <w:rsid w:val="00B14C7F"/>
    <w:rsid w:val="00B15035"/>
    <w:rsid w:val="00B15235"/>
    <w:rsid w:val="00B1594A"/>
    <w:rsid w:val="00B159B5"/>
    <w:rsid w:val="00B15A66"/>
    <w:rsid w:val="00B15B5D"/>
    <w:rsid w:val="00B15D8C"/>
    <w:rsid w:val="00B1610F"/>
    <w:rsid w:val="00B16AF4"/>
    <w:rsid w:val="00B17193"/>
    <w:rsid w:val="00B17B29"/>
    <w:rsid w:val="00B17EE6"/>
    <w:rsid w:val="00B20414"/>
    <w:rsid w:val="00B206AA"/>
    <w:rsid w:val="00B215D3"/>
    <w:rsid w:val="00B22036"/>
    <w:rsid w:val="00B226B7"/>
    <w:rsid w:val="00B22C8B"/>
    <w:rsid w:val="00B2356C"/>
    <w:rsid w:val="00B2361A"/>
    <w:rsid w:val="00B23B13"/>
    <w:rsid w:val="00B23EC4"/>
    <w:rsid w:val="00B24057"/>
    <w:rsid w:val="00B247D6"/>
    <w:rsid w:val="00B247E1"/>
    <w:rsid w:val="00B25714"/>
    <w:rsid w:val="00B25C6E"/>
    <w:rsid w:val="00B261C7"/>
    <w:rsid w:val="00B261EF"/>
    <w:rsid w:val="00B26337"/>
    <w:rsid w:val="00B27482"/>
    <w:rsid w:val="00B27A07"/>
    <w:rsid w:val="00B27CEA"/>
    <w:rsid w:val="00B3055A"/>
    <w:rsid w:val="00B30F0A"/>
    <w:rsid w:val="00B311DF"/>
    <w:rsid w:val="00B32170"/>
    <w:rsid w:val="00B3281B"/>
    <w:rsid w:val="00B32872"/>
    <w:rsid w:val="00B33B23"/>
    <w:rsid w:val="00B3400E"/>
    <w:rsid w:val="00B34306"/>
    <w:rsid w:val="00B344B9"/>
    <w:rsid w:val="00B3484F"/>
    <w:rsid w:val="00B3494A"/>
    <w:rsid w:val="00B34C0F"/>
    <w:rsid w:val="00B34C33"/>
    <w:rsid w:val="00B34F6D"/>
    <w:rsid w:val="00B35477"/>
    <w:rsid w:val="00B35C19"/>
    <w:rsid w:val="00B3605F"/>
    <w:rsid w:val="00B364DF"/>
    <w:rsid w:val="00B36DD5"/>
    <w:rsid w:val="00B37405"/>
    <w:rsid w:val="00B375C1"/>
    <w:rsid w:val="00B41A1E"/>
    <w:rsid w:val="00B41D72"/>
    <w:rsid w:val="00B42460"/>
    <w:rsid w:val="00B43054"/>
    <w:rsid w:val="00B43926"/>
    <w:rsid w:val="00B43A10"/>
    <w:rsid w:val="00B43AA5"/>
    <w:rsid w:val="00B43AFB"/>
    <w:rsid w:val="00B442B6"/>
    <w:rsid w:val="00B4436C"/>
    <w:rsid w:val="00B444B7"/>
    <w:rsid w:val="00B44B07"/>
    <w:rsid w:val="00B452C6"/>
    <w:rsid w:val="00B454F5"/>
    <w:rsid w:val="00B4553B"/>
    <w:rsid w:val="00B457B1"/>
    <w:rsid w:val="00B45DE1"/>
    <w:rsid w:val="00B45EF8"/>
    <w:rsid w:val="00B464DC"/>
    <w:rsid w:val="00B4680F"/>
    <w:rsid w:val="00B46E5C"/>
    <w:rsid w:val="00B470D6"/>
    <w:rsid w:val="00B475DE"/>
    <w:rsid w:val="00B47C08"/>
    <w:rsid w:val="00B47E7F"/>
    <w:rsid w:val="00B50CEA"/>
    <w:rsid w:val="00B51418"/>
    <w:rsid w:val="00B51DBA"/>
    <w:rsid w:val="00B51E14"/>
    <w:rsid w:val="00B5201B"/>
    <w:rsid w:val="00B52C76"/>
    <w:rsid w:val="00B52C9C"/>
    <w:rsid w:val="00B52D90"/>
    <w:rsid w:val="00B531E8"/>
    <w:rsid w:val="00B533A1"/>
    <w:rsid w:val="00B5344E"/>
    <w:rsid w:val="00B53548"/>
    <w:rsid w:val="00B53822"/>
    <w:rsid w:val="00B53958"/>
    <w:rsid w:val="00B53E00"/>
    <w:rsid w:val="00B53F09"/>
    <w:rsid w:val="00B542E0"/>
    <w:rsid w:val="00B54525"/>
    <w:rsid w:val="00B54572"/>
    <w:rsid w:val="00B54ECA"/>
    <w:rsid w:val="00B55D43"/>
    <w:rsid w:val="00B55F11"/>
    <w:rsid w:val="00B56A15"/>
    <w:rsid w:val="00B56BB8"/>
    <w:rsid w:val="00B570D9"/>
    <w:rsid w:val="00B5718C"/>
    <w:rsid w:val="00B575C3"/>
    <w:rsid w:val="00B60E1B"/>
    <w:rsid w:val="00B61638"/>
    <w:rsid w:val="00B61CDE"/>
    <w:rsid w:val="00B61F76"/>
    <w:rsid w:val="00B62278"/>
    <w:rsid w:val="00B62E43"/>
    <w:rsid w:val="00B63DBF"/>
    <w:rsid w:val="00B63E5A"/>
    <w:rsid w:val="00B641ED"/>
    <w:rsid w:val="00B64394"/>
    <w:rsid w:val="00B647FE"/>
    <w:rsid w:val="00B64846"/>
    <w:rsid w:val="00B64E18"/>
    <w:rsid w:val="00B66910"/>
    <w:rsid w:val="00B669D2"/>
    <w:rsid w:val="00B6705F"/>
    <w:rsid w:val="00B6757F"/>
    <w:rsid w:val="00B678B5"/>
    <w:rsid w:val="00B67BA8"/>
    <w:rsid w:val="00B67FDD"/>
    <w:rsid w:val="00B716D5"/>
    <w:rsid w:val="00B71834"/>
    <w:rsid w:val="00B71971"/>
    <w:rsid w:val="00B71D31"/>
    <w:rsid w:val="00B720A6"/>
    <w:rsid w:val="00B72DEB"/>
    <w:rsid w:val="00B73667"/>
    <w:rsid w:val="00B73902"/>
    <w:rsid w:val="00B73945"/>
    <w:rsid w:val="00B73D5E"/>
    <w:rsid w:val="00B740C1"/>
    <w:rsid w:val="00B74469"/>
    <w:rsid w:val="00B74986"/>
    <w:rsid w:val="00B74C72"/>
    <w:rsid w:val="00B74FDB"/>
    <w:rsid w:val="00B75D52"/>
    <w:rsid w:val="00B769CB"/>
    <w:rsid w:val="00B76CAD"/>
    <w:rsid w:val="00B77A0A"/>
    <w:rsid w:val="00B77A3D"/>
    <w:rsid w:val="00B802F4"/>
    <w:rsid w:val="00B80B21"/>
    <w:rsid w:val="00B816A3"/>
    <w:rsid w:val="00B819FE"/>
    <w:rsid w:val="00B81BC6"/>
    <w:rsid w:val="00B8205F"/>
    <w:rsid w:val="00B821F6"/>
    <w:rsid w:val="00B82C8E"/>
    <w:rsid w:val="00B83563"/>
    <w:rsid w:val="00B835B2"/>
    <w:rsid w:val="00B835D6"/>
    <w:rsid w:val="00B83C45"/>
    <w:rsid w:val="00B83D83"/>
    <w:rsid w:val="00B83F07"/>
    <w:rsid w:val="00B841BC"/>
    <w:rsid w:val="00B843DC"/>
    <w:rsid w:val="00B84791"/>
    <w:rsid w:val="00B84974"/>
    <w:rsid w:val="00B84A25"/>
    <w:rsid w:val="00B8516A"/>
    <w:rsid w:val="00B85311"/>
    <w:rsid w:val="00B85389"/>
    <w:rsid w:val="00B85666"/>
    <w:rsid w:val="00B8592A"/>
    <w:rsid w:val="00B85B3F"/>
    <w:rsid w:val="00B86C6F"/>
    <w:rsid w:val="00B86FF7"/>
    <w:rsid w:val="00B87353"/>
    <w:rsid w:val="00B87C32"/>
    <w:rsid w:val="00B87CB8"/>
    <w:rsid w:val="00B90439"/>
    <w:rsid w:val="00B90502"/>
    <w:rsid w:val="00B90600"/>
    <w:rsid w:val="00B90C5C"/>
    <w:rsid w:val="00B911D4"/>
    <w:rsid w:val="00B91783"/>
    <w:rsid w:val="00B929BB"/>
    <w:rsid w:val="00B92DED"/>
    <w:rsid w:val="00B93D85"/>
    <w:rsid w:val="00B9457F"/>
    <w:rsid w:val="00B94628"/>
    <w:rsid w:val="00B9468D"/>
    <w:rsid w:val="00B952DB"/>
    <w:rsid w:val="00B9555B"/>
    <w:rsid w:val="00B96293"/>
    <w:rsid w:val="00B967BF"/>
    <w:rsid w:val="00B96B52"/>
    <w:rsid w:val="00B96E69"/>
    <w:rsid w:val="00B96F06"/>
    <w:rsid w:val="00B972F1"/>
    <w:rsid w:val="00B9766C"/>
    <w:rsid w:val="00B977A3"/>
    <w:rsid w:val="00B97ADF"/>
    <w:rsid w:val="00B97C8F"/>
    <w:rsid w:val="00B97E49"/>
    <w:rsid w:val="00BA0119"/>
    <w:rsid w:val="00BA0924"/>
    <w:rsid w:val="00BA0A00"/>
    <w:rsid w:val="00BA171D"/>
    <w:rsid w:val="00BA183D"/>
    <w:rsid w:val="00BA19F2"/>
    <w:rsid w:val="00BA1BF6"/>
    <w:rsid w:val="00BA2139"/>
    <w:rsid w:val="00BA225E"/>
    <w:rsid w:val="00BA2365"/>
    <w:rsid w:val="00BA2B01"/>
    <w:rsid w:val="00BA2F37"/>
    <w:rsid w:val="00BA37FF"/>
    <w:rsid w:val="00BA3B54"/>
    <w:rsid w:val="00BA4CD8"/>
    <w:rsid w:val="00BA4E99"/>
    <w:rsid w:val="00BA5901"/>
    <w:rsid w:val="00BA5AC8"/>
    <w:rsid w:val="00BA6684"/>
    <w:rsid w:val="00BA68B2"/>
    <w:rsid w:val="00BA6FCE"/>
    <w:rsid w:val="00BA7082"/>
    <w:rsid w:val="00BA745C"/>
    <w:rsid w:val="00BA7DB0"/>
    <w:rsid w:val="00BB0305"/>
    <w:rsid w:val="00BB0D88"/>
    <w:rsid w:val="00BB121B"/>
    <w:rsid w:val="00BB1856"/>
    <w:rsid w:val="00BB1C6D"/>
    <w:rsid w:val="00BB2348"/>
    <w:rsid w:val="00BB2424"/>
    <w:rsid w:val="00BB2615"/>
    <w:rsid w:val="00BB2CAE"/>
    <w:rsid w:val="00BB2DE0"/>
    <w:rsid w:val="00BB30CB"/>
    <w:rsid w:val="00BB3E09"/>
    <w:rsid w:val="00BB3E6E"/>
    <w:rsid w:val="00BB3ECD"/>
    <w:rsid w:val="00BB3EEA"/>
    <w:rsid w:val="00BB3FCE"/>
    <w:rsid w:val="00BB498F"/>
    <w:rsid w:val="00BB516E"/>
    <w:rsid w:val="00BB52AF"/>
    <w:rsid w:val="00BB75F9"/>
    <w:rsid w:val="00BB7622"/>
    <w:rsid w:val="00BB783C"/>
    <w:rsid w:val="00BB7C5B"/>
    <w:rsid w:val="00BB7D04"/>
    <w:rsid w:val="00BC07AE"/>
    <w:rsid w:val="00BC0C8F"/>
    <w:rsid w:val="00BC1141"/>
    <w:rsid w:val="00BC2B25"/>
    <w:rsid w:val="00BC3903"/>
    <w:rsid w:val="00BC3D74"/>
    <w:rsid w:val="00BC458D"/>
    <w:rsid w:val="00BC4EE0"/>
    <w:rsid w:val="00BC5823"/>
    <w:rsid w:val="00BC5A50"/>
    <w:rsid w:val="00BC5C1A"/>
    <w:rsid w:val="00BC5D19"/>
    <w:rsid w:val="00BC5D7F"/>
    <w:rsid w:val="00BC66E6"/>
    <w:rsid w:val="00BC68BE"/>
    <w:rsid w:val="00BC6A9C"/>
    <w:rsid w:val="00BC6BDF"/>
    <w:rsid w:val="00BC75AB"/>
    <w:rsid w:val="00BC7849"/>
    <w:rsid w:val="00BC7F1B"/>
    <w:rsid w:val="00BD028E"/>
    <w:rsid w:val="00BD03E2"/>
    <w:rsid w:val="00BD0572"/>
    <w:rsid w:val="00BD0E89"/>
    <w:rsid w:val="00BD11F8"/>
    <w:rsid w:val="00BD12E0"/>
    <w:rsid w:val="00BD1C4D"/>
    <w:rsid w:val="00BD1CB1"/>
    <w:rsid w:val="00BD266B"/>
    <w:rsid w:val="00BD2A8E"/>
    <w:rsid w:val="00BD3046"/>
    <w:rsid w:val="00BD3290"/>
    <w:rsid w:val="00BD32B4"/>
    <w:rsid w:val="00BD3882"/>
    <w:rsid w:val="00BD38B1"/>
    <w:rsid w:val="00BD3F13"/>
    <w:rsid w:val="00BD3F46"/>
    <w:rsid w:val="00BD4588"/>
    <w:rsid w:val="00BD46BF"/>
    <w:rsid w:val="00BD4861"/>
    <w:rsid w:val="00BD4AEE"/>
    <w:rsid w:val="00BD4ECA"/>
    <w:rsid w:val="00BD5163"/>
    <w:rsid w:val="00BD5B6D"/>
    <w:rsid w:val="00BD5BF5"/>
    <w:rsid w:val="00BD5BFB"/>
    <w:rsid w:val="00BD61DD"/>
    <w:rsid w:val="00BD655F"/>
    <w:rsid w:val="00BD682E"/>
    <w:rsid w:val="00BD6847"/>
    <w:rsid w:val="00BD6CC6"/>
    <w:rsid w:val="00BD6D32"/>
    <w:rsid w:val="00BD734C"/>
    <w:rsid w:val="00BD7583"/>
    <w:rsid w:val="00BD7A91"/>
    <w:rsid w:val="00BE04FA"/>
    <w:rsid w:val="00BE05E6"/>
    <w:rsid w:val="00BE09CA"/>
    <w:rsid w:val="00BE0F6A"/>
    <w:rsid w:val="00BE1A86"/>
    <w:rsid w:val="00BE1DA2"/>
    <w:rsid w:val="00BE1F09"/>
    <w:rsid w:val="00BE2375"/>
    <w:rsid w:val="00BE27EA"/>
    <w:rsid w:val="00BE2921"/>
    <w:rsid w:val="00BE2AC4"/>
    <w:rsid w:val="00BE3590"/>
    <w:rsid w:val="00BE3A8C"/>
    <w:rsid w:val="00BE4676"/>
    <w:rsid w:val="00BE4C1D"/>
    <w:rsid w:val="00BE50B9"/>
    <w:rsid w:val="00BE557D"/>
    <w:rsid w:val="00BE5A5D"/>
    <w:rsid w:val="00BE66F3"/>
    <w:rsid w:val="00BE7C77"/>
    <w:rsid w:val="00BE7D23"/>
    <w:rsid w:val="00BE7ED7"/>
    <w:rsid w:val="00BF013A"/>
    <w:rsid w:val="00BF0204"/>
    <w:rsid w:val="00BF0463"/>
    <w:rsid w:val="00BF0ADC"/>
    <w:rsid w:val="00BF1062"/>
    <w:rsid w:val="00BF17F1"/>
    <w:rsid w:val="00BF1FED"/>
    <w:rsid w:val="00BF22AB"/>
    <w:rsid w:val="00BF238C"/>
    <w:rsid w:val="00BF2576"/>
    <w:rsid w:val="00BF2741"/>
    <w:rsid w:val="00BF5043"/>
    <w:rsid w:val="00BF633A"/>
    <w:rsid w:val="00BF65D1"/>
    <w:rsid w:val="00BF6B95"/>
    <w:rsid w:val="00BF6C5E"/>
    <w:rsid w:val="00BF6C6B"/>
    <w:rsid w:val="00BF75EE"/>
    <w:rsid w:val="00C003D3"/>
    <w:rsid w:val="00C00499"/>
    <w:rsid w:val="00C009C0"/>
    <w:rsid w:val="00C012FF"/>
    <w:rsid w:val="00C01A2B"/>
    <w:rsid w:val="00C02C52"/>
    <w:rsid w:val="00C030B8"/>
    <w:rsid w:val="00C044E8"/>
    <w:rsid w:val="00C0492F"/>
    <w:rsid w:val="00C05295"/>
    <w:rsid w:val="00C058F1"/>
    <w:rsid w:val="00C06262"/>
    <w:rsid w:val="00C06F05"/>
    <w:rsid w:val="00C10C72"/>
    <w:rsid w:val="00C1268E"/>
    <w:rsid w:val="00C127EF"/>
    <w:rsid w:val="00C12E27"/>
    <w:rsid w:val="00C12F28"/>
    <w:rsid w:val="00C139B4"/>
    <w:rsid w:val="00C141EB"/>
    <w:rsid w:val="00C14283"/>
    <w:rsid w:val="00C148CB"/>
    <w:rsid w:val="00C149AA"/>
    <w:rsid w:val="00C14A98"/>
    <w:rsid w:val="00C14B3C"/>
    <w:rsid w:val="00C14BEB"/>
    <w:rsid w:val="00C14C52"/>
    <w:rsid w:val="00C1506B"/>
    <w:rsid w:val="00C154E3"/>
    <w:rsid w:val="00C155E3"/>
    <w:rsid w:val="00C15B33"/>
    <w:rsid w:val="00C15E74"/>
    <w:rsid w:val="00C1629C"/>
    <w:rsid w:val="00C164A6"/>
    <w:rsid w:val="00C16CE0"/>
    <w:rsid w:val="00C20FB3"/>
    <w:rsid w:val="00C2115B"/>
    <w:rsid w:val="00C2161D"/>
    <w:rsid w:val="00C21D19"/>
    <w:rsid w:val="00C21E8A"/>
    <w:rsid w:val="00C22A14"/>
    <w:rsid w:val="00C234CA"/>
    <w:rsid w:val="00C238E3"/>
    <w:rsid w:val="00C25014"/>
    <w:rsid w:val="00C250F9"/>
    <w:rsid w:val="00C252C8"/>
    <w:rsid w:val="00C254A8"/>
    <w:rsid w:val="00C254E4"/>
    <w:rsid w:val="00C255A4"/>
    <w:rsid w:val="00C25C57"/>
    <w:rsid w:val="00C25F03"/>
    <w:rsid w:val="00C2608E"/>
    <w:rsid w:val="00C266CA"/>
    <w:rsid w:val="00C26BCA"/>
    <w:rsid w:val="00C2724F"/>
    <w:rsid w:val="00C27AB6"/>
    <w:rsid w:val="00C27FA5"/>
    <w:rsid w:val="00C27FF4"/>
    <w:rsid w:val="00C303C5"/>
    <w:rsid w:val="00C30763"/>
    <w:rsid w:val="00C30982"/>
    <w:rsid w:val="00C30A12"/>
    <w:rsid w:val="00C315C8"/>
    <w:rsid w:val="00C317C2"/>
    <w:rsid w:val="00C31B2A"/>
    <w:rsid w:val="00C31EB3"/>
    <w:rsid w:val="00C32107"/>
    <w:rsid w:val="00C323A6"/>
    <w:rsid w:val="00C3246A"/>
    <w:rsid w:val="00C32DBE"/>
    <w:rsid w:val="00C33654"/>
    <w:rsid w:val="00C34A0F"/>
    <w:rsid w:val="00C35237"/>
    <w:rsid w:val="00C36A1F"/>
    <w:rsid w:val="00C36E57"/>
    <w:rsid w:val="00C37CFD"/>
    <w:rsid w:val="00C37F4B"/>
    <w:rsid w:val="00C407F5"/>
    <w:rsid w:val="00C412A9"/>
    <w:rsid w:val="00C41326"/>
    <w:rsid w:val="00C4138B"/>
    <w:rsid w:val="00C4199A"/>
    <w:rsid w:val="00C41AE5"/>
    <w:rsid w:val="00C41B03"/>
    <w:rsid w:val="00C41BDB"/>
    <w:rsid w:val="00C41D52"/>
    <w:rsid w:val="00C4267B"/>
    <w:rsid w:val="00C427B2"/>
    <w:rsid w:val="00C42808"/>
    <w:rsid w:val="00C42B15"/>
    <w:rsid w:val="00C42F2A"/>
    <w:rsid w:val="00C430D4"/>
    <w:rsid w:val="00C442F9"/>
    <w:rsid w:val="00C4431E"/>
    <w:rsid w:val="00C458EA"/>
    <w:rsid w:val="00C45B14"/>
    <w:rsid w:val="00C45E9B"/>
    <w:rsid w:val="00C46865"/>
    <w:rsid w:val="00C4746B"/>
    <w:rsid w:val="00C4778B"/>
    <w:rsid w:val="00C47B14"/>
    <w:rsid w:val="00C50413"/>
    <w:rsid w:val="00C5148C"/>
    <w:rsid w:val="00C515AC"/>
    <w:rsid w:val="00C519B9"/>
    <w:rsid w:val="00C51B17"/>
    <w:rsid w:val="00C51B31"/>
    <w:rsid w:val="00C51C7E"/>
    <w:rsid w:val="00C51F7B"/>
    <w:rsid w:val="00C523F3"/>
    <w:rsid w:val="00C528A7"/>
    <w:rsid w:val="00C528C8"/>
    <w:rsid w:val="00C52CFF"/>
    <w:rsid w:val="00C52DFA"/>
    <w:rsid w:val="00C52F8F"/>
    <w:rsid w:val="00C531A6"/>
    <w:rsid w:val="00C53802"/>
    <w:rsid w:val="00C53B99"/>
    <w:rsid w:val="00C53C46"/>
    <w:rsid w:val="00C54AA5"/>
    <w:rsid w:val="00C54DF6"/>
    <w:rsid w:val="00C54EE7"/>
    <w:rsid w:val="00C55002"/>
    <w:rsid w:val="00C5507C"/>
    <w:rsid w:val="00C55761"/>
    <w:rsid w:val="00C565A2"/>
    <w:rsid w:val="00C56E57"/>
    <w:rsid w:val="00C56E77"/>
    <w:rsid w:val="00C5741D"/>
    <w:rsid w:val="00C60046"/>
    <w:rsid w:val="00C605CB"/>
    <w:rsid w:val="00C606CB"/>
    <w:rsid w:val="00C60C4E"/>
    <w:rsid w:val="00C60CE2"/>
    <w:rsid w:val="00C6117F"/>
    <w:rsid w:val="00C614D8"/>
    <w:rsid w:val="00C6157F"/>
    <w:rsid w:val="00C61722"/>
    <w:rsid w:val="00C61ED1"/>
    <w:rsid w:val="00C6290E"/>
    <w:rsid w:val="00C629E9"/>
    <w:rsid w:val="00C6349A"/>
    <w:rsid w:val="00C63FE3"/>
    <w:rsid w:val="00C6457C"/>
    <w:rsid w:val="00C64D7F"/>
    <w:rsid w:val="00C64F1E"/>
    <w:rsid w:val="00C6559D"/>
    <w:rsid w:val="00C65EEB"/>
    <w:rsid w:val="00C6681B"/>
    <w:rsid w:val="00C66CAD"/>
    <w:rsid w:val="00C70604"/>
    <w:rsid w:val="00C7084E"/>
    <w:rsid w:val="00C70F67"/>
    <w:rsid w:val="00C72CE2"/>
    <w:rsid w:val="00C72DF7"/>
    <w:rsid w:val="00C737C2"/>
    <w:rsid w:val="00C7415A"/>
    <w:rsid w:val="00C746A1"/>
    <w:rsid w:val="00C74BEF"/>
    <w:rsid w:val="00C74DFD"/>
    <w:rsid w:val="00C75786"/>
    <w:rsid w:val="00C75DC0"/>
    <w:rsid w:val="00C7629A"/>
    <w:rsid w:val="00C76DEB"/>
    <w:rsid w:val="00C76DEE"/>
    <w:rsid w:val="00C76EF7"/>
    <w:rsid w:val="00C77392"/>
    <w:rsid w:val="00C775D2"/>
    <w:rsid w:val="00C777BF"/>
    <w:rsid w:val="00C779B2"/>
    <w:rsid w:val="00C8022D"/>
    <w:rsid w:val="00C80388"/>
    <w:rsid w:val="00C80659"/>
    <w:rsid w:val="00C809E4"/>
    <w:rsid w:val="00C816DE"/>
    <w:rsid w:val="00C817F6"/>
    <w:rsid w:val="00C81AFE"/>
    <w:rsid w:val="00C82F2F"/>
    <w:rsid w:val="00C83888"/>
    <w:rsid w:val="00C83B6D"/>
    <w:rsid w:val="00C842C6"/>
    <w:rsid w:val="00C84319"/>
    <w:rsid w:val="00C848B9"/>
    <w:rsid w:val="00C8507E"/>
    <w:rsid w:val="00C85416"/>
    <w:rsid w:val="00C8552F"/>
    <w:rsid w:val="00C85AD3"/>
    <w:rsid w:val="00C86911"/>
    <w:rsid w:val="00C87069"/>
    <w:rsid w:val="00C8716F"/>
    <w:rsid w:val="00C87494"/>
    <w:rsid w:val="00C87506"/>
    <w:rsid w:val="00C87B68"/>
    <w:rsid w:val="00C87E16"/>
    <w:rsid w:val="00C901C2"/>
    <w:rsid w:val="00C9085A"/>
    <w:rsid w:val="00C90D05"/>
    <w:rsid w:val="00C9135C"/>
    <w:rsid w:val="00C913D1"/>
    <w:rsid w:val="00C9247E"/>
    <w:rsid w:val="00C92C04"/>
    <w:rsid w:val="00C93136"/>
    <w:rsid w:val="00C93233"/>
    <w:rsid w:val="00C9338A"/>
    <w:rsid w:val="00C93B6A"/>
    <w:rsid w:val="00C94415"/>
    <w:rsid w:val="00C94D01"/>
    <w:rsid w:val="00C94E79"/>
    <w:rsid w:val="00C950F1"/>
    <w:rsid w:val="00C9652C"/>
    <w:rsid w:val="00C9668B"/>
    <w:rsid w:val="00C96AC7"/>
    <w:rsid w:val="00C96B3F"/>
    <w:rsid w:val="00C96D6D"/>
    <w:rsid w:val="00C97643"/>
    <w:rsid w:val="00C9773C"/>
    <w:rsid w:val="00C97BC7"/>
    <w:rsid w:val="00CA2F73"/>
    <w:rsid w:val="00CA356D"/>
    <w:rsid w:val="00CA51F2"/>
    <w:rsid w:val="00CA5403"/>
    <w:rsid w:val="00CA6034"/>
    <w:rsid w:val="00CA69F9"/>
    <w:rsid w:val="00CA7603"/>
    <w:rsid w:val="00CA7AE7"/>
    <w:rsid w:val="00CB15B9"/>
    <w:rsid w:val="00CB1FE5"/>
    <w:rsid w:val="00CB20F1"/>
    <w:rsid w:val="00CB3359"/>
    <w:rsid w:val="00CB3482"/>
    <w:rsid w:val="00CB35E4"/>
    <w:rsid w:val="00CB3FA4"/>
    <w:rsid w:val="00CB4131"/>
    <w:rsid w:val="00CB44AC"/>
    <w:rsid w:val="00CB4681"/>
    <w:rsid w:val="00CB583A"/>
    <w:rsid w:val="00CB599D"/>
    <w:rsid w:val="00CB6ADD"/>
    <w:rsid w:val="00CB733A"/>
    <w:rsid w:val="00CB78FF"/>
    <w:rsid w:val="00CB7958"/>
    <w:rsid w:val="00CB7B31"/>
    <w:rsid w:val="00CC09BC"/>
    <w:rsid w:val="00CC0C6C"/>
    <w:rsid w:val="00CC1767"/>
    <w:rsid w:val="00CC18D6"/>
    <w:rsid w:val="00CC1E26"/>
    <w:rsid w:val="00CC349D"/>
    <w:rsid w:val="00CC354D"/>
    <w:rsid w:val="00CC35E3"/>
    <w:rsid w:val="00CC3654"/>
    <w:rsid w:val="00CC4775"/>
    <w:rsid w:val="00CC4880"/>
    <w:rsid w:val="00CC4AC2"/>
    <w:rsid w:val="00CC521F"/>
    <w:rsid w:val="00CC55F4"/>
    <w:rsid w:val="00CC5828"/>
    <w:rsid w:val="00CC61BA"/>
    <w:rsid w:val="00CC6211"/>
    <w:rsid w:val="00CC7B39"/>
    <w:rsid w:val="00CC7B3D"/>
    <w:rsid w:val="00CC7E79"/>
    <w:rsid w:val="00CD008B"/>
    <w:rsid w:val="00CD01E8"/>
    <w:rsid w:val="00CD0CBB"/>
    <w:rsid w:val="00CD11B5"/>
    <w:rsid w:val="00CD135E"/>
    <w:rsid w:val="00CD211C"/>
    <w:rsid w:val="00CD2169"/>
    <w:rsid w:val="00CD2352"/>
    <w:rsid w:val="00CD2AA3"/>
    <w:rsid w:val="00CD2B33"/>
    <w:rsid w:val="00CD2C0E"/>
    <w:rsid w:val="00CD31BF"/>
    <w:rsid w:val="00CD3773"/>
    <w:rsid w:val="00CD3816"/>
    <w:rsid w:val="00CD4096"/>
    <w:rsid w:val="00CD4392"/>
    <w:rsid w:val="00CD441A"/>
    <w:rsid w:val="00CD471D"/>
    <w:rsid w:val="00CD490F"/>
    <w:rsid w:val="00CD4F81"/>
    <w:rsid w:val="00CD5448"/>
    <w:rsid w:val="00CD56DB"/>
    <w:rsid w:val="00CD57AD"/>
    <w:rsid w:val="00CD582F"/>
    <w:rsid w:val="00CD5888"/>
    <w:rsid w:val="00CD629E"/>
    <w:rsid w:val="00CD63B3"/>
    <w:rsid w:val="00CD718A"/>
    <w:rsid w:val="00CD7314"/>
    <w:rsid w:val="00CE0456"/>
    <w:rsid w:val="00CE152C"/>
    <w:rsid w:val="00CE191F"/>
    <w:rsid w:val="00CE2047"/>
    <w:rsid w:val="00CE28E4"/>
    <w:rsid w:val="00CE2C50"/>
    <w:rsid w:val="00CE2D23"/>
    <w:rsid w:val="00CE3088"/>
    <w:rsid w:val="00CE31A0"/>
    <w:rsid w:val="00CE329B"/>
    <w:rsid w:val="00CE3BB4"/>
    <w:rsid w:val="00CE40F8"/>
    <w:rsid w:val="00CE455C"/>
    <w:rsid w:val="00CE4E35"/>
    <w:rsid w:val="00CE4EB9"/>
    <w:rsid w:val="00CE50A4"/>
    <w:rsid w:val="00CE5241"/>
    <w:rsid w:val="00CE5307"/>
    <w:rsid w:val="00CE569E"/>
    <w:rsid w:val="00CE573A"/>
    <w:rsid w:val="00CE5BF2"/>
    <w:rsid w:val="00CE60FC"/>
    <w:rsid w:val="00CE691C"/>
    <w:rsid w:val="00CE6A8D"/>
    <w:rsid w:val="00CE70C9"/>
    <w:rsid w:val="00CE70E3"/>
    <w:rsid w:val="00CE713C"/>
    <w:rsid w:val="00CE75C1"/>
    <w:rsid w:val="00CE7BB7"/>
    <w:rsid w:val="00CF13B6"/>
    <w:rsid w:val="00CF1A1D"/>
    <w:rsid w:val="00CF1B70"/>
    <w:rsid w:val="00CF21B4"/>
    <w:rsid w:val="00CF2492"/>
    <w:rsid w:val="00CF2F21"/>
    <w:rsid w:val="00CF3571"/>
    <w:rsid w:val="00CF36A2"/>
    <w:rsid w:val="00CF3CEE"/>
    <w:rsid w:val="00CF5134"/>
    <w:rsid w:val="00CF5939"/>
    <w:rsid w:val="00CF5CA4"/>
    <w:rsid w:val="00CF5EE6"/>
    <w:rsid w:val="00CF62BE"/>
    <w:rsid w:val="00CF64C3"/>
    <w:rsid w:val="00CF6545"/>
    <w:rsid w:val="00CF6E48"/>
    <w:rsid w:val="00CF75B0"/>
    <w:rsid w:val="00CF76D4"/>
    <w:rsid w:val="00D0045F"/>
    <w:rsid w:val="00D01D29"/>
    <w:rsid w:val="00D024EC"/>
    <w:rsid w:val="00D02B9B"/>
    <w:rsid w:val="00D03069"/>
    <w:rsid w:val="00D0390A"/>
    <w:rsid w:val="00D03CBD"/>
    <w:rsid w:val="00D03D4F"/>
    <w:rsid w:val="00D03D57"/>
    <w:rsid w:val="00D046AF"/>
    <w:rsid w:val="00D04EDD"/>
    <w:rsid w:val="00D05066"/>
    <w:rsid w:val="00D051E1"/>
    <w:rsid w:val="00D052F1"/>
    <w:rsid w:val="00D0580F"/>
    <w:rsid w:val="00D06193"/>
    <w:rsid w:val="00D06294"/>
    <w:rsid w:val="00D064C9"/>
    <w:rsid w:val="00D069AD"/>
    <w:rsid w:val="00D06EA0"/>
    <w:rsid w:val="00D07006"/>
    <w:rsid w:val="00D07031"/>
    <w:rsid w:val="00D0721E"/>
    <w:rsid w:val="00D0729D"/>
    <w:rsid w:val="00D0731F"/>
    <w:rsid w:val="00D104B5"/>
    <w:rsid w:val="00D10507"/>
    <w:rsid w:val="00D10AC4"/>
    <w:rsid w:val="00D10F13"/>
    <w:rsid w:val="00D11624"/>
    <w:rsid w:val="00D1186F"/>
    <w:rsid w:val="00D12BE4"/>
    <w:rsid w:val="00D12E1C"/>
    <w:rsid w:val="00D130DE"/>
    <w:rsid w:val="00D13423"/>
    <w:rsid w:val="00D13B6F"/>
    <w:rsid w:val="00D141F3"/>
    <w:rsid w:val="00D143E7"/>
    <w:rsid w:val="00D1540B"/>
    <w:rsid w:val="00D15970"/>
    <w:rsid w:val="00D15FA2"/>
    <w:rsid w:val="00D16503"/>
    <w:rsid w:val="00D165D6"/>
    <w:rsid w:val="00D1741C"/>
    <w:rsid w:val="00D174E4"/>
    <w:rsid w:val="00D17FB0"/>
    <w:rsid w:val="00D20827"/>
    <w:rsid w:val="00D20861"/>
    <w:rsid w:val="00D21126"/>
    <w:rsid w:val="00D2116E"/>
    <w:rsid w:val="00D22311"/>
    <w:rsid w:val="00D22773"/>
    <w:rsid w:val="00D2277F"/>
    <w:rsid w:val="00D228A2"/>
    <w:rsid w:val="00D22DE7"/>
    <w:rsid w:val="00D236F1"/>
    <w:rsid w:val="00D2441D"/>
    <w:rsid w:val="00D24564"/>
    <w:rsid w:val="00D24B6A"/>
    <w:rsid w:val="00D24F5E"/>
    <w:rsid w:val="00D24FFB"/>
    <w:rsid w:val="00D25C3C"/>
    <w:rsid w:val="00D25CED"/>
    <w:rsid w:val="00D25D91"/>
    <w:rsid w:val="00D25E75"/>
    <w:rsid w:val="00D25FAC"/>
    <w:rsid w:val="00D262DC"/>
    <w:rsid w:val="00D26656"/>
    <w:rsid w:val="00D27863"/>
    <w:rsid w:val="00D31164"/>
    <w:rsid w:val="00D31C6B"/>
    <w:rsid w:val="00D32B6F"/>
    <w:rsid w:val="00D32C1C"/>
    <w:rsid w:val="00D33907"/>
    <w:rsid w:val="00D349C1"/>
    <w:rsid w:val="00D34AA8"/>
    <w:rsid w:val="00D3567D"/>
    <w:rsid w:val="00D35C0F"/>
    <w:rsid w:val="00D3627C"/>
    <w:rsid w:val="00D368ED"/>
    <w:rsid w:val="00D36E13"/>
    <w:rsid w:val="00D37AE0"/>
    <w:rsid w:val="00D40DA2"/>
    <w:rsid w:val="00D41D8F"/>
    <w:rsid w:val="00D41E04"/>
    <w:rsid w:val="00D41F89"/>
    <w:rsid w:val="00D42AA5"/>
    <w:rsid w:val="00D431BC"/>
    <w:rsid w:val="00D432BC"/>
    <w:rsid w:val="00D43EE7"/>
    <w:rsid w:val="00D441AD"/>
    <w:rsid w:val="00D446D3"/>
    <w:rsid w:val="00D4476D"/>
    <w:rsid w:val="00D449C0"/>
    <w:rsid w:val="00D45CE7"/>
    <w:rsid w:val="00D467C7"/>
    <w:rsid w:val="00D46A10"/>
    <w:rsid w:val="00D46D83"/>
    <w:rsid w:val="00D47011"/>
    <w:rsid w:val="00D47490"/>
    <w:rsid w:val="00D4757C"/>
    <w:rsid w:val="00D476B5"/>
    <w:rsid w:val="00D50D33"/>
    <w:rsid w:val="00D522AE"/>
    <w:rsid w:val="00D5240A"/>
    <w:rsid w:val="00D5338C"/>
    <w:rsid w:val="00D5371D"/>
    <w:rsid w:val="00D5481C"/>
    <w:rsid w:val="00D54C61"/>
    <w:rsid w:val="00D54C6E"/>
    <w:rsid w:val="00D54DA8"/>
    <w:rsid w:val="00D551D9"/>
    <w:rsid w:val="00D5567D"/>
    <w:rsid w:val="00D557DD"/>
    <w:rsid w:val="00D55921"/>
    <w:rsid w:val="00D55EA8"/>
    <w:rsid w:val="00D561E2"/>
    <w:rsid w:val="00D56C52"/>
    <w:rsid w:val="00D56D92"/>
    <w:rsid w:val="00D575D9"/>
    <w:rsid w:val="00D57938"/>
    <w:rsid w:val="00D57C1D"/>
    <w:rsid w:val="00D60FC4"/>
    <w:rsid w:val="00D61510"/>
    <w:rsid w:val="00D615E8"/>
    <w:rsid w:val="00D61CB0"/>
    <w:rsid w:val="00D6228B"/>
    <w:rsid w:val="00D62C58"/>
    <w:rsid w:val="00D63F6C"/>
    <w:rsid w:val="00D63F86"/>
    <w:rsid w:val="00D64B62"/>
    <w:rsid w:val="00D64C18"/>
    <w:rsid w:val="00D65339"/>
    <w:rsid w:val="00D657C1"/>
    <w:rsid w:val="00D65DF0"/>
    <w:rsid w:val="00D6602B"/>
    <w:rsid w:val="00D661F8"/>
    <w:rsid w:val="00D66302"/>
    <w:rsid w:val="00D66927"/>
    <w:rsid w:val="00D66A06"/>
    <w:rsid w:val="00D66A4C"/>
    <w:rsid w:val="00D67290"/>
    <w:rsid w:val="00D67706"/>
    <w:rsid w:val="00D67C18"/>
    <w:rsid w:val="00D70512"/>
    <w:rsid w:val="00D715E4"/>
    <w:rsid w:val="00D71643"/>
    <w:rsid w:val="00D71744"/>
    <w:rsid w:val="00D71E62"/>
    <w:rsid w:val="00D723BC"/>
    <w:rsid w:val="00D726E2"/>
    <w:rsid w:val="00D72EAB"/>
    <w:rsid w:val="00D72F75"/>
    <w:rsid w:val="00D730BC"/>
    <w:rsid w:val="00D733B5"/>
    <w:rsid w:val="00D737E5"/>
    <w:rsid w:val="00D73A33"/>
    <w:rsid w:val="00D73A3E"/>
    <w:rsid w:val="00D74005"/>
    <w:rsid w:val="00D74654"/>
    <w:rsid w:val="00D7471D"/>
    <w:rsid w:val="00D7486C"/>
    <w:rsid w:val="00D74C83"/>
    <w:rsid w:val="00D74F12"/>
    <w:rsid w:val="00D75091"/>
    <w:rsid w:val="00D75862"/>
    <w:rsid w:val="00D764BD"/>
    <w:rsid w:val="00D773A8"/>
    <w:rsid w:val="00D77AF9"/>
    <w:rsid w:val="00D77EC7"/>
    <w:rsid w:val="00D80557"/>
    <w:rsid w:val="00D805C5"/>
    <w:rsid w:val="00D80A95"/>
    <w:rsid w:val="00D80D1D"/>
    <w:rsid w:val="00D81960"/>
    <w:rsid w:val="00D81CB0"/>
    <w:rsid w:val="00D81E40"/>
    <w:rsid w:val="00D820C0"/>
    <w:rsid w:val="00D834BA"/>
    <w:rsid w:val="00D84582"/>
    <w:rsid w:val="00D848AF"/>
    <w:rsid w:val="00D84A7D"/>
    <w:rsid w:val="00D850DC"/>
    <w:rsid w:val="00D85102"/>
    <w:rsid w:val="00D855EC"/>
    <w:rsid w:val="00D8580D"/>
    <w:rsid w:val="00D858D4"/>
    <w:rsid w:val="00D86483"/>
    <w:rsid w:val="00D864AD"/>
    <w:rsid w:val="00D867FF"/>
    <w:rsid w:val="00D86DB5"/>
    <w:rsid w:val="00D86DF8"/>
    <w:rsid w:val="00D872A9"/>
    <w:rsid w:val="00D87A8F"/>
    <w:rsid w:val="00D87D45"/>
    <w:rsid w:val="00D90559"/>
    <w:rsid w:val="00D905AA"/>
    <w:rsid w:val="00D90804"/>
    <w:rsid w:val="00D90ACF"/>
    <w:rsid w:val="00D91474"/>
    <w:rsid w:val="00D9223B"/>
    <w:rsid w:val="00D923EA"/>
    <w:rsid w:val="00D92574"/>
    <w:rsid w:val="00D925BD"/>
    <w:rsid w:val="00D92CC2"/>
    <w:rsid w:val="00D93050"/>
    <w:rsid w:val="00D93467"/>
    <w:rsid w:val="00D93BF6"/>
    <w:rsid w:val="00D947A0"/>
    <w:rsid w:val="00D94B5A"/>
    <w:rsid w:val="00D94E36"/>
    <w:rsid w:val="00D960AB"/>
    <w:rsid w:val="00D96AD2"/>
    <w:rsid w:val="00DA0061"/>
    <w:rsid w:val="00DA066E"/>
    <w:rsid w:val="00DA10F9"/>
    <w:rsid w:val="00DA1161"/>
    <w:rsid w:val="00DA1278"/>
    <w:rsid w:val="00DA12F9"/>
    <w:rsid w:val="00DA130E"/>
    <w:rsid w:val="00DA1822"/>
    <w:rsid w:val="00DA1FB6"/>
    <w:rsid w:val="00DA23FD"/>
    <w:rsid w:val="00DA29CA"/>
    <w:rsid w:val="00DA2AF3"/>
    <w:rsid w:val="00DA3241"/>
    <w:rsid w:val="00DA3E15"/>
    <w:rsid w:val="00DA42EA"/>
    <w:rsid w:val="00DA524B"/>
    <w:rsid w:val="00DA53D8"/>
    <w:rsid w:val="00DA67E5"/>
    <w:rsid w:val="00DA7356"/>
    <w:rsid w:val="00DA79F6"/>
    <w:rsid w:val="00DB07AB"/>
    <w:rsid w:val="00DB07DF"/>
    <w:rsid w:val="00DB0DCD"/>
    <w:rsid w:val="00DB1220"/>
    <w:rsid w:val="00DB1911"/>
    <w:rsid w:val="00DB200F"/>
    <w:rsid w:val="00DB2608"/>
    <w:rsid w:val="00DB2B09"/>
    <w:rsid w:val="00DB2C5D"/>
    <w:rsid w:val="00DB308E"/>
    <w:rsid w:val="00DB3255"/>
    <w:rsid w:val="00DB3680"/>
    <w:rsid w:val="00DB3AFD"/>
    <w:rsid w:val="00DB400B"/>
    <w:rsid w:val="00DB4352"/>
    <w:rsid w:val="00DB4830"/>
    <w:rsid w:val="00DB4AAF"/>
    <w:rsid w:val="00DB5226"/>
    <w:rsid w:val="00DB57A1"/>
    <w:rsid w:val="00DB5D80"/>
    <w:rsid w:val="00DB6205"/>
    <w:rsid w:val="00DB65B8"/>
    <w:rsid w:val="00DB6622"/>
    <w:rsid w:val="00DB70BE"/>
    <w:rsid w:val="00DB7176"/>
    <w:rsid w:val="00DC04DC"/>
    <w:rsid w:val="00DC0632"/>
    <w:rsid w:val="00DC0820"/>
    <w:rsid w:val="00DC0830"/>
    <w:rsid w:val="00DC0DA0"/>
    <w:rsid w:val="00DC2501"/>
    <w:rsid w:val="00DC2C62"/>
    <w:rsid w:val="00DC34BC"/>
    <w:rsid w:val="00DC3506"/>
    <w:rsid w:val="00DC42C4"/>
    <w:rsid w:val="00DC45C7"/>
    <w:rsid w:val="00DC50C0"/>
    <w:rsid w:val="00DC5BFF"/>
    <w:rsid w:val="00DC5DA4"/>
    <w:rsid w:val="00DC6043"/>
    <w:rsid w:val="00DC641A"/>
    <w:rsid w:val="00DC651E"/>
    <w:rsid w:val="00DC6815"/>
    <w:rsid w:val="00DC6C92"/>
    <w:rsid w:val="00DC6CCD"/>
    <w:rsid w:val="00DC6EFB"/>
    <w:rsid w:val="00DC7296"/>
    <w:rsid w:val="00DC7FBA"/>
    <w:rsid w:val="00DD04A9"/>
    <w:rsid w:val="00DD05BF"/>
    <w:rsid w:val="00DD09F6"/>
    <w:rsid w:val="00DD0E1F"/>
    <w:rsid w:val="00DD1349"/>
    <w:rsid w:val="00DD1C1A"/>
    <w:rsid w:val="00DD2D79"/>
    <w:rsid w:val="00DD2DE2"/>
    <w:rsid w:val="00DD31A8"/>
    <w:rsid w:val="00DD33EC"/>
    <w:rsid w:val="00DD36AC"/>
    <w:rsid w:val="00DD4532"/>
    <w:rsid w:val="00DD4C04"/>
    <w:rsid w:val="00DD504D"/>
    <w:rsid w:val="00DD5714"/>
    <w:rsid w:val="00DD5FC8"/>
    <w:rsid w:val="00DD6D65"/>
    <w:rsid w:val="00DD6E49"/>
    <w:rsid w:val="00DD7580"/>
    <w:rsid w:val="00DD7C26"/>
    <w:rsid w:val="00DD7E2E"/>
    <w:rsid w:val="00DD7F42"/>
    <w:rsid w:val="00DE01D1"/>
    <w:rsid w:val="00DE03BC"/>
    <w:rsid w:val="00DE188F"/>
    <w:rsid w:val="00DE1C37"/>
    <w:rsid w:val="00DE20B9"/>
    <w:rsid w:val="00DE23DC"/>
    <w:rsid w:val="00DE26C1"/>
    <w:rsid w:val="00DE397F"/>
    <w:rsid w:val="00DE3AA8"/>
    <w:rsid w:val="00DE3D43"/>
    <w:rsid w:val="00DE4366"/>
    <w:rsid w:val="00DE52C7"/>
    <w:rsid w:val="00DE536A"/>
    <w:rsid w:val="00DE669E"/>
    <w:rsid w:val="00DE6C46"/>
    <w:rsid w:val="00DE6C64"/>
    <w:rsid w:val="00DE6DA5"/>
    <w:rsid w:val="00DE6E21"/>
    <w:rsid w:val="00DE722E"/>
    <w:rsid w:val="00DE72C5"/>
    <w:rsid w:val="00DE7631"/>
    <w:rsid w:val="00DE7ECC"/>
    <w:rsid w:val="00DF054C"/>
    <w:rsid w:val="00DF13C3"/>
    <w:rsid w:val="00DF1C7D"/>
    <w:rsid w:val="00DF2527"/>
    <w:rsid w:val="00DF2FE0"/>
    <w:rsid w:val="00DF3277"/>
    <w:rsid w:val="00DF3BE9"/>
    <w:rsid w:val="00DF3BF8"/>
    <w:rsid w:val="00DF3D3F"/>
    <w:rsid w:val="00DF4767"/>
    <w:rsid w:val="00DF4B82"/>
    <w:rsid w:val="00DF5884"/>
    <w:rsid w:val="00DF5C79"/>
    <w:rsid w:val="00DF61B3"/>
    <w:rsid w:val="00DF6B59"/>
    <w:rsid w:val="00DF6F36"/>
    <w:rsid w:val="00DF72EA"/>
    <w:rsid w:val="00DF7540"/>
    <w:rsid w:val="00DF773E"/>
    <w:rsid w:val="00E00600"/>
    <w:rsid w:val="00E009D8"/>
    <w:rsid w:val="00E00EDE"/>
    <w:rsid w:val="00E0105F"/>
    <w:rsid w:val="00E01C64"/>
    <w:rsid w:val="00E01D67"/>
    <w:rsid w:val="00E02063"/>
    <w:rsid w:val="00E02F5B"/>
    <w:rsid w:val="00E03897"/>
    <w:rsid w:val="00E038A6"/>
    <w:rsid w:val="00E04213"/>
    <w:rsid w:val="00E04433"/>
    <w:rsid w:val="00E049EF"/>
    <w:rsid w:val="00E04E1A"/>
    <w:rsid w:val="00E069C4"/>
    <w:rsid w:val="00E06AE2"/>
    <w:rsid w:val="00E0748C"/>
    <w:rsid w:val="00E07722"/>
    <w:rsid w:val="00E07B77"/>
    <w:rsid w:val="00E07CF4"/>
    <w:rsid w:val="00E10377"/>
    <w:rsid w:val="00E106A8"/>
    <w:rsid w:val="00E109A7"/>
    <w:rsid w:val="00E1112C"/>
    <w:rsid w:val="00E11B82"/>
    <w:rsid w:val="00E122E7"/>
    <w:rsid w:val="00E12EB0"/>
    <w:rsid w:val="00E13512"/>
    <w:rsid w:val="00E13537"/>
    <w:rsid w:val="00E13D7E"/>
    <w:rsid w:val="00E13E35"/>
    <w:rsid w:val="00E143CE"/>
    <w:rsid w:val="00E1448D"/>
    <w:rsid w:val="00E145E8"/>
    <w:rsid w:val="00E14E28"/>
    <w:rsid w:val="00E157B8"/>
    <w:rsid w:val="00E158CA"/>
    <w:rsid w:val="00E15FB2"/>
    <w:rsid w:val="00E1713C"/>
    <w:rsid w:val="00E17FEF"/>
    <w:rsid w:val="00E2003B"/>
    <w:rsid w:val="00E200F5"/>
    <w:rsid w:val="00E20293"/>
    <w:rsid w:val="00E205AB"/>
    <w:rsid w:val="00E2093D"/>
    <w:rsid w:val="00E211B0"/>
    <w:rsid w:val="00E21B80"/>
    <w:rsid w:val="00E21BAC"/>
    <w:rsid w:val="00E22094"/>
    <w:rsid w:val="00E22C87"/>
    <w:rsid w:val="00E22D6F"/>
    <w:rsid w:val="00E24220"/>
    <w:rsid w:val="00E24365"/>
    <w:rsid w:val="00E25114"/>
    <w:rsid w:val="00E258F7"/>
    <w:rsid w:val="00E25A46"/>
    <w:rsid w:val="00E25B07"/>
    <w:rsid w:val="00E25DCF"/>
    <w:rsid w:val="00E25F48"/>
    <w:rsid w:val="00E263AC"/>
    <w:rsid w:val="00E263AF"/>
    <w:rsid w:val="00E266D6"/>
    <w:rsid w:val="00E26837"/>
    <w:rsid w:val="00E27497"/>
    <w:rsid w:val="00E3101E"/>
    <w:rsid w:val="00E3118A"/>
    <w:rsid w:val="00E313CE"/>
    <w:rsid w:val="00E31700"/>
    <w:rsid w:val="00E31BA3"/>
    <w:rsid w:val="00E32515"/>
    <w:rsid w:val="00E32762"/>
    <w:rsid w:val="00E32A42"/>
    <w:rsid w:val="00E33199"/>
    <w:rsid w:val="00E33ACA"/>
    <w:rsid w:val="00E33B23"/>
    <w:rsid w:val="00E34053"/>
    <w:rsid w:val="00E34129"/>
    <w:rsid w:val="00E34CBF"/>
    <w:rsid w:val="00E34D3A"/>
    <w:rsid w:val="00E3537E"/>
    <w:rsid w:val="00E35721"/>
    <w:rsid w:val="00E361FE"/>
    <w:rsid w:val="00E366B5"/>
    <w:rsid w:val="00E377A2"/>
    <w:rsid w:val="00E377E7"/>
    <w:rsid w:val="00E4036E"/>
    <w:rsid w:val="00E40E48"/>
    <w:rsid w:val="00E417A2"/>
    <w:rsid w:val="00E41957"/>
    <w:rsid w:val="00E41EB4"/>
    <w:rsid w:val="00E4232D"/>
    <w:rsid w:val="00E4249C"/>
    <w:rsid w:val="00E42B15"/>
    <w:rsid w:val="00E42B9F"/>
    <w:rsid w:val="00E42BDB"/>
    <w:rsid w:val="00E42C90"/>
    <w:rsid w:val="00E42D91"/>
    <w:rsid w:val="00E42F8E"/>
    <w:rsid w:val="00E432A2"/>
    <w:rsid w:val="00E432F8"/>
    <w:rsid w:val="00E437D8"/>
    <w:rsid w:val="00E4397B"/>
    <w:rsid w:val="00E43E2A"/>
    <w:rsid w:val="00E43E92"/>
    <w:rsid w:val="00E447E4"/>
    <w:rsid w:val="00E45023"/>
    <w:rsid w:val="00E45602"/>
    <w:rsid w:val="00E461CE"/>
    <w:rsid w:val="00E46326"/>
    <w:rsid w:val="00E46469"/>
    <w:rsid w:val="00E46528"/>
    <w:rsid w:val="00E467EF"/>
    <w:rsid w:val="00E4725E"/>
    <w:rsid w:val="00E47A6D"/>
    <w:rsid w:val="00E47A98"/>
    <w:rsid w:val="00E47B1A"/>
    <w:rsid w:val="00E47DE7"/>
    <w:rsid w:val="00E47EF1"/>
    <w:rsid w:val="00E5039B"/>
    <w:rsid w:val="00E513E8"/>
    <w:rsid w:val="00E516AA"/>
    <w:rsid w:val="00E51927"/>
    <w:rsid w:val="00E519BD"/>
    <w:rsid w:val="00E51C2B"/>
    <w:rsid w:val="00E51D95"/>
    <w:rsid w:val="00E52218"/>
    <w:rsid w:val="00E52A2D"/>
    <w:rsid w:val="00E54540"/>
    <w:rsid w:val="00E546C6"/>
    <w:rsid w:val="00E5472D"/>
    <w:rsid w:val="00E54864"/>
    <w:rsid w:val="00E54873"/>
    <w:rsid w:val="00E54A25"/>
    <w:rsid w:val="00E54BA9"/>
    <w:rsid w:val="00E55C88"/>
    <w:rsid w:val="00E55DEE"/>
    <w:rsid w:val="00E560D1"/>
    <w:rsid w:val="00E56581"/>
    <w:rsid w:val="00E56851"/>
    <w:rsid w:val="00E5699E"/>
    <w:rsid w:val="00E56B26"/>
    <w:rsid w:val="00E56E74"/>
    <w:rsid w:val="00E57627"/>
    <w:rsid w:val="00E57851"/>
    <w:rsid w:val="00E600B0"/>
    <w:rsid w:val="00E601EC"/>
    <w:rsid w:val="00E606D8"/>
    <w:rsid w:val="00E60CB8"/>
    <w:rsid w:val="00E610C9"/>
    <w:rsid w:val="00E6172F"/>
    <w:rsid w:val="00E6222E"/>
    <w:rsid w:val="00E6224A"/>
    <w:rsid w:val="00E625CC"/>
    <w:rsid w:val="00E63067"/>
    <w:rsid w:val="00E6319D"/>
    <w:rsid w:val="00E633D6"/>
    <w:rsid w:val="00E63BCE"/>
    <w:rsid w:val="00E644F9"/>
    <w:rsid w:val="00E647E1"/>
    <w:rsid w:val="00E64A19"/>
    <w:rsid w:val="00E6503C"/>
    <w:rsid w:val="00E65B02"/>
    <w:rsid w:val="00E66803"/>
    <w:rsid w:val="00E66FA9"/>
    <w:rsid w:val="00E66FC2"/>
    <w:rsid w:val="00E6709B"/>
    <w:rsid w:val="00E67A5B"/>
    <w:rsid w:val="00E67EF3"/>
    <w:rsid w:val="00E67FCC"/>
    <w:rsid w:val="00E70491"/>
    <w:rsid w:val="00E709E8"/>
    <w:rsid w:val="00E71695"/>
    <w:rsid w:val="00E71ADD"/>
    <w:rsid w:val="00E72818"/>
    <w:rsid w:val="00E72D33"/>
    <w:rsid w:val="00E7323A"/>
    <w:rsid w:val="00E73355"/>
    <w:rsid w:val="00E7399D"/>
    <w:rsid w:val="00E73FCC"/>
    <w:rsid w:val="00E74F40"/>
    <w:rsid w:val="00E7507E"/>
    <w:rsid w:val="00E750B0"/>
    <w:rsid w:val="00E7530F"/>
    <w:rsid w:val="00E7535A"/>
    <w:rsid w:val="00E754D5"/>
    <w:rsid w:val="00E755D7"/>
    <w:rsid w:val="00E756C4"/>
    <w:rsid w:val="00E756FC"/>
    <w:rsid w:val="00E75702"/>
    <w:rsid w:val="00E762E1"/>
    <w:rsid w:val="00E76325"/>
    <w:rsid w:val="00E7651D"/>
    <w:rsid w:val="00E765F9"/>
    <w:rsid w:val="00E76836"/>
    <w:rsid w:val="00E76B6B"/>
    <w:rsid w:val="00E76E11"/>
    <w:rsid w:val="00E770DA"/>
    <w:rsid w:val="00E77983"/>
    <w:rsid w:val="00E77BDD"/>
    <w:rsid w:val="00E77D65"/>
    <w:rsid w:val="00E8031D"/>
    <w:rsid w:val="00E80D13"/>
    <w:rsid w:val="00E80F2E"/>
    <w:rsid w:val="00E813D8"/>
    <w:rsid w:val="00E818BA"/>
    <w:rsid w:val="00E8192F"/>
    <w:rsid w:val="00E81A9D"/>
    <w:rsid w:val="00E81C5E"/>
    <w:rsid w:val="00E82294"/>
    <w:rsid w:val="00E82515"/>
    <w:rsid w:val="00E828D8"/>
    <w:rsid w:val="00E828F7"/>
    <w:rsid w:val="00E832C0"/>
    <w:rsid w:val="00E83612"/>
    <w:rsid w:val="00E83B5F"/>
    <w:rsid w:val="00E83F1F"/>
    <w:rsid w:val="00E84096"/>
    <w:rsid w:val="00E8412E"/>
    <w:rsid w:val="00E84E54"/>
    <w:rsid w:val="00E853C5"/>
    <w:rsid w:val="00E85475"/>
    <w:rsid w:val="00E86E79"/>
    <w:rsid w:val="00E87029"/>
    <w:rsid w:val="00E87050"/>
    <w:rsid w:val="00E87370"/>
    <w:rsid w:val="00E8737E"/>
    <w:rsid w:val="00E87569"/>
    <w:rsid w:val="00E877A5"/>
    <w:rsid w:val="00E87C80"/>
    <w:rsid w:val="00E87FD0"/>
    <w:rsid w:val="00E90125"/>
    <w:rsid w:val="00E903AB"/>
    <w:rsid w:val="00E90439"/>
    <w:rsid w:val="00E907AE"/>
    <w:rsid w:val="00E90B5B"/>
    <w:rsid w:val="00E9197C"/>
    <w:rsid w:val="00E9198E"/>
    <w:rsid w:val="00E91C0B"/>
    <w:rsid w:val="00E92EE6"/>
    <w:rsid w:val="00E93389"/>
    <w:rsid w:val="00E9350A"/>
    <w:rsid w:val="00E9359C"/>
    <w:rsid w:val="00E935CB"/>
    <w:rsid w:val="00E9360C"/>
    <w:rsid w:val="00E94C87"/>
    <w:rsid w:val="00E95F76"/>
    <w:rsid w:val="00E9631F"/>
    <w:rsid w:val="00E963E4"/>
    <w:rsid w:val="00E96791"/>
    <w:rsid w:val="00E969E3"/>
    <w:rsid w:val="00E96B15"/>
    <w:rsid w:val="00E96B38"/>
    <w:rsid w:val="00E96E08"/>
    <w:rsid w:val="00E9746F"/>
    <w:rsid w:val="00E97D64"/>
    <w:rsid w:val="00EA0977"/>
    <w:rsid w:val="00EA098F"/>
    <w:rsid w:val="00EA11BD"/>
    <w:rsid w:val="00EA12F0"/>
    <w:rsid w:val="00EA1949"/>
    <w:rsid w:val="00EA19D3"/>
    <w:rsid w:val="00EA19ED"/>
    <w:rsid w:val="00EA2157"/>
    <w:rsid w:val="00EA2719"/>
    <w:rsid w:val="00EA2CBA"/>
    <w:rsid w:val="00EA3588"/>
    <w:rsid w:val="00EA365E"/>
    <w:rsid w:val="00EA3A3C"/>
    <w:rsid w:val="00EA3A89"/>
    <w:rsid w:val="00EA4B17"/>
    <w:rsid w:val="00EA5471"/>
    <w:rsid w:val="00EA54A9"/>
    <w:rsid w:val="00EA5874"/>
    <w:rsid w:val="00EA5D60"/>
    <w:rsid w:val="00EA6908"/>
    <w:rsid w:val="00EA72D5"/>
    <w:rsid w:val="00EA7F69"/>
    <w:rsid w:val="00EB036B"/>
    <w:rsid w:val="00EB0439"/>
    <w:rsid w:val="00EB04F1"/>
    <w:rsid w:val="00EB0807"/>
    <w:rsid w:val="00EB1001"/>
    <w:rsid w:val="00EB10B7"/>
    <w:rsid w:val="00EB1443"/>
    <w:rsid w:val="00EB211C"/>
    <w:rsid w:val="00EB2373"/>
    <w:rsid w:val="00EB2710"/>
    <w:rsid w:val="00EB30EE"/>
    <w:rsid w:val="00EB32CB"/>
    <w:rsid w:val="00EB34C0"/>
    <w:rsid w:val="00EB3636"/>
    <w:rsid w:val="00EB3B11"/>
    <w:rsid w:val="00EB3B23"/>
    <w:rsid w:val="00EB3CDE"/>
    <w:rsid w:val="00EB3D07"/>
    <w:rsid w:val="00EB3E33"/>
    <w:rsid w:val="00EB3F8E"/>
    <w:rsid w:val="00EB41CF"/>
    <w:rsid w:val="00EB43F6"/>
    <w:rsid w:val="00EB53EB"/>
    <w:rsid w:val="00EB5771"/>
    <w:rsid w:val="00EB5D30"/>
    <w:rsid w:val="00EB6777"/>
    <w:rsid w:val="00EB6DB9"/>
    <w:rsid w:val="00EB76D7"/>
    <w:rsid w:val="00EB7AC8"/>
    <w:rsid w:val="00EC03EF"/>
    <w:rsid w:val="00EC040E"/>
    <w:rsid w:val="00EC07A5"/>
    <w:rsid w:val="00EC146D"/>
    <w:rsid w:val="00EC18B5"/>
    <w:rsid w:val="00EC1BFF"/>
    <w:rsid w:val="00EC1CE2"/>
    <w:rsid w:val="00EC1E11"/>
    <w:rsid w:val="00EC1EF0"/>
    <w:rsid w:val="00EC2698"/>
    <w:rsid w:val="00EC3812"/>
    <w:rsid w:val="00EC39C8"/>
    <w:rsid w:val="00EC39D2"/>
    <w:rsid w:val="00EC4902"/>
    <w:rsid w:val="00EC4AB6"/>
    <w:rsid w:val="00EC5145"/>
    <w:rsid w:val="00EC5157"/>
    <w:rsid w:val="00EC55DF"/>
    <w:rsid w:val="00EC5681"/>
    <w:rsid w:val="00EC5B78"/>
    <w:rsid w:val="00EC5B9A"/>
    <w:rsid w:val="00EC5D41"/>
    <w:rsid w:val="00EC689A"/>
    <w:rsid w:val="00EC6CAB"/>
    <w:rsid w:val="00EC6D5B"/>
    <w:rsid w:val="00EC6D63"/>
    <w:rsid w:val="00EC7428"/>
    <w:rsid w:val="00EC74CB"/>
    <w:rsid w:val="00EC769C"/>
    <w:rsid w:val="00EC7832"/>
    <w:rsid w:val="00EC7B66"/>
    <w:rsid w:val="00EC7E15"/>
    <w:rsid w:val="00ED06F9"/>
    <w:rsid w:val="00ED0C57"/>
    <w:rsid w:val="00ED13A4"/>
    <w:rsid w:val="00ED1413"/>
    <w:rsid w:val="00ED1B21"/>
    <w:rsid w:val="00ED213A"/>
    <w:rsid w:val="00ED29EE"/>
    <w:rsid w:val="00ED2EF9"/>
    <w:rsid w:val="00ED3591"/>
    <w:rsid w:val="00ED3733"/>
    <w:rsid w:val="00ED3953"/>
    <w:rsid w:val="00ED3F77"/>
    <w:rsid w:val="00ED4040"/>
    <w:rsid w:val="00ED5154"/>
    <w:rsid w:val="00ED52D0"/>
    <w:rsid w:val="00ED544F"/>
    <w:rsid w:val="00ED58CE"/>
    <w:rsid w:val="00ED6009"/>
    <w:rsid w:val="00ED6107"/>
    <w:rsid w:val="00ED638F"/>
    <w:rsid w:val="00ED6997"/>
    <w:rsid w:val="00ED70CF"/>
    <w:rsid w:val="00ED716E"/>
    <w:rsid w:val="00ED75C7"/>
    <w:rsid w:val="00EE022B"/>
    <w:rsid w:val="00EE08A1"/>
    <w:rsid w:val="00EE258E"/>
    <w:rsid w:val="00EE2800"/>
    <w:rsid w:val="00EE3465"/>
    <w:rsid w:val="00EE3DC7"/>
    <w:rsid w:val="00EE4060"/>
    <w:rsid w:val="00EE4389"/>
    <w:rsid w:val="00EE45F5"/>
    <w:rsid w:val="00EE471F"/>
    <w:rsid w:val="00EE4D0C"/>
    <w:rsid w:val="00EE4E2F"/>
    <w:rsid w:val="00EE51AD"/>
    <w:rsid w:val="00EE52F2"/>
    <w:rsid w:val="00EE540B"/>
    <w:rsid w:val="00EE5627"/>
    <w:rsid w:val="00EE5DE0"/>
    <w:rsid w:val="00EE6102"/>
    <w:rsid w:val="00EE74B1"/>
    <w:rsid w:val="00EE7983"/>
    <w:rsid w:val="00EE7E0A"/>
    <w:rsid w:val="00EF07CC"/>
    <w:rsid w:val="00EF2AE3"/>
    <w:rsid w:val="00EF3121"/>
    <w:rsid w:val="00EF36AD"/>
    <w:rsid w:val="00EF43F7"/>
    <w:rsid w:val="00EF4DD6"/>
    <w:rsid w:val="00EF5C91"/>
    <w:rsid w:val="00EF611A"/>
    <w:rsid w:val="00EF629F"/>
    <w:rsid w:val="00EF6587"/>
    <w:rsid w:val="00EF6618"/>
    <w:rsid w:val="00EF6B19"/>
    <w:rsid w:val="00EF6DC5"/>
    <w:rsid w:val="00EF6F52"/>
    <w:rsid w:val="00EF77E0"/>
    <w:rsid w:val="00F00191"/>
    <w:rsid w:val="00F00473"/>
    <w:rsid w:val="00F0094F"/>
    <w:rsid w:val="00F00E3E"/>
    <w:rsid w:val="00F01418"/>
    <w:rsid w:val="00F01494"/>
    <w:rsid w:val="00F014E8"/>
    <w:rsid w:val="00F0157B"/>
    <w:rsid w:val="00F01701"/>
    <w:rsid w:val="00F0171C"/>
    <w:rsid w:val="00F01F95"/>
    <w:rsid w:val="00F02167"/>
    <w:rsid w:val="00F02529"/>
    <w:rsid w:val="00F02CD9"/>
    <w:rsid w:val="00F02CE9"/>
    <w:rsid w:val="00F03874"/>
    <w:rsid w:val="00F04D0B"/>
    <w:rsid w:val="00F04E3C"/>
    <w:rsid w:val="00F04ED2"/>
    <w:rsid w:val="00F051DB"/>
    <w:rsid w:val="00F052F6"/>
    <w:rsid w:val="00F05955"/>
    <w:rsid w:val="00F069E7"/>
    <w:rsid w:val="00F06DB1"/>
    <w:rsid w:val="00F06F8D"/>
    <w:rsid w:val="00F072DF"/>
    <w:rsid w:val="00F074E8"/>
    <w:rsid w:val="00F07968"/>
    <w:rsid w:val="00F07F9C"/>
    <w:rsid w:val="00F10574"/>
    <w:rsid w:val="00F10C9E"/>
    <w:rsid w:val="00F119C5"/>
    <w:rsid w:val="00F11ACA"/>
    <w:rsid w:val="00F12BFC"/>
    <w:rsid w:val="00F12F41"/>
    <w:rsid w:val="00F13364"/>
    <w:rsid w:val="00F13469"/>
    <w:rsid w:val="00F139C4"/>
    <w:rsid w:val="00F142FC"/>
    <w:rsid w:val="00F143AF"/>
    <w:rsid w:val="00F1445D"/>
    <w:rsid w:val="00F14E7E"/>
    <w:rsid w:val="00F15681"/>
    <w:rsid w:val="00F15B63"/>
    <w:rsid w:val="00F15F48"/>
    <w:rsid w:val="00F16123"/>
    <w:rsid w:val="00F161E7"/>
    <w:rsid w:val="00F164F7"/>
    <w:rsid w:val="00F16720"/>
    <w:rsid w:val="00F16F8E"/>
    <w:rsid w:val="00F17070"/>
    <w:rsid w:val="00F170F9"/>
    <w:rsid w:val="00F174C5"/>
    <w:rsid w:val="00F17969"/>
    <w:rsid w:val="00F17D5C"/>
    <w:rsid w:val="00F17D85"/>
    <w:rsid w:val="00F202B7"/>
    <w:rsid w:val="00F20AEE"/>
    <w:rsid w:val="00F20C25"/>
    <w:rsid w:val="00F210EB"/>
    <w:rsid w:val="00F21D8B"/>
    <w:rsid w:val="00F22352"/>
    <w:rsid w:val="00F2340C"/>
    <w:rsid w:val="00F2386A"/>
    <w:rsid w:val="00F24118"/>
    <w:rsid w:val="00F24C44"/>
    <w:rsid w:val="00F250E7"/>
    <w:rsid w:val="00F25F4B"/>
    <w:rsid w:val="00F26151"/>
    <w:rsid w:val="00F264C6"/>
    <w:rsid w:val="00F26796"/>
    <w:rsid w:val="00F26A57"/>
    <w:rsid w:val="00F27206"/>
    <w:rsid w:val="00F277F8"/>
    <w:rsid w:val="00F27BE6"/>
    <w:rsid w:val="00F303EE"/>
    <w:rsid w:val="00F3056F"/>
    <w:rsid w:val="00F30DCE"/>
    <w:rsid w:val="00F30FD9"/>
    <w:rsid w:val="00F3133B"/>
    <w:rsid w:val="00F31C8D"/>
    <w:rsid w:val="00F31D1C"/>
    <w:rsid w:val="00F325ED"/>
    <w:rsid w:val="00F328A4"/>
    <w:rsid w:val="00F32E7A"/>
    <w:rsid w:val="00F33697"/>
    <w:rsid w:val="00F33E2E"/>
    <w:rsid w:val="00F34251"/>
    <w:rsid w:val="00F35251"/>
    <w:rsid w:val="00F3539B"/>
    <w:rsid w:val="00F35740"/>
    <w:rsid w:val="00F35AEF"/>
    <w:rsid w:val="00F362AD"/>
    <w:rsid w:val="00F3728B"/>
    <w:rsid w:val="00F37E63"/>
    <w:rsid w:val="00F4062C"/>
    <w:rsid w:val="00F40B56"/>
    <w:rsid w:val="00F40F40"/>
    <w:rsid w:val="00F411C5"/>
    <w:rsid w:val="00F41209"/>
    <w:rsid w:val="00F418CA"/>
    <w:rsid w:val="00F42778"/>
    <w:rsid w:val="00F4337C"/>
    <w:rsid w:val="00F43829"/>
    <w:rsid w:val="00F440E2"/>
    <w:rsid w:val="00F4414C"/>
    <w:rsid w:val="00F44784"/>
    <w:rsid w:val="00F44BB9"/>
    <w:rsid w:val="00F45F9C"/>
    <w:rsid w:val="00F4600C"/>
    <w:rsid w:val="00F463EB"/>
    <w:rsid w:val="00F46ADD"/>
    <w:rsid w:val="00F474EF"/>
    <w:rsid w:val="00F477BB"/>
    <w:rsid w:val="00F47A6D"/>
    <w:rsid w:val="00F47F0F"/>
    <w:rsid w:val="00F507A3"/>
    <w:rsid w:val="00F5097B"/>
    <w:rsid w:val="00F50B44"/>
    <w:rsid w:val="00F5102B"/>
    <w:rsid w:val="00F51529"/>
    <w:rsid w:val="00F51574"/>
    <w:rsid w:val="00F51894"/>
    <w:rsid w:val="00F51D93"/>
    <w:rsid w:val="00F5214C"/>
    <w:rsid w:val="00F5215B"/>
    <w:rsid w:val="00F5301A"/>
    <w:rsid w:val="00F53ADF"/>
    <w:rsid w:val="00F541C4"/>
    <w:rsid w:val="00F54563"/>
    <w:rsid w:val="00F549FF"/>
    <w:rsid w:val="00F54B39"/>
    <w:rsid w:val="00F54BF4"/>
    <w:rsid w:val="00F55CDE"/>
    <w:rsid w:val="00F55D4F"/>
    <w:rsid w:val="00F55E4E"/>
    <w:rsid w:val="00F56B1A"/>
    <w:rsid w:val="00F56C51"/>
    <w:rsid w:val="00F5704F"/>
    <w:rsid w:val="00F577AB"/>
    <w:rsid w:val="00F57B56"/>
    <w:rsid w:val="00F60515"/>
    <w:rsid w:val="00F60A7B"/>
    <w:rsid w:val="00F60DF3"/>
    <w:rsid w:val="00F60E9B"/>
    <w:rsid w:val="00F60FFA"/>
    <w:rsid w:val="00F61497"/>
    <w:rsid w:val="00F634E4"/>
    <w:rsid w:val="00F6351E"/>
    <w:rsid w:val="00F63A96"/>
    <w:rsid w:val="00F63B02"/>
    <w:rsid w:val="00F644FE"/>
    <w:rsid w:val="00F6458E"/>
    <w:rsid w:val="00F64738"/>
    <w:rsid w:val="00F64A81"/>
    <w:rsid w:val="00F64DCA"/>
    <w:rsid w:val="00F665A9"/>
    <w:rsid w:val="00F6702A"/>
    <w:rsid w:val="00F67351"/>
    <w:rsid w:val="00F675FD"/>
    <w:rsid w:val="00F678B6"/>
    <w:rsid w:val="00F704CC"/>
    <w:rsid w:val="00F70605"/>
    <w:rsid w:val="00F714E1"/>
    <w:rsid w:val="00F71946"/>
    <w:rsid w:val="00F7194C"/>
    <w:rsid w:val="00F7214D"/>
    <w:rsid w:val="00F7310A"/>
    <w:rsid w:val="00F7364E"/>
    <w:rsid w:val="00F7470B"/>
    <w:rsid w:val="00F747A9"/>
    <w:rsid w:val="00F75406"/>
    <w:rsid w:val="00F754EC"/>
    <w:rsid w:val="00F7596D"/>
    <w:rsid w:val="00F765E4"/>
    <w:rsid w:val="00F766A1"/>
    <w:rsid w:val="00F76B58"/>
    <w:rsid w:val="00F770B5"/>
    <w:rsid w:val="00F7771F"/>
    <w:rsid w:val="00F77AD9"/>
    <w:rsid w:val="00F806DD"/>
    <w:rsid w:val="00F80816"/>
    <w:rsid w:val="00F8115F"/>
    <w:rsid w:val="00F81375"/>
    <w:rsid w:val="00F81505"/>
    <w:rsid w:val="00F81520"/>
    <w:rsid w:val="00F818BA"/>
    <w:rsid w:val="00F82481"/>
    <w:rsid w:val="00F824F2"/>
    <w:rsid w:val="00F82D82"/>
    <w:rsid w:val="00F83365"/>
    <w:rsid w:val="00F833F1"/>
    <w:rsid w:val="00F83C29"/>
    <w:rsid w:val="00F83CE2"/>
    <w:rsid w:val="00F8417A"/>
    <w:rsid w:val="00F842D8"/>
    <w:rsid w:val="00F84A5B"/>
    <w:rsid w:val="00F84A64"/>
    <w:rsid w:val="00F84B17"/>
    <w:rsid w:val="00F84D3F"/>
    <w:rsid w:val="00F8561D"/>
    <w:rsid w:val="00F859DA"/>
    <w:rsid w:val="00F86576"/>
    <w:rsid w:val="00F86662"/>
    <w:rsid w:val="00F86F8C"/>
    <w:rsid w:val="00F87789"/>
    <w:rsid w:val="00F87F10"/>
    <w:rsid w:val="00F905BD"/>
    <w:rsid w:val="00F90758"/>
    <w:rsid w:val="00F90762"/>
    <w:rsid w:val="00F90C09"/>
    <w:rsid w:val="00F90F55"/>
    <w:rsid w:val="00F9148D"/>
    <w:rsid w:val="00F9206A"/>
    <w:rsid w:val="00F92272"/>
    <w:rsid w:val="00F92714"/>
    <w:rsid w:val="00F92BD3"/>
    <w:rsid w:val="00F93E6D"/>
    <w:rsid w:val="00F94776"/>
    <w:rsid w:val="00F962EC"/>
    <w:rsid w:val="00F9632E"/>
    <w:rsid w:val="00F96E42"/>
    <w:rsid w:val="00F973F7"/>
    <w:rsid w:val="00F97D63"/>
    <w:rsid w:val="00F97DAB"/>
    <w:rsid w:val="00FA0215"/>
    <w:rsid w:val="00FA17BA"/>
    <w:rsid w:val="00FA1975"/>
    <w:rsid w:val="00FA1DBF"/>
    <w:rsid w:val="00FA1E16"/>
    <w:rsid w:val="00FA2034"/>
    <w:rsid w:val="00FA221D"/>
    <w:rsid w:val="00FA2570"/>
    <w:rsid w:val="00FA3F9D"/>
    <w:rsid w:val="00FA40F4"/>
    <w:rsid w:val="00FA4746"/>
    <w:rsid w:val="00FA51E6"/>
    <w:rsid w:val="00FA5BE7"/>
    <w:rsid w:val="00FA6BB7"/>
    <w:rsid w:val="00FA6D7D"/>
    <w:rsid w:val="00FA6E9E"/>
    <w:rsid w:val="00FA72D9"/>
    <w:rsid w:val="00FA748C"/>
    <w:rsid w:val="00FA7A92"/>
    <w:rsid w:val="00FA7B6E"/>
    <w:rsid w:val="00FB03EF"/>
    <w:rsid w:val="00FB03F4"/>
    <w:rsid w:val="00FB045C"/>
    <w:rsid w:val="00FB055C"/>
    <w:rsid w:val="00FB1570"/>
    <w:rsid w:val="00FB25F9"/>
    <w:rsid w:val="00FB297F"/>
    <w:rsid w:val="00FB2E3E"/>
    <w:rsid w:val="00FB30E9"/>
    <w:rsid w:val="00FB3278"/>
    <w:rsid w:val="00FB3638"/>
    <w:rsid w:val="00FB3F80"/>
    <w:rsid w:val="00FB4CAC"/>
    <w:rsid w:val="00FB4D52"/>
    <w:rsid w:val="00FB4E6C"/>
    <w:rsid w:val="00FB527B"/>
    <w:rsid w:val="00FB5FB1"/>
    <w:rsid w:val="00FB637F"/>
    <w:rsid w:val="00FB6722"/>
    <w:rsid w:val="00FB68C2"/>
    <w:rsid w:val="00FB6D9A"/>
    <w:rsid w:val="00FB6FE9"/>
    <w:rsid w:val="00FB74DA"/>
    <w:rsid w:val="00FB798A"/>
    <w:rsid w:val="00FB7B72"/>
    <w:rsid w:val="00FB7FAD"/>
    <w:rsid w:val="00FC0A92"/>
    <w:rsid w:val="00FC0B1E"/>
    <w:rsid w:val="00FC0DE0"/>
    <w:rsid w:val="00FC0E1D"/>
    <w:rsid w:val="00FC1350"/>
    <w:rsid w:val="00FC135A"/>
    <w:rsid w:val="00FC1931"/>
    <w:rsid w:val="00FC1A0C"/>
    <w:rsid w:val="00FC1AE3"/>
    <w:rsid w:val="00FC1B25"/>
    <w:rsid w:val="00FC1CF9"/>
    <w:rsid w:val="00FC1F0E"/>
    <w:rsid w:val="00FC215D"/>
    <w:rsid w:val="00FC25DB"/>
    <w:rsid w:val="00FC2BEF"/>
    <w:rsid w:val="00FC2D10"/>
    <w:rsid w:val="00FC3231"/>
    <w:rsid w:val="00FC3AF0"/>
    <w:rsid w:val="00FC3D54"/>
    <w:rsid w:val="00FC43BB"/>
    <w:rsid w:val="00FC4503"/>
    <w:rsid w:val="00FC598D"/>
    <w:rsid w:val="00FC6259"/>
    <w:rsid w:val="00FC7727"/>
    <w:rsid w:val="00FC7C74"/>
    <w:rsid w:val="00FD0224"/>
    <w:rsid w:val="00FD056C"/>
    <w:rsid w:val="00FD098A"/>
    <w:rsid w:val="00FD0A75"/>
    <w:rsid w:val="00FD0B05"/>
    <w:rsid w:val="00FD0C0F"/>
    <w:rsid w:val="00FD0D34"/>
    <w:rsid w:val="00FD1925"/>
    <w:rsid w:val="00FD1B62"/>
    <w:rsid w:val="00FD22CF"/>
    <w:rsid w:val="00FD2F9B"/>
    <w:rsid w:val="00FD35AC"/>
    <w:rsid w:val="00FD36E5"/>
    <w:rsid w:val="00FD3C5D"/>
    <w:rsid w:val="00FD59D9"/>
    <w:rsid w:val="00FD5B53"/>
    <w:rsid w:val="00FD607A"/>
    <w:rsid w:val="00FD6137"/>
    <w:rsid w:val="00FD6573"/>
    <w:rsid w:val="00FD65DF"/>
    <w:rsid w:val="00FD6ADF"/>
    <w:rsid w:val="00FD782A"/>
    <w:rsid w:val="00FD7DA0"/>
    <w:rsid w:val="00FE0379"/>
    <w:rsid w:val="00FE03B1"/>
    <w:rsid w:val="00FE2054"/>
    <w:rsid w:val="00FE2207"/>
    <w:rsid w:val="00FE3AE5"/>
    <w:rsid w:val="00FE3E74"/>
    <w:rsid w:val="00FE4DB4"/>
    <w:rsid w:val="00FE4EA6"/>
    <w:rsid w:val="00FE518C"/>
    <w:rsid w:val="00FE5303"/>
    <w:rsid w:val="00FE5381"/>
    <w:rsid w:val="00FE56A3"/>
    <w:rsid w:val="00FE5847"/>
    <w:rsid w:val="00FE6018"/>
    <w:rsid w:val="00FE65B0"/>
    <w:rsid w:val="00FE68CE"/>
    <w:rsid w:val="00FE6DB0"/>
    <w:rsid w:val="00FE6E83"/>
    <w:rsid w:val="00FE7293"/>
    <w:rsid w:val="00FE7AC7"/>
    <w:rsid w:val="00FE7E4D"/>
    <w:rsid w:val="00FF0708"/>
    <w:rsid w:val="00FF0917"/>
    <w:rsid w:val="00FF0A4C"/>
    <w:rsid w:val="00FF14DA"/>
    <w:rsid w:val="00FF1CC0"/>
    <w:rsid w:val="00FF21E2"/>
    <w:rsid w:val="00FF2710"/>
    <w:rsid w:val="00FF2715"/>
    <w:rsid w:val="00FF2D4E"/>
    <w:rsid w:val="00FF31E7"/>
    <w:rsid w:val="00FF32E5"/>
    <w:rsid w:val="00FF35E8"/>
    <w:rsid w:val="00FF3A32"/>
    <w:rsid w:val="00FF454D"/>
    <w:rsid w:val="00FF46F5"/>
    <w:rsid w:val="00FF4A09"/>
    <w:rsid w:val="00FF4C9C"/>
    <w:rsid w:val="00FF4F64"/>
    <w:rsid w:val="00FF51E1"/>
    <w:rsid w:val="00FF5C34"/>
    <w:rsid w:val="00FF6081"/>
    <w:rsid w:val="00FF6571"/>
    <w:rsid w:val="00FF6EAF"/>
    <w:rsid w:val="05E8A4DB"/>
    <w:rsid w:val="12CF1569"/>
    <w:rsid w:val="13AD3D27"/>
    <w:rsid w:val="18EB6280"/>
    <w:rsid w:val="1A7B1D95"/>
    <w:rsid w:val="275BD025"/>
    <w:rsid w:val="27B8C081"/>
    <w:rsid w:val="2DBBDE1E"/>
    <w:rsid w:val="2F0A8B14"/>
    <w:rsid w:val="37C15C87"/>
    <w:rsid w:val="54E4C743"/>
    <w:rsid w:val="5951F8AF"/>
    <w:rsid w:val="6BB432CC"/>
    <w:rsid w:val="7429B13E"/>
    <w:rsid w:val="75CD31D0"/>
    <w:rsid w:val="766F5387"/>
    <w:rsid w:val="796ADB6C"/>
    <w:rsid w:val="7B55ED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2515B"/>
  <w15:docId w15:val="{1B46FEA4-AFCE-48B2-BD2A-4E80AD7D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5887"/>
    <w:rPr>
      <w:rFonts w:asciiTheme="minorHAnsi" w:hAnsiTheme="minorHAnsi"/>
      <w:sz w:val="24"/>
    </w:rPr>
  </w:style>
  <w:style w:type="paragraph" w:styleId="Heading1">
    <w:name w:val="heading 1"/>
    <w:basedOn w:val="Normal"/>
    <w:next w:val="Normal"/>
    <w:link w:val="Heading1Char"/>
    <w:uiPriority w:val="9"/>
    <w:rsid w:val="00ED69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D69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D699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92645"/>
    <w:pPr>
      <w:tabs>
        <w:tab w:val="center" w:pos="4320"/>
        <w:tab w:val="right" w:pos="8640"/>
      </w:tabs>
    </w:pPr>
  </w:style>
  <w:style w:type="paragraph" w:styleId="Footer">
    <w:name w:val="footer"/>
    <w:basedOn w:val="Normal"/>
    <w:link w:val="FooterChar"/>
    <w:uiPriority w:val="99"/>
    <w:rsid w:val="00892645"/>
    <w:pPr>
      <w:tabs>
        <w:tab w:val="center" w:pos="4320"/>
        <w:tab w:val="right" w:pos="8640"/>
      </w:tabs>
    </w:pPr>
  </w:style>
  <w:style w:type="character" w:styleId="Hyperlink">
    <w:name w:val="Hyperlink"/>
    <w:uiPriority w:val="99"/>
    <w:rsid w:val="00021A9E"/>
    <w:rPr>
      <w:color w:val="0000FF"/>
      <w:u w:val="single"/>
    </w:rPr>
  </w:style>
  <w:style w:type="character" w:styleId="FollowedHyperlink">
    <w:name w:val="FollowedHyperlink"/>
    <w:uiPriority w:val="99"/>
    <w:rsid w:val="00021A9E"/>
    <w:rPr>
      <w:color w:val="800080"/>
      <w:u w:val="single"/>
    </w:rPr>
  </w:style>
  <w:style w:type="paragraph" w:styleId="BalloonText">
    <w:name w:val="Balloon Text"/>
    <w:basedOn w:val="Normal"/>
    <w:link w:val="BalloonTextChar"/>
    <w:uiPriority w:val="99"/>
    <w:rsid w:val="00553D64"/>
    <w:rPr>
      <w:rFonts w:ascii="Tahoma" w:hAnsi="Tahoma" w:cs="Tahoma"/>
      <w:sz w:val="16"/>
      <w:szCs w:val="16"/>
    </w:rPr>
  </w:style>
  <w:style w:type="character" w:customStyle="1" w:styleId="BalloonTextChar">
    <w:name w:val="Balloon Text Char"/>
    <w:link w:val="BalloonText"/>
    <w:uiPriority w:val="99"/>
    <w:rsid w:val="00553D64"/>
    <w:rPr>
      <w:rFonts w:ascii="Tahoma" w:hAnsi="Tahoma" w:cs="Tahoma"/>
      <w:sz w:val="16"/>
      <w:szCs w:val="16"/>
    </w:rPr>
  </w:style>
  <w:style w:type="character" w:styleId="CommentReference">
    <w:name w:val="annotation reference"/>
    <w:uiPriority w:val="99"/>
    <w:rsid w:val="006E1FD8"/>
    <w:rPr>
      <w:sz w:val="16"/>
      <w:szCs w:val="16"/>
    </w:rPr>
  </w:style>
  <w:style w:type="paragraph" w:styleId="CommentText">
    <w:name w:val="annotation text"/>
    <w:basedOn w:val="Normal"/>
    <w:link w:val="CommentTextChar"/>
    <w:uiPriority w:val="99"/>
    <w:rsid w:val="006E1FD8"/>
  </w:style>
  <w:style w:type="character" w:customStyle="1" w:styleId="CommentTextChar">
    <w:name w:val="Comment Text Char"/>
    <w:basedOn w:val="DefaultParagraphFont"/>
    <w:link w:val="CommentText"/>
    <w:uiPriority w:val="99"/>
    <w:rsid w:val="006E1FD8"/>
  </w:style>
  <w:style w:type="paragraph" w:styleId="CommentSubject">
    <w:name w:val="annotation subject"/>
    <w:basedOn w:val="CommentText"/>
    <w:next w:val="CommentText"/>
    <w:link w:val="CommentSubjectChar"/>
    <w:uiPriority w:val="99"/>
    <w:rsid w:val="006E1FD8"/>
    <w:rPr>
      <w:b/>
      <w:bCs/>
    </w:rPr>
  </w:style>
  <w:style w:type="character" w:customStyle="1" w:styleId="CommentSubjectChar">
    <w:name w:val="Comment Subject Char"/>
    <w:link w:val="CommentSubject"/>
    <w:uiPriority w:val="99"/>
    <w:rsid w:val="006E1FD8"/>
    <w:rPr>
      <w:b/>
      <w:bCs/>
    </w:rPr>
  </w:style>
  <w:style w:type="character" w:customStyle="1" w:styleId="HeaderChar">
    <w:name w:val="Header Char"/>
    <w:link w:val="Header"/>
    <w:uiPriority w:val="99"/>
    <w:rsid w:val="006E4775"/>
  </w:style>
  <w:style w:type="character" w:customStyle="1" w:styleId="FooterChar">
    <w:name w:val="Footer Char"/>
    <w:link w:val="Footer"/>
    <w:uiPriority w:val="99"/>
    <w:rsid w:val="00F44784"/>
  </w:style>
  <w:style w:type="character" w:styleId="PageNumber">
    <w:name w:val="page number"/>
    <w:basedOn w:val="DefaultParagraphFont"/>
    <w:unhideWhenUsed/>
    <w:rsid w:val="00F44784"/>
  </w:style>
  <w:style w:type="paragraph" w:styleId="ListParagraph">
    <w:name w:val="List Paragraph"/>
    <w:aliases w:val="Paragraph Bullet,Medium Grid 1 - Accent 21,RMSI bulle Style,List Paragraph1,Bullet  Paragraph,Heading3 Char,Heading3,Issue Action POC,3,POCG Table Text,Dot pt,F5 List Paragraph,List Paragraph Char Char Char,Indicator Text,Numbered Para 1"/>
    <w:basedOn w:val="Normal"/>
    <w:link w:val="ListParagraphChar"/>
    <w:uiPriority w:val="34"/>
    <w:qFormat/>
    <w:rsid w:val="00271DC8"/>
    <w:pPr>
      <w:ind w:left="720"/>
      <w:contextualSpacing/>
    </w:pPr>
  </w:style>
  <w:style w:type="character" w:styleId="PlaceholderText">
    <w:name w:val="Placeholder Text"/>
    <w:basedOn w:val="DefaultParagraphFont"/>
    <w:uiPriority w:val="99"/>
    <w:semiHidden/>
    <w:rsid w:val="000E7CAC"/>
    <w:rPr>
      <w:color w:val="808080"/>
    </w:rPr>
  </w:style>
  <w:style w:type="character" w:customStyle="1" w:styleId="Style1">
    <w:name w:val="Style1"/>
    <w:basedOn w:val="DefaultParagraphFont"/>
    <w:uiPriority w:val="1"/>
    <w:qFormat/>
    <w:rsid w:val="00481C6B"/>
    <w:rPr>
      <w:rFonts w:asciiTheme="minorHAnsi" w:hAnsiTheme="minorHAnsi"/>
      <w:sz w:val="24"/>
    </w:rPr>
  </w:style>
  <w:style w:type="character" w:customStyle="1" w:styleId="Style2">
    <w:name w:val="Style2"/>
    <w:basedOn w:val="DefaultParagraphFont"/>
    <w:uiPriority w:val="1"/>
    <w:rsid w:val="006D723E"/>
    <w:rPr>
      <w:rFonts w:asciiTheme="minorHAnsi" w:hAnsiTheme="minorHAnsi"/>
      <w:b/>
      <w:color w:val="FFFFFF" w:themeColor="background1"/>
      <w:sz w:val="24"/>
    </w:rPr>
  </w:style>
  <w:style w:type="character" w:customStyle="1" w:styleId="Heading1Char">
    <w:name w:val="Heading 1 Char"/>
    <w:basedOn w:val="DefaultParagraphFont"/>
    <w:link w:val="Heading1"/>
    <w:uiPriority w:val="9"/>
    <w:rsid w:val="00ED69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D69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D6997"/>
    <w:rPr>
      <w:rFonts w:asciiTheme="majorHAnsi" w:eastAsiaTheme="majorEastAsia" w:hAnsiTheme="majorHAnsi" w:cstheme="majorBidi"/>
      <w:b/>
      <w:bCs/>
      <w:color w:val="4F81BD" w:themeColor="accent1"/>
      <w:sz w:val="24"/>
    </w:rPr>
  </w:style>
  <w:style w:type="paragraph" w:styleId="BodyTextIndent">
    <w:name w:val="Body Text Indent"/>
    <w:basedOn w:val="Normal"/>
    <w:link w:val="BodyTextIndentChar"/>
    <w:rsid w:val="004D6448"/>
    <w:pPr>
      <w:widowControl w:val="0"/>
      <w:ind w:left="720"/>
    </w:pPr>
    <w:rPr>
      <w:rFonts w:ascii="CG Times" w:hAnsi="CG Times"/>
      <w:snapToGrid w:val="0"/>
      <w:sz w:val="22"/>
    </w:rPr>
  </w:style>
  <w:style w:type="character" w:customStyle="1" w:styleId="BodyTextIndentChar">
    <w:name w:val="Body Text Indent Char"/>
    <w:basedOn w:val="DefaultParagraphFont"/>
    <w:link w:val="BodyTextIndent"/>
    <w:rsid w:val="004D6448"/>
    <w:rPr>
      <w:rFonts w:ascii="CG Times" w:hAnsi="CG Times"/>
      <w:snapToGrid w:val="0"/>
      <w:sz w:val="22"/>
    </w:rPr>
  </w:style>
  <w:style w:type="paragraph" w:styleId="Title">
    <w:name w:val="Title"/>
    <w:basedOn w:val="Normal"/>
    <w:link w:val="TitleChar"/>
    <w:rsid w:val="004D6448"/>
    <w:pPr>
      <w:widowControl w:val="0"/>
      <w:jc w:val="center"/>
    </w:pPr>
    <w:rPr>
      <w:rFonts w:ascii="CG Times" w:hAnsi="CG Times"/>
      <w:b/>
      <w:snapToGrid w:val="0"/>
      <w:sz w:val="22"/>
    </w:rPr>
  </w:style>
  <w:style w:type="character" w:customStyle="1" w:styleId="TitleChar">
    <w:name w:val="Title Char"/>
    <w:basedOn w:val="DefaultParagraphFont"/>
    <w:link w:val="Title"/>
    <w:rsid w:val="004D6448"/>
    <w:rPr>
      <w:rFonts w:ascii="CG Times" w:hAnsi="CG Times"/>
      <w:b/>
      <w:snapToGrid w:val="0"/>
      <w:sz w:val="22"/>
    </w:rPr>
  </w:style>
  <w:style w:type="paragraph" w:styleId="BodyTextIndent2">
    <w:name w:val="Body Text Indent 2"/>
    <w:basedOn w:val="Normal"/>
    <w:link w:val="BodyTextIndent2Char"/>
    <w:rsid w:val="004D6448"/>
    <w:pPr>
      <w:widowControl w:val="0"/>
      <w:ind w:left="720" w:hanging="720"/>
    </w:pPr>
    <w:rPr>
      <w:rFonts w:ascii="CG Times" w:hAnsi="CG Times"/>
      <w:snapToGrid w:val="0"/>
      <w:sz w:val="22"/>
    </w:rPr>
  </w:style>
  <w:style w:type="character" w:customStyle="1" w:styleId="BodyTextIndent2Char">
    <w:name w:val="Body Text Indent 2 Char"/>
    <w:basedOn w:val="DefaultParagraphFont"/>
    <w:link w:val="BodyTextIndent2"/>
    <w:rsid w:val="004D6448"/>
    <w:rPr>
      <w:rFonts w:ascii="CG Times" w:hAnsi="CG Times"/>
      <w:snapToGrid w:val="0"/>
      <w:sz w:val="22"/>
    </w:rPr>
  </w:style>
  <w:style w:type="paragraph" w:styleId="BodyTextIndent3">
    <w:name w:val="Body Text Indent 3"/>
    <w:basedOn w:val="Normal"/>
    <w:link w:val="BodyTextIndent3Char"/>
    <w:rsid w:val="004D6448"/>
    <w:pPr>
      <w:widowControl w:val="0"/>
      <w:spacing w:before="100" w:beforeAutospacing="1" w:after="100" w:afterAutospacing="1"/>
      <w:ind w:left="990" w:hanging="270"/>
    </w:pPr>
    <w:rPr>
      <w:rFonts w:ascii="Times New Roman" w:hAnsi="Times New Roman"/>
      <w:snapToGrid w:val="0"/>
      <w:sz w:val="18"/>
    </w:rPr>
  </w:style>
  <w:style w:type="character" w:customStyle="1" w:styleId="BodyTextIndent3Char">
    <w:name w:val="Body Text Indent 3 Char"/>
    <w:basedOn w:val="DefaultParagraphFont"/>
    <w:link w:val="BodyTextIndent3"/>
    <w:rsid w:val="004D6448"/>
    <w:rPr>
      <w:snapToGrid w:val="0"/>
      <w:sz w:val="18"/>
    </w:rPr>
  </w:style>
  <w:style w:type="table" w:styleId="TableGrid">
    <w:name w:val="Table Grid"/>
    <w:basedOn w:val="TableNormal"/>
    <w:uiPriority w:val="59"/>
    <w:rsid w:val="0039455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Bullet Char,Medium Grid 1 - Accent 21 Char,RMSI bulle Style Char,List Paragraph1 Char,Bullet  Paragraph Char,Heading3 Char Char,Heading3 Char1,Issue Action POC Char,3 Char,POCG Table Text Char,Dot pt Char"/>
    <w:basedOn w:val="DefaultParagraphFont"/>
    <w:link w:val="ListParagraph"/>
    <w:uiPriority w:val="34"/>
    <w:qFormat/>
    <w:locked/>
    <w:rsid w:val="00271DC8"/>
    <w:rPr>
      <w:rFonts w:asciiTheme="minorHAnsi" w:hAnsiTheme="minorHAnsi"/>
      <w:sz w:val="24"/>
    </w:rPr>
  </w:style>
  <w:style w:type="paragraph" w:customStyle="1" w:styleId="FOATemplateBody">
    <w:name w:val="FOA Template Body"/>
    <w:basedOn w:val="Normal"/>
    <w:link w:val="FOATemplateBodyChar"/>
    <w:qFormat/>
    <w:rsid w:val="00271DC8"/>
    <w:rPr>
      <w:rFonts w:ascii="Calibri" w:eastAsiaTheme="minorHAnsi" w:hAnsi="Calibri" w:cstheme="minorBidi"/>
      <w:szCs w:val="22"/>
    </w:rPr>
  </w:style>
  <w:style w:type="numbering" w:customStyle="1" w:styleId="FOATemplateListStyle1">
    <w:name w:val="FOA Template List Style 1"/>
    <w:uiPriority w:val="99"/>
    <w:rsid w:val="006A24B8"/>
    <w:pPr>
      <w:numPr>
        <w:numId w:val="2"/>
      </w:numPr>
    </w:pPr>
  </w:style>
  <w:style w:type="paragraph" w:customStyle="1" w:styleId="FOAHeading1">
    <w:name w:val="FOA Heading 1"/>
    <w:basedOn w:val="Normal"/>
    <w:autoRedefine/>
    <w:qFormat/>
    <w:rsid w:val="00B159B5"/>
    <w:pPr>
      <w:numPr>
        <w:numId w:val="3"/>
      </w:numPr>
      <w:ind w:left="1080" w:hanging="720"/>
      <w:outlineLvl w:val="0"/>
    </w:pPr>
    <w:rPr>
      <w:rFonts w:ascii="Calibri" w:eastAsiaTheme="minorHAnsi" w:hAnsi="Calibri" w:cstheme="minorBidi"/>
      <w:b/>
      <w:color w:val="000000" w:themeColor="text1"/>
      <w:sz w:val="36"/>
      <w:szCs w:val="22"/>
    </w:rPr>
  </w:style>
  <w:style w:type="paragraph" w:customStyle="1" w:styleId="FOAHeading2">
    <w:name w:val="FOA Heading 2"/>
    <w:basedOn w:val="Normal"/>
    <w:autoRedefine/>
    <w:qFormat/>
    <w:rsid w:val="006C50BA"/>
    <w:pPr>
      <w:keepNext/>
      <w:numPr>
        <w:ilvl w:val="1"/>
        <w:numId w:val="3"/>
      </w:numPr>
      <w:outlineLvl w:val="1"/>
    </w:pPr>
    <w:rPr>
      <w:rFonts w:ascii="Calibri" w:eastAsiaTheme="minorHAnsi" w:hAnsi="Calibri" w:cstheme="minorBidi"/>
      <w:b/>
      <w:color w:val="000000" w:themeColor="text1"/>
      <w:sz w:val="32"/>
      <w:szCs w:val="32"/>
    </w:rPr>
  </w:style>
  <w:style w:type="paragraph" w:customStyle="1" w:styleId="FOATemplateStyle3">
    <w:name w:val="FOA Template Style 3"/>
    <w:basedOn w:val="Normal"/>
    <w:autoRedefine/>
    <w:rsid w:val="007D349C"/>
    <w:pPr>
      <w:numPr>
        <w:numId w:val="33"/>
      </w:numPr>
      <w:tabs>
        <w:tab w:val="left" w:pos="1800"/>
      </w:tabs>
    </w:pPr>
    <w:rPr>
      <w:rFonts w:ascii="Calibri" w:eastAsiaTheme="minorHAnsi" w:hAnsi="Calibri" w:cstheme="minorBidi"/>
      <w:b/>
      <w:sz w:val="28"/>
      <w:szCs w:val="22"/>
    </w:rPr>
  </w:style>
  <w:style w:type="paragraph" w:customStyle="1" w:styleId="FOAHeading4">
    <w:name w:val="FOA Heading 4"/>
    <w:basedOn w:val="Normal"/>
    <w:qFormat/>
    <w:rsid w:val="006D67C1"/>
    <w:pPr>
      <w:numPr>
        <w:ilvl w:val="3"/>
        <w:numId w:val="3"/>
      </w:numPr>
    </w:pPr>
    <w:rPr>
      <w:rFonts w:ascii="Calibri" w:eastAsiaTheme="minorHAnsi" w:hAnsi="Calibri" w:cstheme="minorBidi"/>
      <w:b/>
      <w:color w:val="000000" w:themeColor="text1"/>
      <w:szCs w:val="22"/>
    </w:rPr>
  </w:style>
  <w:style w:type="paragraph" w:customStyle="1" w:styleId="FOATemplateTable">
    <w:name w:val="FOA Template Table"/>
    <w:basedOn w:val="FOATemplateBody"/>
    <w:rsid w:val="006A24B8"/>
    <w:rPr>
      <w:rFonts w:asciiTheme="minorHAnsi" w:hAnsiTheme="minorHAnsi"/>
      <w:color w:val="000000" w:themeColor="text1"/>
      <w:sz w:val="21"/>
    </w:rPr>
  </w:style>
  <w:style w:type="paragraph" w:styleId="TOC1">
    <w:name w:val="toc 1"/>
    <w:basedOn w:val="Normal"/>
    <w:next w:val="Normal"/>
    <w:autoRedefine/>
    <w:uiPriority w:val="39"/>
    <w:unhideWhenUsed/>
    <w:rsid w:val="001C07B2"/>
    <w:pPr>
      <w:tabs>
        <w:tab w:val="left" w:pos="475"/>
        <w:tab w:val="right" w:leader="dot" w:pos="9350"/>
      </w:tabs>
      <w:spacing w:before="120" w:after="120"/>
    </w:pPr>
    <w:rPr>
      <w:rFonts w:eastAsiaTheme="minorHAnsi" w:cstheme="minorBidi"/>
      <w:b/>
      <w:bCs/>
      <w:sz w:val="20"/>
    </w:rPr>
  </w:style>
  <w:style w:type="paragraph" w:styleId="TOC2">
    <w:name w:val="toc 2"/>
    <w:basedOn w:val="Normal"/>
    <w:next w:val="Normal"/>
    <w:autoRedefine/>
    <w:uiPriority w:val="39"/>
    <w:unhideWhenUsed/>
    <w:rsid w:val="000032BC"/>
    <w:pPr>
      <w:tabs>
        <w:tab w:val="left" w:pos="720"/>
        <w:tab w:val="right" w:leader="dot" w:pos="9350"/>
      </w:tabs>
      <w:ind w:left="245"/>
    </w:pPr>
    <w:rPr>
      <w:rFonts w:eastAsiaTheme="minorHAnsi" w:cstheme="minorBidi"/>
      <w:sz w:val="20"/>
    </w:rPr>
  </w:style>
  <w:style w:type="paragraph" w:styleId="TOC3">
    <w:name w:val="toc 3"/>
    <w:basedOn w:val="Normal"/>
    <w:next w:val="Normal"/>
    <w:autoRedefine/>
    <w:uiPriority w:val="39"/>
    <w:unhideWhenUsed/>
    <w:rsid w:val="00CC7E79"/>
    <w:pPr>
      <w:tabs>
        <w:tab w:val="left" w:pos="960"/>
        <w:tab w:val="right" w:leader="dot" w:pos="9350"/>
      </w:tabs>
      <w:ind w:left="979" w:hanging="504"/>
    </w:pPr>
    <w:rPr>
      <w:rFonts w:ascii="Calibri" w:eastAsiaTheme="minorHAnsi" w:hAnsi="Calibri" w:cstheme="minorBidi"/>
      <w:iCs/>
      <w:noProof/>
      <w:sz w:val="20"/>
    </w:rPr>
  </w:style>
  <w:style w:type="paragraph" w:styleId="TOC4">
    <w:name w:val="toc 4"/>
    <w:basedOn w:val="Normal"/>
    <w:next w:val="Normal"/>
    <w:autoRedefine/>
    <w:uiPriority w:val="39"/>
    <w:unhideWhenUsed/>
    <w:rsid w:val="006A24B8"/>
    <w:pPr>
      <w:ind w:left="720"/>
    </w:pPr>
    <w:rPr>
      <w:rFonts w:eastAsiaTheme="minorHAnsi" w:cstheme="minorBidi"/>
      <w:sz w:val="18"/>
      <w:szCs w:val="18"/>
    </w:rPr>
  </w:style>
  <w:style w:type="paragraph" w:styleId="TOC5">
    <w:name w:val="toc 5"/>
    <w:basedOn w:val="Normal"/>
    <w:next w:val="Normal"/>
    <w:autoRedefine/>
    <w:uiPriority w:val="39"/>
    <w:unhideWhenUsed/>
    <w:rsid w:val="006A24B8"/>
    <w:pPr>
      <w:ind w:left="960"/>
    </w:pPr>
    <w:rPr>
      <w:rFonts w:eastAsiaTheme="minorHAnsi" w:cstheme="minorBidi"/>
      <w:sz w:val="18"/>
      <w:szCs w:val="18"/>
    </w:rPr>
  </w:style>
  <w:style w:type="paragraph" w:styleId="TOC6">
    <w:name w:val="toc 6"/>
    <w:basedOn w:val="Normal"/>
    <w:next w:val="Normal"/>
    <w:autoRedefine/>
    <w:uiPriority w:val="39"/>
    <w:unhideWhenUsed/>
    <w:rsid w:val="006A24B8"/>
    <w:pPr>
      <w:ind w:left="1200"/>
    </w:pPr>
    <w:rPr>
      <w:rFonts w:eastAsiaTheme="minorHAnsi" w:cstheme="minorBidi"/>
      <w:sz w:val="18"/>
      <w:szCs w:val="18"/>
    </w:rPr>
  </w:style>
  <w:style w:type="paragraph" w:styleId="TOC7">
    <w:name w:val="toc 7"/>
    <w:basedOn w:val="Normal"/>
    <w:next w:val="Normal"/>
    <w:autoRedefine/>
    <w:uiPriority w:val="39"/>
    <w:unhideWhenUsed/>
    <w:rsid w:val="006A24B8"/>
    <w:pPr>
      <w:ind w:left="1440"/>
    </w:pPr>
    <w:rPr>
      <w:rFonts w:eastAsiaTheme="minorHAnsi" w:cstheme="minorBidi"/>
      <w:sz w:val="18"/>
      <w:szCs w:val="18"/>
    </w:rPr>
  </w:style>
  <w:style w:type="paragraph" w:styleId="TOC8">
    <w:name w:val="toc 8"/>
    <w:basedOn w:val="Normal"/>
    <w:next w:val="Normal"/>
    <w:autoRedefine/>
    <w:uiPriority w:val="39"/>
    <w:unhideWhenUsed/>
    <w:rsid w:val="006A24B8"/>
    <w:pPr>
      <w:ind w:left="1680"/>
    </w:pPr>
    <w:rPr>
      <w:rFonts w:eastAsiaTheme="minorHAnsi" w:cstheme="minorBidi"/>
      <w:sz w:val="18"/>
      <w:szCs w:val="18"/>
    </w:rPr>
  </w:style>
  <w:style w:type="paragraph" w:styleId="TOC9">
    <w:name w:val="toc 9"/>
    <w:basedOn w:val="Normal"/>
    <w:next w:val="Normal"/>
    <w:autoRedefine/>
    <w:uiPriority w:val="39"/>
    <w:unhideWhenUsed/>
    <w:rsid w:val="006A24B8"/>
    <w:pPr>
      <w:ind w:left="1920"/>
    </w:pPr>
    <w:rPr>
      <w:rFonts w:eastAsiaTheme="minorHAnsi" w:cstheme="minorBidi"/>
      <w:sz w:val="18"/>
      <w:szCs w:val="18"/>
    </w:rPr>
  </w:style>
  <w:style w:type="paragraph" w:customStyle="1" w:styleId="AppendixHeading">
    <w:name w:val="Appendix Heading"/>
    <w:basedOn w:val="Normal"/>
    <w:link w:val="AppendixHeadingChar"/>
    <w:qFormat/>
    <w:rsid w:val="00D5338C"/>
    <w:pPr>
      <w:jc w:val="center"/>
    </w:pPr>
    <w:rPr>
      <w:rFonts w:ascii="Calibri" w:eastAsiaTheme="minorHAnsi" w:hAnsi="Calibri" w:cstheme="minorBidi"/>
      <w:b/>
      <w:smallCaps/>
      <w:sz w:val="36"/>
      <w:szCs w:val="40"/>
    </w:rPr>
  </w:style>
  <w:style w:type="character" w:customStyle="1" w:styleId="AppendixHeadingChar">
    <w:name w:val="Appendix Heading Char"/>
    <w:basedOn w:val="DefaultParagraphFont"/>
    <w:link w:val="AppendixHeading"/>
    <w:rsid w:val="00D5338C"/>
    <w:rPr>
      <w:rFonts w:ascii="Calibri" w:eastAsiaTheme="minorHAnsi" w:hAnsi="Calibri" w:cstheme="minorBidi"/>
      <w:b/>
      <w:smallCaps/>
      <w:sz w:val="36"/>
      <w:szCs w:val="40"/>
    </w:rPr>
  </w:style>
  <w:style w:type="paragraph" w:styleId="Revision">
    <w:name w:val="Revision"/>
    <w:hidden/>
    <w:uiPriority w:val="99"/>
    <w:semiHidden/>
    <w:rsid w:val="006A24B8"/>
    <w:rPr>
      <w:rFonts w:ascii="Calibri" w:eastAsiaTheme="minorHAnsi" w:hAnsi="Calibri" w:cstheme="minorBidi"/>
      <w:sz w:val="24"/>
      <w:szCs w:val="22"/>
    </w:rPr>
  </w:style>
  <w:style w:type="paragraph" w:styleId="PlainText">
    <w:name w:val="Plain Text"/>
    <w:basedOn w:val="Normal"/>
    <w:link w:val="PlainTextChar"/>
    <w:uiPriority w:val="99"/>
    <w:unhideWhenUsed/>
    <w:rsid w:val="006A24B8"/>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6A24B8"/>
    <w:rPr>
      <w:rFonts w:ascii="Calibri" w:eastAsiaTheme="minorHAnsi" w:hAnsi="Calibri" w:cs="Consolas"/>
      <w:sz w:val="22"/>
      <w:szCs w:val="21"/>
    </w:rPr>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6A24B8"/>
    <w:rPr>
      <w:rFonts w:eastAsiaTheme="minorHAnsi" w:cstheme="minorBidi"/>
      <w:sz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rsid w:val="006A24B8"/>
    <w:rPr>
      <w:rFonts w:asciiTheme="minorHAnsi" w:eastAsiaTheme="minorHAnsi" w:hAnsiTheme="minorHAnsi" w:cstheme="minorBidi"/>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basedOn w:val="DefaultParagraphFont"/>
    <w:unhideWhenUsed/>
    <w:rsid w:val="006A24B8"/>
    <w:rPr>
      <w:vertAlign w:val="superscript"/>
    </w:rPr>
  </w:style>
  <w:style w:type="paragraph" w:styleId="EndnoteText">
    <w:name w:val="endnote text"/>
    <w:basedOn w:val="Normal"/>
    <w:link w:val="EndnoteTextChar"/>
    <w:uiPriority w:val="99"/>
    <w:semiHidden/>
    <w:unhideWhenUsed/>
    <w:rsid w:val="006A24B8"/>
    <w:rPr>
      <w:rFonts w:ascii="Calibri" w:eastAsiaTheme="minorHAnsi" w:hAnsi="Calibri" w:cstheme="minorBidi"/>
      <w:sz w:val="20"/>
    </w:rPr>
  </w:style>
  <w:style w:type="character" w:customStyle="1" w:styleId="EndnoteTextChar">
    <w:name w:val="Endnote Text Char"/>
    <w:basedOn w:val="DefaultParagraphFont"/>
    <w:link w:val="EndnoteText"/>
    <w:uiPriority w:val="99"/>
    <w:semiHidden/>
    <w:rsid w:val="006A24B8"/>
    <w:rPr>
      <w:rFonts w:ascii="Calibri" w:eastAsiaTheme="minorHAnsi" w:hAnsi="Calibri" w:cstheme="minorBidi"/>
    </w:rPr>
  </w:style>
  <w:style w:type="character" w:styleId="EndnoteReference">
    <w:name w:val="endnote reference"/>
    <w:basedOn w:val="DefaultParagraphFont"/>
    <w:uiPriority w:val="99"/>
    <w:semiHidden/>
    <w:unhideWhenUsed/>
    <w:rsid w:val="006A24B8"/>
    <w:rPr>
      <w:vertAlign w:val="superscript"/>
    </w:rPr>
  </w:style>
  <w:style w:type="paragraph" w:styleId="BodyText2">
    <w:name w:val="Body Text 2"/>
    <w:basedOn w:val="Normal"/>
    <w:link w:val="BodyText2Char"/>
    <w:semiHidden/>
    <w:unhideWhenUsed/>
    <w:rsid w:val="006A24B8"/>
    <w:pPr>
      <w:spacing w:after="120" w:line="480" w:lineRule="auto"/>
    </w:pPr>
    <w:rPr>
      <w:rFonts w:ascii="Times New Roman" w:hAnsi="Times New Roman"/>
      <w:szCs w:val="24"/>
    </w:rPr>
  </w:style>
  <w:style w:type="character" w:customStyle="1" w:styleId="BodyText2Char">
    <w:name w:val="Body Text 2 Char"/>
    <w:basedOn w:val="DefaultParagraphFont"/>
    <w:link w:val="BodyText2"/>
    <w:semiHidden/>
    <w:rsid w:val="006A24B8"/>
    <w:rPr>
      <w:sz w:val="24"/>
      <w:szCs w:val="24"/>
    </w:rPr>
  </w:style>
  <w:style w:type="paragraph" w:styleId="NormalWeb">
    <w:name w:val="Normal (Web)"/>
    <w:basedOn w:val="Normal"/>
    <w:uiPriority w:val="99"/>
    <w:semiHidden/>
    <w:unhideWhenUsed/>
    <w:rsid w:val="006A24B8"/>
    <w:pPr>
      <w:spacing w:before="100" w:beforeAutospacing="1" w:after="100" w:afterAutospacing="1"/>
      <w:ind w:firstLine="480"/>
    </w:pPr>
    <w:rPr>
      <w:rFonts w:ascii="Times New Roman" w:hAnsi="Times New Roman"/>
      <w:szCs w:val="24"/>
    </w:rPr>
  </w:style>
  <w:style w:type="character" w:customStyle="1" w:styleId="Style3">
    <w:name w:val="Style3"/>
    <w:basedOn w:val="DefaultParagraphFont"/>
    <w:uiPriority w:val="1"/>
    <w:rsid w:val="009C6820"/>
    <w:rPr>
      <w:rFonts w:asciiTheme="minorHAnsi" w:hAnsiTheme="minorHAnsi"/>
      <w:b/>
      <w:sz w:val="36"/>
    </w:rPr>
  </w:style>
  <w:style w:type="character" w:customStyle="1" w:styleId="14Bold">
    <w:name w:val="14 Bold"/>
    <w:basedOn w:val="DefaultParagraphFont"/>
    <w:uiPriority w:val="1"/>
    <w:rsid w:val="0000759E"/>
    <w:rPr>
      <w:rFonts w:asciiTheme="minorHAnsi" w:hAnsiTheme="minorHAnsi"/>
      <w:b/>
      <w:sz w:val="28"/>
    </w:rPr>
  </w:style>
  <w:style w:type="character" w:customStyle="1" w:styleId="105Calibri">
    <w:name w:val="10.5 Calibri"/>
    <w:basedOn w:val="DefaultParagraphFont"/>
    <w:uiPriority w:val="1"/>
    <w:rsid w:val="00D069AD"/>
    <w:rPr>
      <w:rFonts w:asciiTheme="minorHAnsi" w:hAnsiTheme="minorHAnsi"/>
      <w:sz w:val="21"/>
    </w:rPr>
  </w:style>
  <w:style w:type="character" w:customStyle="1" w:styleId="12Bold">
    <w:name w:val="12 Bold"/>
    <w:basedOn w:val="DefaultParagraphFont"/>
    <w:uiPriority w:val="1"/>
    <w:rsid w:val="00A9301C"/>
    <w:rPr>
      <w:rFonts w:asciiTheme="minorHAnsi" w:hAnsiTheme="minorHAnsi"/>
      <w:b/>
      <w:sz w:val="24"/>
    </w:rPr>
  </w:style>
  <w:style w:type="paragraph" w:customStyle="1" w:styleId="Default">
    <w:name w:val="Default"/>
    <w:rsid w:val="00D41E04"/>
    <w:pPr>
      <w:autoSpaceDE w:val="0"/>
      <w:autoSpaceDN w:val="0"/>
      <w:adjustRightInd w:val="0"/>
    </w:pPr>
    <w:rPr>
      <w:color w:val="000000"/>
      <w:sz w:val="24"/>
      <w:szCs w:val="24"/>
    </w:rPr>
  </w:style>
  <w:style w:type="paragraph" w:customStyle="1" w:styleId="FOAHeading3">
    <w:name w:val="FOA Heading 3"/>
    <w:basedOn w:val="ListParagraph"/>
    <w:link w:val="FOAHeading3Char"/>
    <w:qFormat/>
    <w:rsid w:val="00371D04"/>
    <w:pPr>
      <w:keepNext/>
      <w:numPr>
        <w:numId w:val="34"/>
      </w:numPr>
    </w:pPr>
    <w:rPr>
      <w:rFonts w:ascii="Calibri" w:hAnsi="Calibri"/>
      <w:b/>
      <w:sz w:val="28"/>
      <w:szCs w:val="28"/>
    </w:rPr>
  </w:style>
  <w:style w:type="paragraph" w:styleId="TOCHeading">
    <w:name w:val="TOC Heading"/>
    <w:basedOn w:val="Heading1"/>
    <w:next w:val="Normal"/>
    <w:uiPriority w:val="39"/>
    <w:unhideWhenUsed/>
    <w:qFormat/>
    <w:rsid w:val="000F432F"/>
    <w:pPr>
      <w:spacing w:before="240" w:line="259" w:lineRule="auto"/>
      <w:outlineLvl w:val="9"/>
    </w:pPr>
    <w:rPr>
      <w:b w:val="0"/>
      <w:bCs w:val="0"/>
      <w:sz w:val="32"/>
      <w:szCs w:val="32"/>
    </w:rPr>
  </w:style>
  <w:style w:type="character" w:customStyle="1" w:styleId="FOAHeading3Char">
    <w:name w:val="FOA Heading 3 Char"/>
    <w:basedOn w:val="ListParagraphChar"/>
    <w:link w:val="FOAHeading3"/>
    <w:rsid w:val="00371D04"/>
    <w:rPr>
      <w:rFonts w:ascii="Calibri" w:hAnsi="Calibri"/>
      <w:b/>
      <w:sz w:val="28"/>
      <w:szCs w:val="28"/>
    </w:rPr>
  </w:style>
  <w:style w:type="character" w:styleId="Emphasis">
    <w:name w:val="Emphasis"/>
    <w:basedOn w:val="DefaultParagraphFont"/>
    <w:rsid w:val="00417FB4"/>
    <w:rPr>
      <w:i/>
      <w:iCs/>
    </w:rPr>
  </w:style>
  <w:style w:type="paragraph" w:customStyle="1" w:styleId="FOATemplateStyle1">
    <w:name w:val="FOA Template Style 1"/>
    <w:basedOn w:val="Normal"/>
    <w:autoRedefine/>
    <w:rsid w:val="00EE6102"/>
    <w:pPr>
      <w:ind w:left="720" w:hanging="720"/>
    </w:pPr>
    <w:rPr>
      <w:rFonts w:ascii="Calibri" w:eastAsiaTheme="minorHAnsi" w:hAnsi="Calibri" w:cstheme="minorBidi"/>
      <w:b/>
      <w:color w:val="000000" w:themeColor="text1"/>
      <w:sz w:val="36"/>
      <w:szCs w:val="22"/>
    </w:rPr>
  </w:style>
  <w:style w:type="paragraph" w:customStyle="1" w:styleId="FOATemplateStyle2">
    <w:name w:val="FOA Template Style 2"/>
    <w:basedOn w:val="Normal"/>
    <w:autoRedefine/>
    <w:rsid w:val="00EE6102"/>
    <w:pPr>
      <w:ind w:left="1080" w:hanging="360"/>
    </w:pPr>
    <w:rPr>
      <w:rFonts w:ascii="Calibri" w:eastAsiaTheme="minorHAnsi" w:hAnsi="Calibri" w:cstheme="minorBidi"/>
      <w:b/>
      <w:color w:val="000000" w:themeColor="text1"/>
      <w:sz w:val="32"/>
      <w:szCs w:val="22"/>
    </w:rPr>
  </w:style>
  <w:style w:type="paragraph" w:customStyle="1" w:styleId="FOATemplateStyle4">
    <w:name w:val="FOA Template Style 4"/>
    <w:basedOn w:val="Normal"/>
    <w:rsid w:val="00EE6102"/>
    <w:pPr>
      <w:ind w:left="5040" w:hanging="360"/>
    </w:pPr>
    <w:rPr>
      <w:rFonts w:ascii="Calibri" w:eastAsiaTheme="minorHAnsi" w:hAnsi="Calibri" w:cstheme="minorBidi"/>
      <w:i/>
      <w:color w:val="000000" w:themeColor="text1"/>
      <w:szCs w:val="22"/>
    </w:rPr>
  </w:style>
  <w:style w:type="character" w:customStyle="1" w:styleId="Style4">
    <w:name w:val="Style4"/>
    <w:basedOn w:val="DefaultParagraphFont"/>
    <w:uiPriority w:val="1"/>
    <w:rsid w:val="00D07031"/>
    <w:rPr>
      <w:rFonts w:asciiTheme="minorHAnsi" w:hAnsiTheme="minorHAnsi"/>
      <w:b/>
      <w:sz w:val="28"/>
    </w:rPr>
  </w:style>
  <w:style w:type="character" w:customStyle="1" w:styleId="14Calibri">
    <w:name w:val="14 Calibri"/>
    <w:basedOn w:val="DefaultParagraphFont"/>
    <w:uiPriority w:val="1"/>
    <w:qFormat/>
    <w:rsid w:val="00414AFD"/>
    <w:rPr>
      <w:rFonts w:asciiTheme="minorHAnsi" w:hAnsiTheme="minorHAnsi"/>
      <w:sz w:val="28"/>
    </w:rPr>
  </w:style>
  <w:style w:type="character" w:customStyle="1" w:styleId="UnresolvedMention1">
    <w:name w:val="Unresolved Mention1"/>
    <w:basedOn w:val="DefaultParagraphFont"/>
    <w:uiPriority w:val="99"/>
    <w:semiHidden/>
    <w:unhideWhenUsed/>
    <w:rsid w:val="004367ED"/>
    <w:rPr>
      <w:color w:val="605E5C"/>
      <w:shd w:val="clear" w:color="auto" w:fill="E1DFDD"/>
    </w:rPr>
  </w:style>
  <w:style w:type="character" w:styleId="UnresolvedMention">
    <w:name w:val="Unresolved Mention"/>
    <w:basedOn w:val="DefaultParagraphFont"/>
    <w:uiPriority w:val="99"/>
    <w:semiHidden/>
    <w:unhideWhenUsed/>
    <w:rsid w:val="00C93233"/>
    <w:rPr>
      <w:color w:val="605E5C"/>
      <w:shd w:val="clear" w:color="auto" w:fill="E1DFDD"/>
    </w:rPr>
  </w:style>
  <w:style w:type="paragraph" w:customStyle="1" w:styleId="xmsonormal">
    <w:name w:val="x_msonormal"/>
    <w:basedOn w:val="Normal"/>
    <w:rsid w:val="00EC6CAB"/>
    <w:rPr>
      <w:rFonts w:ascii="Calibri" w:eastAsiaTheme="minorHAnsi" w:hAnsi="Calibri"/>
      <w:sz w:val="22"/>
      <w:szCs w:val="22"/>
    </w:rPr>
  </w:style>
  <w:style w:type="paragraph" w:styleId="BodyText">
    <w:name w:val="Body Text"/>
    <w:basedOn w:val="Normal"/>
    <w:link w:val="BodyTextChar"/>
    <w:unhideWhenUsed/>
    <w:qFormat/>
    <w:rsid w:val="00411682"/>
    <w:pPr>
      <w:spacing w:after="120"/>
    </w:pPr>
  </w:style>
  <w:style w:type="character" w:customStyle="1" w:styleId="BodyTextChar">
    <w:name w:val="Body Text Char"/>
    <w:basedOn w:val="DefaultParagraphFont"/>
    <w:link w:val="BodyText"/>
    <w:rsid w:val="00411682"/>
    <w:rPr>
      <w:rFonts w:asciiTheme="minorHAnsi" w:hAnsiTheme="minorHAnsi"/>
      <w:sz w:val="24"/>
    </w:rPr>
  </w:style>
  <w:style w:type="character" w:styleId="Strong">
    <w:name w:val="Strong"/>
    <w:basedOn w:val="DefaultParagraphFont"/>
    <w:uiPriority w:val="22"/>
    <w:qFormat/>
    <w:rsid w:val="001D2C74"/>
    <w:rPr>
      <w:b/>
      <w:bCs/>
    </w:rPr>
  </w:style>
  <w:style w:type="character" w:customStyle="1" w:styleId="normaltextrun">
    <w:name w:val="normaltextrun"/>
    <w:basedOn w:val="DefaultParagraphFont"/>
    <w:rsid w:val="0003247F"/>
  </w:style>
  <w:style w:type="paragraph" w:customStyle="1" w:styleId="paragraph">
    <w:name w:val="paragraph"/>
    <w:basedOn w:val="Normal"/>
    <w:rsid w:val="00770892"/>
    <w:pPr>
      <w:spacing w:before="100" w:beforeAutospacing="1" w:after="100" w:afterAutospacing="1"/>
    </w:pPr>
    <w:rPr>
      <w:rFonts w:ascii="Times New Roman" w:hAnsi="Times New Roman"/>
      <w:szCs w:val="24"/>
    </w:rPr>
  </w:style>
  <w:style w:type="character" w:customStyle="1" w:styleId="eop">
    <w:name w:val="eop"/>
    <w:basedOn w:val="DefaultParagraphFont"/>
    <w:rsid w:val="00770892"/>
  </w:style>
  <w:style w:type="character" w:styleId="Mention">
    <w:name w:val="Mention"/>
    <w:basedOn w:val="DefaultParagraphFont"/>
    <w:uiPriority w:val="99"/>
    <w:unhideWhenUsed/>
    <w:rsid w:val="00E34CBF"/>
    <w:rPr>
      <w:color w:val="2B579A"/>
      <w:shd w:val="clear" w:color="auto" w:fill="E1DFDD"/>
    </w:rPr>
  </w:style>
  <w:style w:type="paragraph" w:styleId="Caption">
    <w:name w:val="caption"/>
    <w:basedOn w:val="FOATemplateBody"/>
    <w:next w:val="Normal"/>
    <w:unhideWhenUsed/>
    <w:qFormat/>
    <w:rsid w:val="00FC0DE0"/>
    <w:pPr>
      <w:ind w:left="1260"/>
    </w:pPr>
    <w:rPr>
      <w:b/>
      <w:bCs/>
      <w:color w:val="000000"/>
    </w:rPr>
  </w:style>
  <w:style w:type="character" w:customStyle="1" w:styleId="FOATemplateBodyChar">
    <w:name w:val="FOA Template Body Char"/>
    <w:basedOn w:val="DefaultParagraphFont"/>
    <w:link w:val="FOATemplateBody"/>
    <w:rsid w:val="00FC0DE0"/>
    <w:rPr>
      <w:rFonts w:ascii="Calibri" w:eastAsiaTheme="minorHAnsi" w:hAnsi="Calibri" w:cstheme="minorBidi"/>
      <w:sz w:val="24"/>
      <w:szCs w:val="22"/>
    </w:rPr>
  </w:style>
  <w:style w:type="table" w:customStyle="1" w:styleId="31">
    <w:name w:val="31"/>
    <w:basedOn w:val="TableNormal"/>
    <w:rsid w:val="00FC0DE0"/>
    <w:rPr>
      <w:rFonts w:ascii="Calibri" w:eastAsia="Calibri" w:hAnsi="Calibri" w:cs="Calibri"/>
      <w:sz w:val="24"/>
      <w:szCs w:val="24"/>
    </w:rPr>
    <w:tblPr>
      <w:tblStyleRowBandSize w:val="1"/>
      <w:tblStyleColBandSize w:val="1"/>
      <w:tblCellMar>
        <w:left w:w="115" w:type="dxa"/>
        <w:right w:w="115" w:type="dxa"/>
      </w:tblCellMar>
    </w:tblPr>
  </w:style>
  <w:style w:type="table" w:customStyle="1" w:styleId="29">
    <w:name w:val="29"/>
    <w:basedOn w:val="TableNormal"/>
    <w:rsid w:val="00FC0DE0"/>
    <w:rPr>
      <w:rFonts w:ascii="Calibri" w:eastAsia="Calibri" w:hAnsi="Calibri" w:cs="Calibri"/>
      <w:sz w:val="24"/>
      <w:szCs w:val="24"/>
    </w:rPr>
    <w:tblPr>
      <w:tblStyleRowBandSize w:val="1"/>
      <w:tblStyleColBandSize w:val="1"/>
      <w:tblCellMar>
        <w:left w:w="115" w:type="dxa"/>
        <w:right w:w="115" w:type="dxa"/>
      </w:tblCellMar>
    </w:tblPr>
  </w:style>
  <w:style w:type="paragraph" w:customStyle="1" w:styleId="FOAHyperlink-Body">
    <w:name w:val="FOA Hyperlink - Body"/>
    <w:basedOn w:val="FOATemplateBody"/>
    <w:link w:val="FOAHyperlink-BodyChar"/>
    <w:qFormat/>
    <w:rsid w:val="00FC0DE0"/>
    <w:pPr>
      <w:ind w:left="1260"/>
    </w:pPr>
    <w:rPr>
      <w:color w:val="0000FF"/>
      <w:u w:val="single"/>
    </w:rPr>
  </w:style>
  <w:style w:type="character" w:customStyle="1" w:styleId="FOAHyperlink-BodyChar">
    <w:name w:val="FOA Hyperlink - Body Char"/>
    <w:basedOn w:val="FOATemplateBodyChar"/>
    <w:link w:val="FOAHyperlink-Body"/>
    <w:rsid w:val="00FC0DE0"/>
    <w:rPr>
      <w:rFonts w:ascii="Calibri" w:eastAsiaTheme="minorHAnsi" w:hAnsi="Calibri" w:cstheme="minorBidi"/>
      <w:color w:val="0000FF"/>
      <w:sz w:val="24"/>
      <w:szCs w:val="22"/>
      <w:u w:val="single"/>
    </w:rPr>
  </w:style>
  <w:style w:type="table" w:customStyle="1" w:styleId="2">
    <w:name w:val="2"/>
    <w:basedOn w:val="TableNormal"/>
    <w:rsid w:val="009014E4"/>
    <w:rPr>
      <w:rFonts w:ascii="Calibri" w:eastAsia="Calibri" w:hAnsi="Calibri" w:cs="Calibri"/>
      <w:sz w:val="22"/>
      <w:szCs w:val="22"/>
    </w:rPr>
    <w:tblPr>
      <w:tblStyleRowBandSize w:val="1"/>
      <w:tblStyleColBandSize w:val="1"/>
    </w:tblPr>
  </w:style>
  <w:style w:type="character" w:customStyle="1" w:styleId="findhit">
    <w:name w:val="findhit"/>
    <w:basedOn w:val="DefaultParagraphFont"/>
    <w:rsid w:val="00574460"/>
  </w:style>
  <w:style w:type="paragraph" w:customStyle="1" w:styleId="pf0">
    <w:name w:val="pf0"/>
    <w:basedOn w:val="Normal"/>
    <w:rsid w:val="004573B1"/>
    <w:pPr>
      <w:spacing w:before="100" w:beforeAutospacing="1" w:after="100" w:afterAutospacing="1"/>
      <w:ind w:left="360"/>
    </w:pPr>
    <w:rPr>
      <w:rFonts w:ascii="Times New Roman" w:hAnsi="Times New Roman"/>
      <w:szCs w:val="24"/>
    </w:rPr>
  </w:style>
  <w:style w:type="character" w:customStyle="1" w:styleId="cf01">
    <w:name w:val="cf01"/>
    <w:basedOn w:val="DefaultParagraphFont"/>
    <w:rsid w:val="004573B1"/>
    <w:rPr>
      <w:rFonts w:ascii="Segoe UI" w:hAnsi="Segoe UI" w:cs="Segoe UI" w:hint="default"/>
      <w:sz w:val="18"/>
      <w:szCs w:val="18"/>
    </w:rPr>
  </w:style>
  <w:style w:type="character" w:customStyle="1" w:styleId="cf11">
    <w:name w:val="cf11"/>
    <w:basedOn w:val="DefaultParagraphFont"/>
    <w:rsid w:val="004573B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66082">
      <w:bodyDiv w:val="1"/>
      <w:marLeft w:val="0"/>
      <w:marRight w:val="0"/>
      <w:marTop w:val="0"/>
      <w:marBottom w:val="0"/>
      <w:divBdr>
        <w:top w:val="none" w:sz="0" w:space="0" w:color="auto"/>
        <w:left w:val="none" w:sz="0" w:space="0" w:color="auto"/>
        <w:bottom w:val="none" w:sz="0" w:space="0" w:color="auto"/>
        <w:right w:val="none" w:sz="0" w:space="0" w:color="auto"/>
      </w:divBdr>
    </w:div>
    <w:div w:id="540870407">
      <w:bodyDiv w:val="1"/>
      <w:marLeft w:val="0"/>
      <w:marRight w:val="0"/>
      <w:marTop w:val="0"/>
      <w:marBottom w:val="0"/>
      <w:divBdr>
        <w:top w:val="none" w:sz="0" w:space="0" w:color="auto"/>
        <w:left w:val="none" w:sz="0" w:space="0" w:color="auto"/>
        <w:bottom w:val="none" w:sz="0" w:space="0" w:color="auto"/>
        <w:right w:val="none" w:sz="0" w:space="0" w:color="auto"/>
      </w:divBdr>
      <w:divsChild>
        <w:div w:id="775052859">
          <w:marLeft w:val="1800"/>
          <w:marRight w:val="0"/>
          <w:marTop w:val="0"/>
          <w:marBottom w:val="0"/>
          <w:divBdr>
            <w:top w:val="none" w:sz="0" w:space="0" w:color="auto"/>
            <w:left w:val="none" w:sz="0" w:space="0" w:color="auto"/>
            <w:bottom w:val="none" w:sz="0" w:space="0" w:color="auto"/>
            <w:right w:val="none" w:sz="0" w:space="0" w:color="auto"/>
          </w:divBdr>
        </w:div>
      </w:divsChild>
    </w:div>
    <w:div w:id="588664538">
      <w:bodyDiv w:val="1"/>
      <w:marLeft w:val="0"/>
      <w:marRight w:val="0"/>
      <w:marTop w:val="0"/>
      <w:marBottom w:val="0"/>
      <w:divBdr>
        <w:top w:val="none" w:sz="0" w:space="0" w:color="auto"/>
        <w:left w:val="none" w:sz="0" w:space="0" w:color="auto"/>
        <w:bottom w:val="none" w:sz="0" w:space="0" w:color="auto"/>
        <w:right w:val="none" w:sz="0" w:space="0" w:color="auto"/>
      </w:divBdr>
      <w:divsChild>
        <w:div w:id="32924620">
          <w:marLeft w:val="1800"/>
          <w:marRight w:val="0"/>
          <w:marTop w:val="0"/>
          <w:marBottom w:val="0"/>
          <w:divBdr>
            <w:top w:val="none" w:sz="0" w:space="0" w:color="auto"/>
            <w:left w:val="none" w:sz="0" w:space="0" w:color="auto"/>
            <w:bottom w:val="none" w:sz="0" w:space="0" w:color="auto"/>
            <w:right w:val="none" w:sz="0" w:space="0" w:color="auto"/>
          </w:divBdr>
        </w:div>
      </w:divsChild>
    </w:div>
    <w:div w:id="597755484">
      <w:bodyDiv w:val="1"/>
      <w:marLeft w:val="0"/>
      <w:marRight w:val="0"/>
      <w:marTop w:val="0"/>
      <w:marBottom w:val="0"/>
      <w:divBdr>
        <w:top w:val="none" w:sz="0" w:space="0" w:color="auto"/>
        <w:left w:val="none" w:sz="0" w:space="0" w:color="auto"/>
        <w:bottom w:val="none" w:sz="0" w:space="0" w:color="auto"/>
        <w:right w:val="none" w:sz="0" w:space="0" w:color="auto"/>
      </w:divBdr>
    </w:div>
    <w:div w:id="613556974">
      <w:bodyDiv w:val="1"/>
      <w:marLeft w:val="0"/>
      <w:marRight w:val="0"/>
      <w:marTop w:val="0"/>
      <w:marBottom w:val="0"/>
      <w:divBdr>
        <w:top w:val="none" w:sz="0" w:space="0" w:color="auto"/>
        <w:left w:val="none" w:sz="0" w:space="0" w:color="auto"/>
        <w:bottom w:val="none" w:sz="0" w:space="0" w:color="auto"/>
        <w:right w:val="none" w:sz="0" w:space="0" w:color="auto"/>
      </w:divBdr>
      <w:divsChild>
        <w:div w:id="1990164149">
          <w:marLeft w:val="1800"/>
          <w:marRight w:val="0"/>
          <w:marTop w:val="0"/>
          <w:marBottom w:val="0"/>
          <w:divBdr>
            <w:top w:val="none" w:sz="0" w:space="0" w:color="auto"/>
            <w:left w:val="none" w:sz="0" w:space="0" w:color="auto"/>
            <w:bottom w:val="none" w:sz="0" w:space="0" w:color="auto"/>
            <w:right w:val="none" w:sz="0" w:space="0" w:color="auto"/>
          </w:divBdr>
        </w:div>
      </w:divsChild>
    </w:div>
    <w:div w:id="724794435">
      <w:bodyDiv w:val="1"/>
      <w:marLeft w:val="0"/>
      <w:marRight w:val="0"/>
      <w:marTop w:val="0"/>
      <w:marBottom w:val="0"/>
      <w:divBdr>
        <w:top w:val="none" w:sz="0" w:space="0" w:color="auto"/>
        <w:left w:val="none" w:sz="0" w:space="0" w:color="auto"/>
        <w:bottom w:val="none" w:sz="0" w:space="0" w:color="auto"/>
        <w:right w:val="none" w:sz="0" w:space="0" w:color="auto"/>
      </w:divBdr>
    </w:div>
    <w:div w:id="1044479155">
      <w:bodyDiv w:val="1"/>
      <w:marLeft w:val="0"/>
      <w:marRight w:val="0"/>
      <w:marTop w:val="0"/>
      <w:marBottom w:val="0"/>
      <w:divBdr>
        <w:top w:val="none" w:sz="0" w:space="0" w:color="auto"/>
        <w:left w:val="none" w:sz="0" w:space="0" w:color="auto"/>
        <w:bottom w:val="none" w:sz="0" w:space="0" w:color="auto"/>
        <w:right w:val="none" w:sz="0" w:space="0" w:color="auto"/>
      </w:divBdr>
      <w:divsChild>
        <w:div w:id="1796480360">
          <w:marLeft w:val="547"/>
          <w:marRight w:val="0"/>
          <w:marTop w:val="86"/>
          <w:marBottom w:val="0"/>
          <w:divBdr>
            <w:top w:val="none" w:sz="0" w:space="0" w:color="auto"/>
            <w:left w:val="none" w:sz="0" w:space="0" w:color="auto"/>
            <w:bottom w:val="none" w:sz="0" w:space="0" w:color="auto"/>
            <w:right w:val="none" w:sz="0" w:space="0" w:color="auto"/>
          </w:divBdr>
        </w:div>
      </w:divsChild>
    </w:div>
    <w:div w:id="1490707886">
      <w:bodyDiv w:val="1"/>
      <w:marLeft w:val="0"/>
      <w:marRight w:val="0"/>
      <w:marTop w:val="0"/>
      <w:marBottom w:val="0"/>
      <w:divBdr>
        <w:top w:val="none" w:sz="0" w:space="0" w:color="auto"/>
        <w:left w:val="none" w:sz="0" w:space="0" w:color="auto"/>
        <w:bottom w:val="none" w:sz="0" w:space="0" w:color="auto"/>
        <w:right w:val="none" w:sz="0" w:space="0" w:color="auto"/>
      </w:divBdr>
      <w:divsChild>
        <w:div w:id="1542329538">
          <w:marLeft w:val="0"/>
          <w:marRight w:val="0"/>
          <w:marTop w:val="0"/>
          <w:marBottom w:val="0"/>
          <w:divBdr>
            <w:top w:val="none" w:sz="0" w:space="0" w:color="auto"/>
            <w:left w:val="none" w:sz="0" w:space="0" w:color="auto"/>
            <w:bottom w:val="none" w:sz="0" w:space="0" w:color="auto"/>
            <w:right w:val="none" w:sz="0" w:space="0" w:color="auto"/>
          </w:divBdr>
          <w:divsChild>
            <w:div w:id="519511488">
              <w:marLeft w:val="0"/>
              <w:marRight w:val="0"/>
              <w:marTop w:val="0"/>
              <w:marBottom w:val="0"/>
              <w:divBdr>
                <w:top w:val="none" w:sz="0" w:space="0" w:color="auto"/>
                <w:left w:val="none" w:sz="0" w:space="0" w:color="auto"/>
                <w:bottom w:val="none" w:sz="0" w:space="0" w:color="auto"/>
                <w:right w:val="none" w:sz="0" w:space="0" w:color="auto"/>
              </w:divBdr>
              <w:divsChild>
                <w:div w:id="1051539064">
                  <w:marLeft w:val="0"/>
                  <w:marRight w:val="0"/>
                  <w:marTop w:val="0"/>
                  <w:marBottom w:val="0"/>
                  <w:divBdr>
                    <w:top w:val="none" w:sz="0" w:space="0" w:color="auto"/>
                    <w:left w:val="none" w:sz="0" w:space="0" w:color="auto"/>
                    <w:bottom w:val="none" w:sz="0" w:space="0" w:color="auto"/>
                    <w:right w:val="none" w:sz="0" w:space="0" w:color="auto"/>
                  </w:divBdr>
                  <w:divsChild>
                    <w:div w:id="1516386630">
                      <w:marLeft w:val="0"/>
                      <w:marRight w:val="0"/>
                      <w:marTop w:val="0"/>
                      <w:marBottom w:val="0"/>
                      <w:divBdr>
                        <w:top w:val="none" w:sz="0" w:space="0" w:color="auto"/>
                        <w:left w:val="none" w:sz="0" w:space="0" w:color="auto"/>
                        <w:bottom w:val="none" w:sz="0" w:space="0" w:color="auto"/>
                        <w:right w:val="none" w:sz="0" w:space="0" w:color="auto"/>
                      </w:divBdr>
                      <w:divsChild>
                        <w:div w:id="1568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970">
              <w:marLeft w:val="0"/>
              <w:marRight w:val="0"/>
              <w:marTop w:val="0"/>
              <w:marBottom w:val="0"/>
              <w:divBdr>
                <w:top w:val="none" w:sz="0" w:space="0" w:color="auto"/>
                <w:left w:val="none" w:sz="0" w:space="0" w:color="auto"/>
                <w:bottom w:val="none" w:sz="0" w:space="0" w:color="auto"/>
                <w:right w:val="none" w:sz="0" w:space="0" w:color="auto"/>
              </w:divBdr>
            </w:div>
            <w:div w:id="886380595">
              <w:marLeft w:val="0"/>
              <w:marRight w:val="0"/>
              <w:marTop w:val="0"/>
              <w:marBottom w:val="0"/>
              <w:divBdr>
                <w:top w:val="none" w:sz="0" w:space="0" w:color="auto"/>
                <w:left w:val="none" w:sz="0" w:space="0" w:color="auto"/>
                <w:bottom w:val="none" w:sz="0" w:space="0" w:color="auto"/>
                <w:right w:val="none" w:sz="0" w:space="0" w:color="auto"/>
              </w:divBdr>
            </w:div>
            <w:div w:id="975795960">
              <w:marLeft w:val="0"/>
              <w:marRight w:val="0"/>
              <w:marTop w:val="0"/>
              <w:marBottom w:val="0"/>
              <w:divBdr>
                <w:top w:val="none" w:sz="0" w:space="0" w:color="auto"/>
                <w:left w:val="none" w:sz="0" w:space="0" w:color="auto"/>
                <w:bottom w:val="none" w:sz="0" w:space="0" w:color="auto"/>
                <w:right w:val="none" w:sz="0" w:space="0" w:color="auto"/>
              </w:divBdr>
              <w:divsChild>
                <w:div w:id="1639913328">
                  <w:marLeft w:val="0"/>
                  <w:marRight w:val="0"/>
                  <w:marTop w:val="0"/>
                  <w:marBottom w:val="0"/>
                  <w:divBdr>
                    <w:top w:val="none" w:sz="0" w:space="0" w:color="auto"/>
                    <w:left w:val="none" w:sz="0" w:space="0" w:color="auto"/>
                    <w:bottom w:val="none" w:sz="0" w:space="0" w:color="auto"/>
                    <w:right w:val="none" w:sz="0" w:space="0" w:color="auto"/>
                  </w:divBdr>
                  <w:divsChild>
                    <w:div w:id="1306012257">
                      <w:marLeft w:val="0"/>
                      <w:marRight w:val="0"/>
                      <w:marTop w:val="0"/>
                      <w:marBottom w:val="0"/>
                      <w:divBdr>
                        <w:top w:val="none" w:sz="0" w:space="0" w:color="auto"/>
                        <w:left w:val="none" w:sz="0" w:space="0" w:color="auto"/>
                        <w:bottom w:val="none" w:sz="0" w:space="0" w:color="auto"/>
                        <w:right w:val="none" w:sz="0" w:space="0" w:color="auto"/>
                      </w:divBdr>
                      <w:divsChild>
                        <w:div w:id="16951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427871">
              <w:marLeft w:val="0"/>
              <w:marRight w:val="0"/>
              <w:marTop w:val="0"/>
              <w:marBottom w:val="0"/>
              <w:divBdr>
                <w:top w:val="none" w:sz="0" w:space="0" w:color="auto"/>
                <w:left w:val="none" w:sz="0" w:space="0" w:color="auto"/>
                <w:bottom w:val="none" w:sz="0" w:space="0" w:color="auto"/>
                <w:right w:val="none" w:sz="0" w:space="0" w:color="auto"/>
              </w:divBdr>
              <w:divsChild>
                <w:div w:id="1676105949">
                  <w:marLeft w:val="0"/>
                  <w:marRight w:val="0"/>
                  <w:marTop w:val="0"/>
                  <w:marBottom w:val="0"/>
                  <w:divBdr>
                    <w:top w:val="none" w:sz="0" w:space="0" w:color="auto"/>
                    <w:left w:val="none" w:sz="0" w:space="0" w:color="auto"/>
                    <w:bottom w:val="none" w:sz="0" w:space="0" w:color="auto"/>
                    <w:right w:val="none" w:sz="0" w:space="0" w:color="auto"/>
                  </w:divBdr>
                  <w:divsChild>
                    <w:div w:id="977076433">
                      <w:marLeft w:val="0"/>
                      <w:marRight w:val="0"/>
                      <w:marTop w:val="0"/>
                      <w:marBottom w:val="0"/>
                      <w:divBdr>
                        <w:top w:val="none" w:sz="0" w:space="0" w:color="auto"/>
                        <w:left w:val="none" w:sz="0" w:space="0" w:color="auto"/>
                        <w:bottom w:val="none" w:sz="0" w:space="0" w:color="auto"/>
                        <w:right w:val="none" w:sz="0" w:space="0" w:color="auto"/>
                      </w:divBdr>
                      <w:divsChild>
                        <w:div w:id="113410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energy.gov/eere/funding/eere-funding-application-and-management-forms" TargetMode="External"/><Relationship Id="rId21" Type="http://schemas.openxmlformats.org/officeDocument/2006/relationships/header" Target="header3.xml"/><Relationship Id="rId42" Type="http://schemas.openxmlformats.org/officeDocument/2006/relationships/hyperlink" Target="https://sam.gov/content/home" TargetMode="External"/><Relationship Id="rId47" Type="http://schemas.openxmlformats.org/officeDocument/2006/relationships/hyperlink" Target="https://sam.gov/content/home" TargetMode="External"/><Relationship Id="rId63" Type="http://schemas.openxmlformats.org/officeDocument/2006/relationships/hyperlink" Target="https://www.energy.gov/management/pf-2022-09-fal-2022-01-implementation-doe-determination-exceptional-circumstances-under" TargetMode="External"/><Relationship Id="rId68" Type="http://schemas.openxmlformats.org/officeDocument/2006/relationships/hyperlink" Target="https://www.ecfr.gov/current/title-2/part-180" TargetMode="External"/><Relationship Id="rId84" Type="http://schemas.openxmlformats.org/officeDocument/2006/relationships/theme" Target="theme/theme1.xml"/><Relationship Id="rId16" Type="http://schemas.openxmlformats.org/officeDocument/2006/relationships/hyperlink" Target="https://www.fsd.gov/gsafsd_sp?id=kb_article_view&amp;sysparm_article=KB0058422&amp;sys_kb_id=1b5f22581b2115102fe5ed7ae54bcb4e&amp;spa=1" TargetMode="External"/><Relationship Id="rId11" Type="http://schemas.openxmlformats.org/officeDocument/2006/relationships/endnotes" Target="endnotes.xml"/><Relationship Id="rId32" Type="http://schemas.openxmlformats.org/officeDocument/2006/relationships/hyperlink" Target="https://eere-Exchange.energy.gov/" TargetMode="External"/><Relationship Id="rId37" Type="http://schemas.openxmlformats.org/officeDocument/2006/relationships/hyperlink" Target="https://www.grants.gov/web/grants/forms/sf-424-individual-family.html" TargetMode="External"/><Relationship Id="rId53" Type="http://schemas.openxmlformats.org/officeDocument/2006/relationships/hyperlink" Target="https://www.sam.gov" TargetMode="External"/><Relationship Id="rId58" Type="http://schemas.openxmlformats.org/officeDocument/2006/relationships/hyperlink" Target="https://www.energy.gov/nepa" TargetMode="External"/><Relationship Id="rId74" Type="http://schemas.openxmlformats.org/officeDocument/2006/relationships/hyperlink" Target="mailto:EERE-ExchangeSupport@hq.doe.gov" TargetMode="External"/><Relationship Id="rId79" Type="http://schemas.openxmlformats.org/officeDocument/2006/relationships/hyperlink" Target="https://greet.es.anl.gov/index.php" TargetMode="External"/><Relationship Id="rId5" Type="http://schemas.openxmlformats.org/officeDocument/2006/relationships/customXml" Target="../customXml/item5.xml"/><Relationship Id="rId61" Type="http://schemas.openxmlformats.org/officeDocument/2006/relationships/hyperlink" Target="http://energy.gov/gc/standard-intellectual-property-ip-provisions-financial-assistance-awards" TargetMode="External"/><Relationship Id="rId82" Type="http://schemas.openxmlformats.org/officeDocument/2006/relationships/hyperlink" Target="http://www.nsf.gov/statistics/ffrdclist/" TargetMode="External"/><Relationship Id="rId19" Type="http://schemas.openxmlformats.org/officeDocument/2006/relationships/header" Target="header2.xml"/><Relationship Id="rId14" Type="http://schemas.openxmlformats.org/officeDocument/2006/relationships/hyperlink" Target="https://sam.gov/content/help" TargetMode="External"/><Relationship Id="rId22" Type="http://schemas.openxmlformats.org/officeDocument/2006/relationships/footer" Target="footer3.xml"/><Relationship Id="rId27" Type="http://schemas.openxmlformats.org/officeDocument/2006/relationships/hyperlink" Target="https://eere-Exchange.energy.gov" TargetMode="External"/><Relationship Id="rId30" Type="http://schemas.openxmlformats.org/officeDocument/2006/relationships/hyperlink" Target="https://www.nsf.gov/bfa/dias/policy/researchprotection/commonform_biographicalsketch.pdf" TargetMode="External"/><Relationship Id="rId35" Type="http://schemas.openxmlformats.org/officeDocument/2006/relationships/hyperlink" Target="https://eere-Exchange.energy.gov/" TargetMode="External"/><Relationship Id="rId43" Type="http://schemas.openxmlformats.org/officeDocument/2006/relationships/hyperlink" Target="https://www.fsd.gov/gsafsd_sp?id=kb_article_view&amp;sysparm_article=KB0058422&amp;sys_kb_id=1b5f22581b2115102fe5ed7ae54bcb4e&amp;spa=1" TargetMode="External"/><Relationship Id="rId48" Type="http://schemas.openxmlformats.org/officeDocument/2006/relationships/hyperlink" Target="https://sam.gov/content/home" TargetMode="External"/><Relationship Id="rId56" Type="http://schemas.openxmlformats.org/officeDocument/2006/relationships/hyperlink" Target="http://www.grants.gov" TargetMode="External"/><Relationship Id="rId64" Type="http://schemas.openxmlformats.org/officeDocument/2006/relationships/hyperlink" Target="https://www.energy.gov/gc/us-manufacturing" TargetMode="External"/><Relationship Id="rId69" Type="http://schemas.openxmlformats.org/officeDocument/2006/relationships/hyperlink" Target="https://www.govinfo.gov/link/uscode/31/3321" TargetMode="External"/><Relationship Id="rId77" Type="http://schemas.openxmlformats.org/officeDocument/2006/relationships/footer" Target="footer4.xml"/><Relationship Id="rId8" Type="http://schemas.openxmlformats.org/officeDocument/2006/relationships/settings" Target="settings.xml"/><Relationship Id="rId51" Type="http://schemas.openxmlformats.org/officeDocument/2006/relationships/hyperlink" Target="https://eere-exchange.energy.gov/" TargetMode="External"/><Relationship Id="rId72" Type="http://schemas.openxmlformats.org/officeDocument/2006/relationships/hyperlink" Target="https://science.osti.gov/ber/human-subjects" TargetMode="External"/><Relationship Id="rId80" Type="http://schemas.openxmlformats.org/officeDocument/2006/relationships/hyperlink" Target="https://www.epa.gov/sites/production/files/2015-07/documents/rom.pdf" TargetMode="External"/><Relationship Id="rId3" Type="http://schemas.openxmlformats.org/officeDocument/2006/relationships/customXml" Target="../customXml/item3.xml"/><Relationship Id="rId12" Type="http://schemas.openxmlformats.org/officeDocument/2006/relationships/hyperlink" Target="https://eere-exchange.energy.gov/" TargetMode="External"/><Relationship Id="rId17" Type="http://schemas.openxmlformats.org/officeDocument/2006/relationships/header" Target="header1.xml"/><Relationship Id="rId25" Type="http://schemas.openxmlformats.org/officeDocument/2006/relationships/hyperlink" Target="mailto:EERE-ExchangeSupport@hq.doe.gov" TargetMode="External"/><Relationship Id="rId33" Type="http://schemas.openxmlformats.org/officeDocument/2006/relationships/hyperlink" Target="https://www.energy.gov/eere/funding/eere-funding-application-and-management-forms" TargetMode="External"/><Relationship Id="rId38" Type="http://schemas.openxmlformats.org/officeDocument/2006/relationships/hyperlink" Target="https://www.nsf.gov/bfa/dias/policy/researchprotection/commonform_cps.pdf" TargetMode="External"/><Relationship Id="rId46" Type="http://schemas.openxmlformats.org/officeDocument/2006/relationships/hyperlink" Target="https://sam.gov/content/home" TargetMode="External"/><Relationship Id="rId59" Type="http://schemas.openxmlformats.org/officeDocument/2006/relationships/hyperlink" Target="https://www.energy.gov/nepa/articles/eo-13690-establishing-federal-flood-risk-management-standard-and-process-further" TargetMode="External"/><Relationship Id="rId67" Type="http://schemas.openxmlformats.org/officeDocument/2006/relationships/hyperlink" Target="https://www.ecfr.gov/current/title-2/section-200.339" TargetMode="External"/><Relationship Id="rId20" Type="http://schemas.openxmlformats.org/officeDocument/2006/relationships/footer" Target="footer2.xml"/><Relationship Id="rId41" Type="http://schemas.openxmlformats.org/officeDocument/2006/relationships/hyperlink" Target="https://sam.gov/content/help" TargetMode="External"/><Relationship Id="rId54" Type="http://schemas.openxmlformats.org/officeDocument/2006/relationships/hyperlink" Target="https://www.fedconnect.net" TargetMode="External"/><Relationship Id="rId62" Type="http://schemas.openxmlformats.org/officeDocument/2006/relationships/hyperlink" Target="https://www.energy.gov/gc/standard-intellectual-property-ip-provisions-financial-assistance-awards" TargetMode="External"/><Relationship Id="rId70" Type="http://schemas.openxmlformats.org/officeDocument/2006/relationships/hyperlink" Target="https://www.govinfo.gov/link/uscode/41/2313" TargetMode="External"/><Relationship Id="rId75" Type="http://schemas.openxmlformats.org/officeDocument/2006/relationships/hyperlink" Target="https://www.energy.gov/gc/determination-exceptional-circumstances-decs"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sam.gov/content/home" TargetMode="External"/><Relationship Id="rId23" Type="http://schemas.openxmlformats.org/officeDocument/2006/relationships/image" Target="media/image4.jpeg"/><Relationship Id="rId28" Type="http://schemas.openxmlformats.org/officeDocument/2006/relationships/hyperlink" Target="https://www.energy.gov/eere/funding/eere-funding-application-and-management-forms" TargetMode="External"/><Relationship Id="rId36" Type="http://schemas.openxmlformats.org/officeDocument/2006/relationships/hyperlink" Target="https://www.directives.doe.gov/directives-documents/400-series/0412.1-BOrder-a-chg1-AdmChg" TargetMode="External"/><Relationship Id="rId49" Type="http://schemas.openxmlformats.org/officeDocument/2006/relationships/hyperlink" Target="https://sam.gov/content/home" TargetMode="External"/><Relationship Id="rId57" Type="http://schemas.openxmlformats.org/officeDocument/2006/relationships/hyperlink" Target="http://www.nsf.gov/awards/managing/rtc.jsp" TargetMode="External"/><Relationship Id="rId10" Type="http://schemas.openxmlformats.org/officeDocument/2006/relationships/footnotes" Target="footnotes.xml"/><Relationship Id="rId31" Type="http://schemas.openxmlformats.org/officeDocument/2006/relationships/hyperlink" Target="https://www.energy.gov/eere/funding/eere-funding-application-and-management-forms" TargetMode="External"/><Relationship Id="rId44" Type="http://schemas.openxmlformats.org/officeDocument/2006/relationships/hyperlink" Target="https://www.grants.gov/web/grants/forms/sf-424-individual-family.html" TargetMode="External"/><Relationship Id="rId52" Type="http://schemas.openxmlformats.org/officeDocument/2006/relationships/hyperlink" Target="https://eere-exchange.energy.gov/Manuals.aspx" TargetMode="External"/><Relationship Id="rId60" Type="http://schemas.openxmlformats.org/officeDocument/2006/relationships/hyperlink" Target="https://fas.org/sgp/othergov/sf312.pdf" TargetMode="External"/><Relationship Id="rId65" Type="http://schemas.openxmlformats.org/officeDocument/2006/relationships/hyperlink" Target="https://www.energy.gov/ig/ig-hotline" TargetMode="External"/><Relationship Id="rId73" Type="http://schemas.openxmlformats.org/officeDocument/2006/relationships/hyperlink" Target="https://eere-exchange.energy.gov" TargetMode="External"/><Relationship Id="rId78" Type="http://schemas.openxmlformats.org/officeDocument/2006/relationships/hyperlink" Target="https://www.epa.gov/sites/production/files/2015-07/documents/rom.pdf" TargetMode="External"/><Relationship Id="rId81" Type="http://schemas.openxmlformats.org/officeDocument/2006/relationships/hyperlink" Target="https://www.energy.gov/gc/downloads/doe-cooperative-research-and-development-agreements"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sam.gov" TargetMode="External"/><Relationship Id="rId18" Type="http://schemas.openxmlformats.org/officeDocument/2006/relationships/footer" Target="footer1.xml"/><Relationship Id="rId39" Type="http://schemas.openxmlformats.org/officeDocument/2006/relationships/hyperlink" Target="https://greet.es.anl.gov/index.php" TargetMode="External"/><Relationship Id="rId34" Type="http://schemas.openxmlformats.org/officeDocument/2006/relationships/hyperlink" Target="https://eere-Exchange.energy.gov/" TargetMode="External"/><Relationship Id="rId50" Type="http://schemas.openxmlformats.org/officeDocument/2006/relationships/hyperlink" Target="https://eere-exchange.energy.gov/" TargetMode="External"/><Relationship Id="rId55" Type="http://schemas.openxmlformats.org/officeDocument/2006/relationships/hyperlink" Target="https://www.fedconnect.net/FedConnect/Marketing/Documents/FedConnect_Ready_Set_Go.pdf" TargetMode="External"/><Relationship Id="rId76" Type="http://schemas.openxmlformats.org/officeDocument/2006/relationships/header" Target="header4.xml"/><Relationship Id="rId7" Type="http://schemas.openxmlformats.org/officeDocument/2006/relationships/styles" Target="styles.xml"/><Relationship Id="rId71" Type="http://schemas.openxmlformats.org/officeDocument/2006/relationships/hyperlink" Target="https://www.federalregister.gov/citation/85-FR-49539" TargetMode="External"/><Relationship Id="rId2" Type="http://schemas.openxmlformats.org/officeDocument/2006/relationships/customXml" Target="../customXml/item2.xml"/><Relationship Id="rId29" Type="http://schemas.openxmlformats.org/officeDocument/2006/relationships/hyperlink" Target="https://www.ncbi.nlm.nih.gov/sciencv/" TargetMode="External"/><Relationship Id="rId24" Type="http://schemas.openxmlformats.org/officeDocument/2006/relationships/hyperlink" Target="https://eere-Exchange.energy.gov" TargetMode="External"/><Relationship Id="rId40" Type="http://schemas.openxmlformats.org/officeDocument/2006/relationships/hyperlink" Target="https://www.sam.gov" TargetMode="External"/><Relationship Id="rId45" Type="http://schemas.openxmlformats.org/officeDocument/2006/relationships/hyperlink" Target="https://energy.gov/management/downloads/merit-review-guide-financial-assistance-and-unsolicited-proposals-current" TargetMode="External"/><Relationship Id="rId66" Type="http://schemas.openxmlformats.org/officeDocument/2006/relationships/hyperlink" Target="https://www.ecfr.gov/current/title-2/subtitle-A/chapter-II/part-200/subpart-B/section-200.11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ERE-ExchangeSupport@hq.doe.gov"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file:///C:/Users/ckouch/AppData/Local/Microsoft/Windows/INetCache/Content.Outlook/4TEYU9I1/EERE-ExchangeSupport@hq.doe.gov"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file:///C:/Users/ckouch/AppData/Local/Microsoft/Windows/INetCache/Content.Outlook/4TEYU9I1/EERE-ExchangeSupport@hq.doe.go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greet.es.anl.gov/" TargetMode="External"/><Relationship Id="rId13" Type="http://schemas.openxmlformats.org/officeDocument/2006/relationships/hyperlink" Target="https://www.whitehouse.gov/wp-content/uploads/2022/02/02-2022-Critical-and-Emerging-Technologies-List-Update.pdf" TargetMode="External"/><Relationship Id="rId18" Type="http://schemas.openxmlformats.org/officeDocument/2006/relationships/hyperlink" Target="https://www.icao.int/environmental-protection/CORSIA/Pages/CORSIA-Eligible-Fuels.aspx" TargetMode="External"/><Relationship Id="rId3" Type="http://schemas.openxmlformats.org/officeDocument/2006/relationships/hyperlink" Target="https://ncses.nsf.gov/pubs/nsf19304/digest/about-this-report" TargetMode="External"/><Relationship Id="rId7" Type="http://schemas.openxmlformats.org/officeDocument/2006/relationships/hyperlink" Target="https://www.energy.gov/gc/downloads/doe-cooperative-research-and-development-agreements" TargetMode="External"/><Relationship Id="rId12" Type="http://schemas.openxmlformats.org/officeDocument/2006/relationships/hyperlink" Target="https://www.energy.gov/sites/default/files/2021-12/Interim%20COI%20Policy%20FAL2022-02%20to%20SPEs.pdf" TargetMode="External"/><Relationship Id="rId17" Type="http://schemas.openxmlformats.org/officeDocument/2006/relationships/hyperlink" Target="https://greet.es.anl.gov/" TargetMode="External"/><Relationship Id="rId2" Type="http://schemas.openxmlformats.org/officeDocument/2006/relationships/hyperlink" Target="https://news.umich.edu/new-index-ranks-americas-100-most-disadvantaged-communities/" TargetMode="External"/><Relationship Id="rId16" Type="http://schemas.openxmlformats.org/officeDocument/2006/relationships/hyperlink" Target="https://www.icao.int/environmental-protection/CORSIA/Pages/CORSIA-Eligible-Fuels.aspx" TargetMode="External"/><Relationship Id="rId1" Type="http://schemas.openxmlformats.org/officeDocument/2006/relationships/hyperlink" Target="https://www.nrel.gov/docs/fy04osti/35523.pdf" TargetMode="External"/><Relationship Id="rId6" Type="http://schemas.openxmlformats.org/officeDocument/2006/relationships/hyperlink" Target="http://www.nsf.gov/statistics/ffrdclist/" TargetMode="External"/><Relationship Id="rId11" Type="http://schemas.openxmlformats.org/officeDocument/2006/relationships/hyperlink" Target="http://www.nsf.gov/awards/managing/rtc.jsp" TargetMode="External"/><Relationship Id="rId5" Type="http://schemas.openxmlformats.org/officeDocument/2006/relationships/hyperlink" Target="https://www2.ed.gov/about/offices/list/ocr/edlite-minorityinst.html" TargetMode="External"/><Relationship Id="rId15" Type="http://schemas.openxmlformats.org/officeDocument/2006/relationships/hyperlink" Target="https://greet.es.anl.gov/" TargetMode="External"/><Relationship Id="rId10" Type="http://schemas.openxmlformats.org/officeDocument/2006/relationships/hyperlink" Target="https://www.dol.gov/sites/dolgov/files/ofccp/Construction/files/ConstructionTAG.pdf?msclkid=9e397d68c4b111ec9d8e6fecb6c710ec" TargetMode="External"/><Relationship Id="rId19" Type="http://schemas.openxmlformats.org/officeDocument/2006/relationships/hyperlink" Target="https://www.epa.gov/renewable-fuel-standard-program/approved-pathways-renewable-fuel" TargetMode="External"/><Relationship Id="rId4" Type="http://schemas.openxmlformats.org/officeDocument/2006/relationships/hyperlink" Target="https://www.energy.gov/articles/introducing-minorities-energy-initiative" TargetMode="External"/><Relationship Id="rId9" Type="http://schemas.openxmlformats.org/officeDocument/2006/relationships/hyperlink" Target="https://www.icao.int/environmental-protection/CORSIA/Pages/CORSIA-Eligible-Fuels.aspx" TargetMode="External"/><Relationship Id="rId14" Type="http://schemas.openxmlformats.org/officeDocument/2006/relationships/hyperlink" Target="https://www.epa.gov/renewable-fuel-standard-program/approved-pathways-renewable-fue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rul.hassan\Documents\TFS\main\Business\BLL\Resources\FOA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6d9b406-8ab6-4e35-b189-c607f551e6ff">PZK64XEQC5JR-1184640895-248</_dlc_DocId>
    <_dlc_DocIdUrl xmlns="c6d9b406-8ab6-4e35-b189-c607f551e6ff">
      <Url>https://eeredocman.ee.doe.gov/offices/EE-6/AdminLibrary/_layouts/15/DocIdRedir.aspx?ID=PZK64XEQC5JR-1184640895-248</Url>
      <Description>PZK64XEQC5JR-1184640895-248</Description>
    </_dlc_DocIdUrl>
    <SharedWithUsers xmlns="4a53122c-99ef-4056-b9d7-198bf3ffeec5">
      <UserInfo>
        <DisplayName>Stutts, John</DisplayName>
        <AccountId>431</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9B6D68648A374F8A84C091C5312AC2" ma:contentTypeVersion="3" ma:contentTypeDescription="Create a new document." ma:contentTypeScope="" ma:versionID="f77e74bc894eccae678833a79bdaa9b5">
  <xsd:schema xmlns:xsd="http://www.w3.org/2001/XMLSchema" xmlns:xs="http://www.w3.org/2001/XMLSchema" xmlns:p="http://schemas.microsoft.com/office/2006/metadata/properties" xmlns:ns1="http://schemas.microsoft.com/sharepoint/v3" xmlns:ns2="c6d9b406-8ab6-4e35-b189-c607f551e6ff" xmlns:ns3="4a53122c-99ef-4056-b9d7-198bf3ffeec5" targetNamespace="http://schemas.microsoft.com/office/2006/metadata/properties" ma:root="true" ma:fieldsID="7c12f484e3fb86f03c8ea14277691a1c" ns1:_="" ns2:_="" ns3:_="">
    <xsd:import namespace="http://schemas.microsoft.com/sharepoint/v3"/>
    <xsd:import namespace="c6d9b406-8ab6-4e35-b189-c607f551e6ff"/>
    <xsd:import namespace="4a53122c-99ef-4056-b9d7-198bf3ffeec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d9b406-8ab6-4e35-b189-c607f551e6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53122c-99ef-4056-b9d7-198bf3ffeec5"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9C7DDF-B633-4814-A5EA-4218AEFA6B18}">
  <ds:schemaRefs>
    <ds:schemaRef ds:uri="http://schemas.microsoft.com/sharepoint/v3/contenttype/forms"/>
  </ds:schemaRefs>
</ds:datastoreItem>
</file>

<file path=customXml/itemProps2.xml><?xml version="1.0" encoding="utf-8"?>
<ds:datastoreItem xmlns:ds="http://schemas.openxmlformats.org/officeDocument/2006/customXml" ds:itemID="{67E2CB1E-73FA-4EB0-8D9E-E97FA8234FF1}">
  <ds:schemaRefs>
    <ds:schemaRef ds:uri="http://schemas.microsoft.com/sharepoint/events"/>
  </ds:schemaRefs>
</ds:datastoreItem>
</file>

<file path=customXml/itemProps3.xml><?xml version="1.0" encoding="utf-8"?>
<ds:datastoreItem xmlns:ds="http://schemas.openxmlformats.org/officeDocument/2006/customXml" ds:itemID="{B523F069-1DE1-4ACE-BD6D-3CD27DDFE786}">
  <ds:schemaRefs>
    <ds:schemaRef ds:uri="http://schemas.openxmlformats.org/officeDocument/2006/bibliography"/>
  </ds:schemaRefs>
</ds:datastoreItem>
</file>

<file path=customXml/itemProps4.xml><?xml version="1.0" encoding="utf-8"?>
<ds:datastoreItem xmlns:ds="http://schemas.openxmlformats.org/officeDocument/2006/customXml" ds:itemID="{D3C98A53-2FD8-4911-B26B-450D9E6544A8}">
  <ds:schemaRefs>
    <ds:schemaRef ds:uri="http://purl.org/dc/elements/1.1/"/>
    <ds:schemaRef ds:uri="4a53122c-99ef-4056-b9d7-198bf3ffeec5"/>
    <ds:schemaRef ds:uri="c6d9b406-8ab6-4e35-b189-c607f551e6ff"/>
    <ds:schemaRef ds:uri="http://www.w3.org/XML/1998/namespac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231EB879-3675-485E-8ED8-A081CCB70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b406-8ab6-4e35-b189-c607f551e6ff"/>
    <ds:schemaRef ds:uri="4a53122c-99ef-4056-b9d7-198bf3ffe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FOATemplate.dotx</Template>
  <TotalTime>47</TotalTime>
  <Pages>147</Pages>
  <Words>49603</Words>
  <Characters>282739</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[DATE]</vt:lpstr>
    </vt:vector>
  </TitlesOfParts>
  <Company>U.S. Department of Energy - Golden Field Office</Company>
  <LinksUpToDate>false</LinksUpToDate>
  <CharactersWithSpaces>331679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Emmons, Sara (CONTR)</dc:creator>
  <cp:keywords/>
  <dc:description/>
  <cp:lastModifiedBy>McCleary, Ryan</cp:lastModifiedBy>
  <cp:revision>10</cp:revision>
  <cp:lastPrinted>2024-09-10T18:46:00Z</cp:lastPrinted>
  <dcterms:created xsi:type="dcterms:W3CDTF">2024-09-10T15:32:00Z</dcterms:created>
  <dcterms:modified xsi:type="dcterms:W3CDTF">2024-09-10T18:47:00Z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0x010100AC9B6D68648A374F8A84C091C5312AC2</vt:lpwstr>
  </property>
  <property fmtid="{D5CDD505-2E9C-101B-9397-08002B2CF9AE}" pid="3" name="_dlc_DocId">
    <vt:lpwstr>ZXNJAF6NFY6R-160-1607</vt:lpwstr>
  </property>
  <property fmtid="{D5CDD505-2E9C-101B-9397-08002B2CF9AE}" pid="4" name="_dlc_DocIdItemGuid">
    <vt:lpwstr>e50d4973-d3c4-4a81-a0e5-3530616bca71</vt:lpwstr>
  </property>
  <property fmtid="{D5CDD505-2E9C-101B-9397-08002B2CF9AE}" pid="5" name="_dlc_DocIdUrl">
    <vt:lpwstr>https://eeredocman.ee.doe.gov/offices/EE-62P/Projects/APMCentral/_layouts/15/DocIdRedir.aspx?ID=ZXNJAF6NFY6R-160-1607, ZXNJAF6NFY6R-160-1607</vt:lpwstr>
  </property>
</Properties>
</file>