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8F22" w14:textId="0E3FE375" w:rsidR="00554D65" w:rsidRPr="00CC581C" w:rsidRDefault="4C3D473F" w:rsidP="244DDEA8">
      <w:pPr>
        <w:rPr>
          <w:rFonts w:eastAsia="Calibri"/>
          <w:sz w:val="24"/>
          <w:szCs w:val="24"/>
        </w:rPr>
      </w:pPr>
      <w:r w:rsidRPr="00CC581C">
        <w:rPr>
          <w:rFonts w:eastAsia="Calibri"/>
          <w:sz w:val="24"/>
          <w:szCs w:val="24"/>
        </w:rPr>
        <w:t>The</w:t>
      </w:r>
      <w:r w:rsidR="1FE3144A" w:rsidRPr="00CC581C">
        <w:rPr>
          <w:rFonts w:eastAsia="Calibri"/>
          <w:sz w:val="24"/>
          <w:szCs w:val="24"/>
        </w:rPr>
        <w:t xml:space="preserve"> Budget Narrative</w:t>
      </w:r>
      <w:r w:rsidR="1E57AC76" w:rsidRPr="00CC581C">
        <w:rPr>
          <w:rFonts w:eastAsia="Calibri"/>
          <w:sz w:val="24"/>
          <w:szCs w:val="24"/>
        </w:rPr>
        <w:t xml:space="preserve"> </w:t>
      </w:r>
      <w:r w:rsidR="2AC4A1C8" w:rsidRPr="00CC581C">
        <w:rPr>
          <w:rFonts w:eastAsia="Calibri"/>
          <w:sz w:val="24"/>
          <w:szCs w:val="24"/>
        </w:rPr>
        <w:t>must include</w:t>
      </w:r>
      <w:r w:rsidR="1FE3144A" w:rsidRPr="00CC581C">
        <w:rPr>
          <w:rFonts w:eastAsia="Calibri"/>
          <w:sz w:val="24"/>
          <w:szCs w:val="24"/>
        </w:rPr>
        <w:t xml:space="preserve"> a narrative explanation for each line item on the </w:t>
      </w:r>
      <w:r w:rsidR="614BC502" w:rsidRPr="00CC581C">
        <w:rPr>
          <w:rFonts w:eastAsia="Calibri"/>
          <w:sz w:val="24"/>
          <w:szCs w:val="24"/>
        </w:rPr>
        <w:t>Budget Information for Non-Construction Programs Form (SF-424A)</w:t>
      </w:r>
      <w:r w:rsidR="0619BB29" w:rsidRPr="00CC581C">
        <w:rPr>
          <w:rFonts w:eastAsia="Calibri"/>
          <w:sz w:val="24"/>
          <w:szCs w:val="24"/>
        </w:rPr>
        <w:t xml:space="preserve"> </w:t>
      </w:r>
      <w:r w:rsidR="6992C03B" w:rsidRPr="00CC581C">
        <w:rPr>
          <w:rFonts w:eastAsia="Calibri"/>
          <w:sz w:val="24"/>
          <w:szCs w:val="24"/>
        </w:rPr>
        <w:t xml:space="preserve">that includes: </w:t>
      </w:r>
    </w:p>
    <w:p w14:paraId="28AD7A5D" w14:textId="77777777" w:rsidR="00554D65" w:rsidRPr="00CC581C" w:rsidRDefault="00554D65" w:rsidP="244DDEA8">
      <w:pPr>
        <w:rPr>
          <w:rFonts w:eastAsia="Calibri"/>
          <w:sz w:val="24"/>
          <w:szCs w:val="24"/>
        </w:rPr>
      </w:pPr>
    </w:p>
    <w:p w14:paraId="7F895DEA" w14:textId="77777777" w:rsidR="00554D65" w:rsidRPr="00CC581C" w:rsidRDefault="1FE3144A" w:rsidP="00554D65">
      <w:pPr>
        <w:pStyle w:val="ListParagraph"/>
        <w:numPr>
          <w:ilvl w:val="0"/>
          <w:numId w:val="31"/>
        </w:numPr>
        <w:rPr>
          <w:rFonts w:eastAsia="Calibri"/>
          <w:sz w:val="24"/>
          <w:szCs w:val="24"/>
        </w:rPr>
      </w:pPr>
      <w:r w:rsidRPr="00CC581C">
        <w:rPr>
          <w:rFonts w:eastAsia="Calibri"/>
          <w:sz w:val="24"/>
          <w:szCs w:val="24"/>
        </w:rPr>
        <w:t xml:space="preserve">an itemization of the component costs adding up to the total projected cost for each </w:t>
      </w:r>
      <w:r w:rsidR="600044BC" w:rsidRPr="00CC581C">
        <w:rPr>
          <w:rFonts w:eastAsia="Calibri"/>
          <w:sz w:val="24"/>
          <w:szCs w:val="24"/>
        </w:rPr>
        <w:t>cost category</w:t>
      </w:r>
    </w:p>
    <w:p w14:paraId="56960EAE" w14:textId="31842671" w:rsidR="008125EB" w:rsidRPr="00CC581C" w:rsidRDefault="6619F68B" w:rsidP="00554D65">
      <w:pPr>
        <w:pStyle w:val="ListParagraph"/>
        <w:numPr>
          <w:ilvl w:val="0"/>
          <w:numId w:val="31"/>
        </w:numPr>
        <w:rPr>
          <w:rFonts w:eastAsia="Calibri"/>
          <w:sz w:val="24"/>
          <w:szCs w:val="24"/>
        </w:rPr>
      </w:pPr>
      <w:r w:rsidRPr="00CC581C">
        <w:rPr>
          <w:rFonts w:eastAsia="Calibri"/>
          <w:sz w:val="24"/>
          <w:szCs w:val="24"/>
        </w:rPr>
        <w:t xml:space="preserve">a clear description </w:t>
      </w:r>
      <w:r w:rsidR="64CFE817" w:rsidRPr="00CC581C">
        <w:rPr>
          <w:rFonts w:eastAsia="Calibri"/>
          <w:sz w:val="24"/>
          <w:szCs w:val="24"/>
        </w:rPr>
        <w:t>of</w:t>
      </w:r>
      <w:r w:rsidRPr="00CC581C">
        <w:rPr>
          <w:rFonts w:eastAsia="Calibri"/>
          <w:sz w:val="24"/>
          <w:szCs w:val="24"/>
        </w:rPr>
        <w:t xml:space="preserve"> </w:t>
      </w:r>
      <w:r w:rsidR="1FE3144A" w:rsidRPr="00CC581C">
        <w:rPr>
          <w:rFonts w:eastAsia="Calibri"/>
          <w:sz w:val="24"/>
          <w:szCs w:val="24"/>
        </w:rPr>
        <w:t xml:space="preserve">how the </w:t>
      </w:r>
      <w:r w:rsidR="0B8E88C9" w:rsidRPr="00CC581C">
        <w:rPr>
          <w:rFonts w:eastAsia="Calibri"/>
          <w:sz w:val="24"/>
          <w:szCs w:val="24"/>
        </w:rPr>
        <w:t xml:space="preserve">included </w:t>
      </w:r>
      <w:r w:rsidR="1FE3144A" w:rsidRPr="00CC581C">
        <w:rPr>
          <w:rFonts w:eastAsia="Calibri"/>
          <w:sz w:val="24"/>
          <w:szCs w:val="24"/>
        </w:rPr>
        <w:t>cost</w:t>
      </w:r>
      <w:r w:rsidR="7FD79660" w:rsidRPr="00CC581C">
        <w:rPr>
          <w:rFonts w:eastAsia="Calibri"/>
          <w:sz w:val="24"/>
          <w:szCs w:val="24"/>
        </w:rPr>
        <w:t>s</w:t>
      </w:r>
      <w:r w:rsidR="1FE3144A" w:rsidRPr="00CC581C">
        <w:rPr>
          <w:rFonts w:eastAsia="Calibri"/>
          <w:sz w:val="24"/>
          <w:szCs w:val="24"/>
        </w:rPr>
        <w:t xml:space="preserve"> </w:t>
      </w:r>
      <w:r w:rsidR="10A6536F" w:rsidRPr="00CC581C">
        <w:rPr>
          <w:rFonts w:eastAsia="Calibri"/>
          <w:sz w:val="24"/>
          <w:szCs w:val="24"/>
        </w:rPr>
        <w:t>are</w:t>
      </w:r>
      <w:r w:rsidR="1FE3144A" w:rsidRPr="00CC581C">
        <w:rPr>
          <w:rFonts w:eastAsia="Calibri"/>
          <w:sz w:val="24"/>
          <w:szCs w:val="24"/>
        </w:rPr>
        <w:t xml:space="preserve"> necessary, reasonable, and allocable to activities listed in the Statement of Work sections of the application</w:t>
      </w:r>
      <w:r w:rsidR="00596DB9" w:rsidRPr="00CC581C">
        <w:rPr>
          <w:rFonts w:eastAsia="Calibri"/>
          <w:sz w:val="24"/>
          <w:szCs w:val="24"/>
        </w:rPr>
        <w:t xml:space="preserve">.  Sufficient information must be provided to determine that </w:t>
      </w:r>
      <w:r w:rsidR="00245714" w:rsidRPr="00CC581C">
        <w:rPr>
          <w:rFonts w:eastAsia="Calibri"/>
          <w:sz w:val="24"/>
          <w:szCs w:val="24"/>
        </w:rPr>
        <w:t xml:space="preserve">the costs </w:t>
      </w:r>
      <w:proofErr w:type="gramStart"/>
      <w:r w:rsidR="00245714" w:rsidRPr="00CC581C">
        <w:rPr>
          <w:rFonts w:eastAsia="Calibri"/>
          <w:sz w:val="24"/>
          <w:szCs w:val="24"/>
        </w:rPr>
        <w:t xml:space="preserve">are </w:t>
      </w:r>
      <w:r w:rsidR="2F04C1FE" w:rsidRPr="00CC581C">
        <w:rPr>
          <w:rFonts w:eastAsia="Calibri"/>
          <w:sz w:val="24"/>
          <w:szCs w:val="24"/>
        </w:rPr>
        <w:t xml:space="preserve">in </w:t>
      </w:r>
      <w:r w:rsidR="1FE3144A" w:rsidRPr="00CC581C">
        <w:rPr>
          <w:rFonts w:eastAsia="Calibri"/>
          <w:sz w:val="24"/>
          <w:szCs w:val="24"/>
        </w:rPr>
        <w:t>compliance with</w:t>
      </w:r>
      <w:proofErr w:type="gramEnd"/>
      <w:r w:rsidR="1FE3144A" w:rsidRPr="00CC581C">
        <w:rPr>
          <w:rFonts w:eastAsia="Calibri"/>
          <w:sz w:val="24"/>
          <w:szCs w:val="24"/>
        </w:rPr>
        <w:t xml:space="preserve"> 2 CFR Part 200, Uniform Administrative Requirements, Cost Principles, and Audit Requirements for Federal Awards. </w:t>
      </w:r>
    </w:p>
    <w:p w14:paraId="333588DC" w14:textId="76B2AAFB" w:rsidR="008125EB" w:rsidRPr="00CC581C" w:rsidRDefault="008125EB" w:rsidP="244DDEA8">
      <w:pPr>
        <w:rPr>
          <w:rFonts w:eastAsia="Calibri"/>
          <w:sz w:val="24"/>
          <w:szCs w:val="24"/>
        </w:rPr>
      </w:pPr>
    </w:p>
    <w:p w14:paraId="7217E96E" w14:textId="2B70F338" w:rsidR="008125EB" w:rsidRPr="00CC581C" w:rsidRDefault="000050F4" w:rsidP="244DDEA8">
      <w:pPr>
        <w:widowControl/>
        <w:rPr>
          <w:rFonts w:eastAsia="Calibri"/>
          <w:b/>
          <w:bCs/>
          <w:sz w:val="24"/>
          <w:szCs w:val="24"/>
        </w:rPr>
      </w:pPr>
      <w:r w:rsidRPr="00CC581C">
        <w:rPr>
          <w:rFonts w:eastAsia="Calibri"/>
          <w:b/>
          <w:bCs/>
          <w:sz w:val="24"/>
          <w:szCs w:val="24"/>
        </w:rPr>
        <w:t>Alignment with SF424 –</w:t>
      </w:r>
      <w:r w:rsidR="006B1EE9" w:rsidRPr="00CC581C">
        <w:rPr>
          <w:rFonts w:eastAsia="Calibri"/>
          <w:b/>
          <w:bCs/>
          <w:sz w:val="24"/>
          <w:szCs w:val="24"/>
        </w:rPr>
        <w:t xml:space="preserve"> </w:t>
      </w:r>
      <w:r w:rsidR="006B1EE9" w:rsidRPr="00CC581C">
        <w:rPr>
          <w:rFonts w:eastAsia="Calibri"/>
          <w:sz w:val="24"/>
          <w:szCs w:val="24"/>
        </w:rPr>
        <w:t>Th</w:t>
      </w:r>
      <w:r w:rsidR="67958177" w:rsidRPr="00CC581C">
        <w:rPr>
          <w:rFonts w:eastAsia="Calibri"/>
          <w:sz w:val="24"/>
          <w:szCs w:val="24"/>
        </w:rPr>
        <w:t>e cost category totals in the Budget Narrative and on the SF-424A must match and must calculate to the total federal grant amount requested</w:t>
      </w:r>
      <w:r w:rsidR="00554D65" w:rsidRPr="00CC581C">
        <w:rPr>
          <w:rFonts w:eastAsia="Calibri"/>
          <w:sz w:val="24"/>
          <w:szCs w:val="24"/>
        </w:rPr>
        <w:t xml:space="preserve"> on the SF424</w:t>
      </w:r>
      <w:r w:rsidR="67958177" w:rsidRPr="00CC581C">
        <w:rPr>
          <w:rFonts w:eastAsia="Calibri"/>
          <w:sz w:val="24"/>
          <w:szCs w:val="24"/>
        </w:rPr>
        <w:t xml:space="preserve">.  </w:t>
      </w:r>
      <w:r w:rsidR="007618B9" w:rsidRPr="00CC581C">
        <w:rPr>
          <w:rFonts w:eastAsia="Calibri"/>
          <w:sz w:val="24"/>
          <w:szCs w:val="24"/>
        </w:rPr>
        <w:t>The entire</w:t>
      </w:r>
      <w:r w:rsidR="00C31617" w:rsidRPr="00CC581C">
        <w:rPr>
          <w:rFonts w:eastAsia="Calibri"/>
          <w:sz w:val="24"/>
          <w:szCs w:val="24"/>
        </w:rPr>
        <w:t xml:space="preserve"> </w:t>
      </w:r>
      <w:r w:rsidR="007618B9" w:rsidRPr="00CC581C">
        <w:rPr>
          <w:rFonts w:eastAsia="Calibri"/>
          <w:sz w:val="24"/>
          <w:szCs w:val="24"/>
        </w:rPr>
        <w:t>period of performance</w:t>
      </w:r>
      <w:r w:rsidR="00C31617" w:rsidRPr="00CC581C">
        <w:rPr>
          <w:rFonts w:eastAsia="Calibri"/>
          <w:sz w:val="24"/>
          <w:szCs w:val="24"/>
        </w:rPr>
        <w:t xml:space="preserve"> must be accounted for in the cost calculations.  Additionally, t</w:t>
      </w:r>
      <w:r w:rsidR="4ACA7771" w:rsidRPr="00CC581C">
        <w:rPr>
          <w:rFonts w:eastAsia="Calibri"/>
          <w:sz w:val="24"/>
          <w:szCs w:val="24"/>
        </w:rPr>
        <w:t>he component costs</w:t>
      </w:r>
      <w:r w:rsidR="67958177" w:rsidRPr="00CC581C">
        <w:rPr>
          <w:rFonts w:eastAsia="Calibri"/>
          <w:sz w:val="24"/>
          <w:szCs w:val="24"/>
        </w:rPr>
        <w:t xml:space="preserve"> provided in the Budget Narrative must reasonably </w:t>
      </w:r>
      <w:proofErr w:type="gramStart"/>
      <w:r w:rsidR="67958177" w:rsidRPr="00CC581C">
        <w:rPr>
          <w:rFonts w:eastAsia="Calibri"/>
          <w:sz w:val="24"/>
          <w:szCs w:val="24"/>
        </w:rPr>
        <w:t>calculate</w:t>
      </w:r>
      <w:proofErr w:type="gramEnd"/>
      <w:r w:rsidR="1E952065" w:rsidRPr="00CC581C">
        <w:rPr>
          <w:rFonts w:eastAsia="Calibri"/>
          <w:sz w:val="24"/>
          <w:szCs w:val="24"/>
        </w:rPr>
        <w:t xml:space="preserve"> and </w:t>
      </w:r>
      <w:r w:rsidR="021A7868" w:rsidRPr="00CC581C">
        <w:rPr>
          <w:rFonts w:eastAsia="Calibri"/>
          <w:sz w:val="24"/>
          <w:szCs w:val="24"/>
        </w:rPr>
        <w:t xml:space="preserve">items must </w:t>
      </w:r>
      <w:r w:rsidR="1E952065" w:rsidRPr="00CC581C">
        <w:rPr>
          <w:rFonts w:eastAsia="Calibri"/>
          <w:sz w:val="24"/>
          <w:szCs w:val="24"/>
        </w:rPr>
        <w:t xml:space="preserve">be </w:t>
      </w:r>
      <w:r w:rsidR="3F19159B" w:rsidRPr="00CC581C">
        <w:rPr>
          <w:rFonts w:eastAsia="Calibri"/>
          <w:sz w:val="24"/>
          <w:szCs w:val="24"/>
        </w:rPr>
        <w:t>categorized correctly.</w:t>
      </w:r>
      <w:r w:rsidR="1E952065" w:rsidRPr="00CC581C">
        <w:rPr>
          <w:rFonts w:eastAsia="Calibri"/>
          <w:sz w:val="24"/>
          <w:szCs w:val="24"/>
        </w:rPr>
        <w:t xml:space="preserve">  </w:t>
      </w:r>
      <w:r w:rsidR="59563516" w:rsidRPr="00CC581C">
        <w:rPr>
          <w:rFonts w:eastAsia="Calibri"/>
          <w:sz w:val="24"/>
          <w:szCs w:val="24"/>
        </w:rPr>
        <w:t>Budget Narratives that include m</w:t>
      </w:r>
      <w:r w:rsidR="67958177" w:rsidRPr="00CC581C">
        <w:rPr>
          <w:rFonts w:eastAsia="Calibri"/>
          <w:sz w:val="24"/>
          <w:szCs w:val="24"/>
        </w:rPr>
        <w:t>iscalculations greater than 10 percent of the total grant award</w:t>
      </w:r>
      <w:r w:rsidR="06419C06" w:rsidRPr="00CC581C">
        <w:rPr>
          <w:rFonts w:eastAsia="Calibri"/>
          <w:sz w:val="24"/>
          <w:szCs w:val="24"/>
        </w:rPr>
        <w:t xml:space="preserve"> or</w:t>
      </w:r>
      <w:r w:rsidR="4C0DF9F0" w:rsidRPr="00CC581C">
        <w:rPr>
          <w:rFonts w:eastAsia="Calibri"/>
          <w:sz w:val="24"/>
          <w:szCs w:val="24"/>
        </w:rPr>
        <w:t xml:space="preserve"> </w:t>
      </w:r>
      <w:r w:rsidR="06419C06" w:rsidRPr="00CC581C">
        <w:rPr>
          <w:rFonts w:eastAsia="Calibri"/>
          <w:sz w:val="24"/>
          <w:szCs w:val="24"/>
        </w:rPr>
        <w:t>miscategorized</w:t>
      </w:r>
      <w:r w:rsidR="67958177" w:rsidRPr="00CC581C">
        <w:rPr>
          <w:rFonts w:eastAsia="Calibri"/>
          <w:sz w:val="24"/>
          <w:szCs w:val="24"/>
        </w:rPr>
        <w:t xml:space="preserve"> </w:t>
      </w:r>
      <w:r w:rsidR="15377B92" w:rsidRPr="00CC581C">
        <w:rPr>
          <w:rFonts w:eastAsia="Calibri"/>
          <w:sz w:val="24"/>
          <w:szCs w:val="24"/>
        </w:rPr>
        <w:t xml:space="preserve">items </w:t>
      </w:r>
      <w:r w:rsidR="6DB8EEE9" w:rsidRPr="00CC581C">
        <w:rPr>
          <w:rFonts w:eastAsia="Calibri"/>
          <w:sz w:val="24"/>
          <w:szCs w:val="24"/>
        </w:rPr>
        <w:t xml:space="preserve">may </w:t>
      </w:r>
      <w:r w:rsidR="00554D65" w:rsidRPr="00CC581C">
        <w:rPr>
          <w:rFonts w:eastAsia="Calibri"/>
          <w:sz w:val="24"/>
          <w:szCs w:val="24"/>
        </w:rPr>
        <w:t>require revisions prior to consideration of the award.</w:t>
      </w:r>
      <w:r w:rsidR="006B1EE9" w:rsidRPr="00CC581C">
        <w:rPr>
          <w:rFonts w:eastAsia="Calibri"/>
          <w:sz w:val="24"/>
          <w:szCs w:val="24"/>
        </w:rPr>
        <w:t xml:space="preserve"> </w:t>
      </w:r>
    </w:p>
    <w:p w14:paraId="65271BC6" w14:textId="5A52F955" w:rsidR="008125EB" w:rsidRPr="00CC581C" w:rsidRDefault="008125EB" w:rsidP="244DDEA8">
      <w:pPr>
        <w:widowControl/>
        <w:rPr>
          <w:rFonts w:eastAsia="Calibri"/>
          <w:sz w:val="24"/>
          <w:szCs w:val="24"/>
        </w:rPr>
      </w:pPr>
    </w:p>
    <w:p w14:paraId="50B76B46" w14:textId="43D7A35D" w:rsidR="008125EB" w:rsidRPr="00CC581C" w:rsidRDefault="00230C42" w:rsidP="244DDEA8">
      <w:pPr>
        <w:widowControl/>
        <w:rPr>
          <w:rFonts w:eastAsia="Calibri"/>
          <w:b/>
          <w:bCs/>
          <w:sz w:val="24"/>
          <w:szCs w:val="24"/>
        </w:rPr>
      </w:pPr>
      <w:r w:rsidRPr="00CC581C">
        <w:rPr>
          <w:rFonts w:eastAsia="Calibri"/>
          <w:b/>
          <w:bCs/>
          <w:sz w:val="24"/>
          <w:szCs w:val="24"/>
        </w:rPr>
        <w:t>A</w:t>
      </w:r>
      <w:r w:rsidR="000050F4" w:rsidRPr="00CC581C">
        <w:rPr>
          <w:rFonts w:eastAsia="Calibri"/>
          <w:b/>
          <w:bCs/>
          <w:sz w:val="24"/>
          <w:szCs w:val="24"/>
        </w:rPr>
        <w:t xml:space="preserve">lignment with Statement of Work – </w:t>
      </w:r>
      <w:r w:rsidR="00554D65" w:rsidRPr="00CC581C">
        <w:rPr>
          <w:rFonts w:eastAsia="Calibri"/>
          <w:sz w:val="24"/>
          <w:szCs w:val="24"/>
        </w:rPr>
        <w:t>A</w:t>
      </w:r>
      <w:r w:rsidR="1FE3144A" w:rsidRPr="00CC581C">
        <w:rPr>
          <w:rFonts w:eastAsia="Calibri"/>
          <w:sz w:val="24"/>
          <w:szCs w:val="24"/>
        </w:rPr>
        <w:t xml:space="preserve">ll costs </w:t>
      </w:r>
      <w:r w:rsidR="75BB46A9" w:rsidRPr="00CC581C">
        <w:rPr>
          <w:rFonts w:eastAsia="Calibri"/>
          <w:sz w:val="24"/>
          <w:szCs w:val="24"/>
        </w:rPr>
        <w:t xml:space="preserve">must be </w:t>
      </w:r>
      <w:r w:rsidR="1FE3144A" w:rsidRPr="00CC581C">
        <w:rPr>
          <w:rFonts w:eastAsia="Calibri"/>
          <w:sz w:val="24"/>
          <w:szCs w:val="24"/>
        </w:rPr>
        <w:t xml:space="preserve">allocable to the project activities described in the Statement of Work. Where there are shared benefits to other programs or projects not </w:t>
      </w:r>
      <w:r w:rsidR="542E6C90" w:rsidRPr="00CC581C">
        <w:rPr>
          <w:rFonts w:eastAsia="Calibri"/>
          <w:sz w:val="24"/>
          <w:szCs w:val="24"/>
        </w:rPr>
        <w:t xml:space="preserve">funded by the requested DWG and not </w:t>
      </w:r>
      <w:r w:rsidR="1FE3144A" w:rsidRPr="00CC581C">
        <w:rPr>
          <w:rFonts w:eastAsia="Calibri"/>
          <w:sz w:val="24"/>
          <w:szCs w:val="24"/>
        </w:rPr>
        <w:t xml:space="preserve">included in the Statement of Work, </w:t>
      </w:r>
      <w:r w:rsidR="49FC3C16" w:rsidRPr="00CC581C">
        <w:rPr>
          <w:rFonts w:eastAsia="Calibri"/>
          <w:sz w:val="24"/>
          <w:szCs w:val="24"/>
        </w:rPr>
        <w:t xml:space="preserve">the narrative explanation must clearly explain how the proportionate cost </w:t>
      </w:r>
      <w:r w:rsidR="001E3FFF" w:rsidRPr="00CC581C">
        <w:rPr>
          <w:rFonts w:eastAsia="Calibri"/>
          <w:sz w:val="24"/>
          <w:szCs w:val="24"/>
        </w:rPr>
        <w:t>benefiting</w:t>
      </w:r>
      <w:r w:rsidR="49FC3C16" w:rsidRPr="00CC581C">
        <w:rPr>
          <w:rFonts w:eastAsia="Calibri"/>
          <w:sz w:val="24"/>
          <w:szCs w:val="24"/>
        </w:rPr>
        <w:t xml:space="preserve"> the DWG project is determined.  </w:t>
      </w:r>
      <w:r w:rsidR="00554D65" w:rsidRPr="00CC581C">
        <w:rPr>
          <w:rFonts w:eastAsia="Calibri"/>
          <w:sz w:val="24"/>
          <w:szCs w:val="24"/>
        </w:rPr>
        <w:t>All</w:t>
      </w:r>
      <w:r w:rsidR="78AF438F" w:rsidRPr="00CC581C">
        <w:rPr>
          <w:rFonts w:eastAsia="Calibri"/>
          <w:sz w:val="24"/>
          <w:szCs w:val="24"/>
        </w:rPr>
        <w:t xml:space="preserve"> </w:t>
      </w:r>
      <w:r w:rsidR="1FE3144A" w:rsidRPr="00CC581C">
        <w:rPr>
          <w:rFonts w:eastAsia="Calibri"/>
          <w:sz w:val="24"/>
          <w:szCs w:val="24"/>
        </w:rPr>
        <w:t xml:space="preserve">documentation </w:t>
      </w:r>
      <w:r w:rsidR="5AF7165D" w:rsidRPr="00CC581C">
        <w:rPr>
          <w:rFonts w:eastAsia="Calibri"/>
          <w:sz w:val="24"/>
          <w:szCs w:val="24"/>
        </w:rPr>
        <w:t>must be</w:t>
      </w:r>
      <w:r w:rsidR="1FE3144A" w:rsidRPr="00CC581C">
        <w:rPr>
          <w:rFonts w:eastAsia="Calibri"/>
          <w:sz w:val="24"/>
          <w:szCs w:val="24"/>
        </w:rPr>
        <w:t xml:space="preserve"> available to demonstrate that costs charged to th</w:t>
      </w:r>
      <w:r w:rsidR="0050937B" w:rsidRPr="00CC581C">
        <w:rPr>
          <w:rFonts w:eastAsia="Calibri"/>
          <w:sz w:val="24"/>
          <w:szCs w:val="24"/>
        </w:rPr>
        <w:t>e DWG</w:t>
      </w:r>
      <w:r w:rsidR="1FE3144A" w:rsidRPr="00CC581C">
        <w:rPr>
          <w:rFonts w:eastAsia="Calibri"/>
          <w:sz w:val="24"/>
          <w:szCs w:val="24"/>
        </w:rPr>
        <w:t xml:space="preserve"> reflect proportional benefit to th</w:t>
      </w:r>
      <w:r w:rsidR="130ADC1D" w:rsidRPr="00CC581C">
        <w:rPr>
          <w:rFonts w:eastAsia="Calibri"/>
          <w:sz w:val="24"/>
          <w:szCs w:val="24"/>
        </w:rPr>
        <w:t>e</w:t>
      </w:r>
      <w:r w:rsidR="1FE3144A" w:rsidRPr="00CC581C">
        <w:rPr>
          <w:rFonts w:eastAsia="Calibri"/>
          <w:sz w:val="24"/>
          <w:szCs w:val="24"/>
        </w:rPr>
        <w:t xml:space="preserve"> award. </w:t>
      </w:r>
      <w:r w:rsidR="00241A3B" w:rsidRPr="00CC581C">
        <w:rPr>
          <w:rFonts w:eastAsia="Calibri"/>
          <w:sz w:val="24"/>
          <w:szCs w:val="24"/>
        </w:rPr>
        <w:t xml:space="preserve"> </w:t>
      </w:r>
    </w:p>
    <w:p w14:paraId="77104A66" w14:textId="77777777" w:rsidR="00717D38" w:rsidRPr="00CC581C" w:rsidRDefault="00717D38" w:rsidP="244DDEA8">
      <w:pPr>
        <w:widowControl/>
        <w:rPr>
          <w:rFonts w:eastAsia="Calibri"/>
          <w:sz w:val="24"/>
          <w:szCs w:val="24"/>
        </w:rPr>
      </w:pPr>
    </w:p>
    <w:p w14:paraId="4B7173DD" w14:textId="1C3706A6" w:rsidR="00230C42" w:rsidRPr="00CC581C" w:rsidRDefault="00230C42" w:rsidP="00DA2633">
      <w:pPr>
        <w:widowControl/>
        <w:rPr>
          <w:rFonts w:eastAsia="Times New Roman"/>
          <w:sz w:val="24"/>
          <w:szCs w:val="24"/>
        </w:rPr>
      </w:pPr>
      <w:r w:rsidRPr="00CC581C">
        <w:rPr>
          <w:rStyle w:val="Heading3Char"/>
          <w:rFonts w:ascii="Times New Roman" w:eastAsiaTheme="minorEastAsia" w:hAnsi="Times New Roman"/>
          <w:b/>
          <w:szCs w:val="24"/>
          <w:u w:val="none"/>
        </w:rPr>
        <w:t>Administrative Cost Limitation</w:t>
      </w:r>
      <w:r w:rsidRPr="00CC581C">
        <w:rPr>
          <w:rFonts w:eastAsia="Times New Roman"/>
          <w:sz w:val="24"/>
          <w:szCs w:val="24"/>
        </w:rPr>
        <w:t xml:space="preserve"> –</w:t>
      </w:r>
      <w:r w:rsidR="00241A3B" w:rsidRPr="00CC581C">
        <w:rPr>
          <w:rFonts w:eastAsia="Times New Roman"/>
          <w:sz w:val="24"/>
          <w:szCs w:val="24"/>
        </w:rPr>
        <w:t xml:space="preserve"> </w:t>
      </w:r>
      <w:r w:rsidR="00241A3B" w:rsidRPr="00CC581C">
        <w:rPr>
          <w:rFonts w:eastAsia="Calibri"/>
          <w:sz w:val="24"/>
          <w:szCs w:val="24"/>
        </w:rPr>
        <w:t>For each applicable cost category, provide a breakout of the estimated Program and Administrative costs</w:t>
      </w:r>
      <w:r w:rsidR="002A3FEB" w:rsidRPr="00CC581C">
        <w:rPr>
          <w:rFonts w:eastAsia="Calibri"/>
          <w:sz w:val="24"/>
          <w:szCs w:val="24"/>
        </w:rPr>
        <w:t xml:space="preserve"> and </w:t>
      </w:r>
      <w:r w:rsidR="00405F5F" w:rsidRPr="00CC581C">
        <w:rPr>
          <w:rFonts w:eastAsia="Calibri"/>
          <w:sz w:val="24"/>
          <w:szCs w:val="24"/>
        </w:rPr>
        <w:t>provide the justification for the cost</w:t>
      </w:r>
      <w:r w:rsidR="00241A3B" w:rsidRPr="00CC581C">
        <w:rPr>
          <w:rFonts w:eastAsia="Calibri"/>
          <w:sz w:val="24"/>
          <w:szCs w:val="24"/>
        </w:rPr>
        <w:t>.</w:t>
      </w:r>
      <w:r w:rsidR="00241A3B" w:rsidRPr="00CC581C">
        <w:rPr>
          <w:rFonts w:eastAsia="Calibri"/>
          <w:b/>
          <w:bCs/>
          <w:sz w:val="24"/>
          <w:szCs w:val="24"/>
        </w:rPr>
        <w:t xml:space="preserve">  </w:t>
      </w:r>
      <w:r w:rsidRPr="00CC581C">
        <w:rPr>
          <w:rFonts w:eastAsia="Times New Roman"/>
          <w:sz w:val="24"/>
          <w:szCs w:val="24"/>
        </w:rPr>
        <w:t xml:space="preserve">Administrative costs are defined in WIOA at 20 CFR 683.215. </w:t>
      </w:r>
      <w:r w:rsidR="00DA7B15" w:rsidRPr="00CC581C">
        <w:rPr>
          <w:rFonts w:eastAsia="Times New Roman"/>
          <w:sz w:val="24"/>
          <w:szCs w:val="24"/>
        </w:rPr>
        <w:t xml:space="preserve">Administrative cost limitations apply to both direct and indirect costs and must be accounted for in each cost category below. </w:t>
      </w:r>
      <w:r w:rsidRPr="00CC581C">
        <w:rPr>
          <w:rFonts w:eastAsia="Times New Roman"/>
          <w:sz w:val="24"/>
          <w:szCs w:val="24"/>
        </w:rPr>
        <w:t xml:space="preserve">Limitations on administrative costs are described </w:t>
      </w:r>
      <w:r w:rsidR="002D53AE" w:rsidRPr="00CC581C">
        <w:rPr>
          <w:rFonts w:eastAsia="Times New Roman"/>
          <w:sz w:val="24"/>
          <w:szCs w:val="24"/>
        </w:rPr>
        <w:t>in</w:t>
      </w:r>
      <w:r w:rsidRPr="00CC581C">
        <w:rPr>
          <w:rFonts w:eastAsia="Times New Roman"/>
          <w:sz w:val="24"/>
          <w:szCs w:val="24"/>
        </w:rPr>
        <w:t xml:space="preserve"> TEGL </w:t>
      </w:r>
      <w:r w:rsidR="00DA7206" w:rsidRPr="00CC581C">
        <w:rPr>
          <w:rFonts w:eastAsia="Times New Roman"/>
          <w:sz w:val="24"/>
          <w:szCs w:val="24"/>
        </w:rPr>
        <w:t xml:space="preserve">09-24 Change </w:t>
      </w:r>
      <w:r w:rsidR="004C10D8" w:rsidRPr="00CC581C">
        <w:rPr>
          <w:rFonts w:eastAsia="Times New Roman"/>
          <w:sz w:val="24"/>
          <w:szCs w:val="24"/>
        </w:rPr>
        <w:t>1</w:t>
      </w:r>
      <w:r w:rsidR="00DA7206" w:rsidRPr="00CC581C">
        <w:rPr>
          <w:rFonts w:eastAsia="Times New Roman"/>
          <w:sz w:val="24"/>
          <w:szCs w:val="24"/>
        </w:rPr>
        <w:t>.</w:t>
      </w:r>
      <w:r w:rsidRPr="00CC581C">
        <w:rPr>
          <w:rFonts w:eastAsia="Times New Roman"/>
          <w:sz w:val="24"/>
          <w:szCs w:val="24"/>
        </w:rPr>
        <w:t xml:space="preserve"> </w:t>
      </w:r>
      <w:r w:rsidR="00DA2633" w:rsidRPr="00CC581C">
        <w:rPr>
          <w:rFonts w:eastAsia="Times New Roman"/>
          <w:sz w:val="24"/>
          <w:szCs w:val="24"/>
        </w:rPr>
        <w:t xml:space="preserve"> Total administrative costs, including the administrative costs for the grant recipient and any subrecipients must not exceed 10 percent of the total grant award.  The grant recipient may determine the distribution of total administrative costs across the grant recipient and any subrecipients.  In rare circumstances, ETA will consider requests for a higher total administrative cost percentage, of up to 15 percent of the total award, as part of the DWG application, if the grant applicant provides sufficient justification.  These justifications should demonstrate how grantees are using existing service delivery infrastructure established by the WIOA formula programs before devoting funds to additional administrative costs.</w:t>
      </w:r>
      <w:r w:rsidR="35D3E20C" w:rsidRPr="00CC581C">
        <w:rPr>
          <w:rFonts w:eastAsia="Times New Roman"/>
          <w:sz w:val="24"/>
          <w:szCs w:val="24"/>
        </w:rPr>
        <w:t xml:space="preserve">  </w:t>
      </w:r>
    </w:p>
    <w:p w14:paraId="32A29245" w14:textId="77777777" w:rsidR="00217F70" w:rsidRPr="00CC581C" w:rsidRDefault="00217F70" w:rsidP="00DA2633">
      <w:pPr>
        <w:widowControl/>
        <w:rPr>
          <w:rFonts w:eastAsia="Times New Roman"/>
          <w:sz w:val="24"/>
          <w:szCs w:val="24"/>
        </w:rPr>
      </w:pPr>
    </w:p>
    <w:p w14:paraId="70E6BADB" w14:textId="5F504B4E" w:rsidR="00663727" w:rsidRPr="00CC581C" w:rsidRDefault="00663727" w:rsidP="009708E6">
      <w:pPr>
        <w:pStyle w:val="Default"/>
      </w:pPr>
      <w:r w:rsidRPr="00CC581C">
        <w:t xml:space="preserve">Use the following guidance for </w:t>
      </w:r>
      <w:r w:rsidR="002523BB" w:rsidRPr="00CC581C">
        <w:t xml:space="preserve">each cost category when </w:t>
      </w:r>
      <w:r w:rsidRPr="00CC581C">
        <w:t>preparing the Budget Narrative</w:t>
      </w:r>
      <w:r w:rsidR="002523BB" w:rsidRPr="00CC581C">
        <w:t>:</w:t>
      </w:r>
    </w:p>
    <w:p w14:paraId="5E9B69E7" w14:textId="77777777" w:rsidR="00663727" w:rsidRPr="00CC581C" w:rsidRDefault="00663727" w:rsidP="009708E6">
      <w:pPr>
        <w:pStyle w:val="Default"/>
      </w:pPr>
    </w:p>
    <w:p w14:paraId="0B3AB6FC" w14:textId="5E1C9CD5" w:rsidR="00663727" w:rsidRPr="00CC581C" w:rsidRDefault="22B96C55">
      <w:pPr>
        <w:pStyle w:val="Default"/>
        <w:numPr>
          <w:ilvl w:val="0"/>
          <w:numId w:val="29"/>
        </w:numPr>
        <w:rPr>
          <w:rFonts w:eastAsia="Calibri"/>
          <w:color w:val="000000" w:themeColor="text1"/>
        </w:rPr>
      </w:pPr>
      <w:r w:rsidRPr="00CC581C">
        <w:rPr>
          <w:rFonts w:eastAsia="Calibri"/>
          <w:b/>
          <w:bCs/>
          <w:color w:val="000000" w:themeColor="text1"/>
        </w:rPr>
        <w:t>Personnel</w:t>
      </w:r>
      <w:r w:rsidRPr="00CC581C">
        <w:rPr>
          <w:rFonts w:eastAsia="Calibri"/>
          <w:color w:val="000000" w:themeColor="text1"/>
        </w:rPr>
        <w:t xml:space="preserve"> – List all staff positions by title (both current and proposed) including the roles and responsibilities. For each position give the annual salary, the percentage of time devoted to the project, and the amount of each position’s salary funded by the grant.</w:t>
      </w:r>
      <w:r w:rsidR="33C58D8C" w:rsidRPr="00CC581C">
        <w:rPr>
          <w:rFonts w:eastAsia="Calibri"/>
          <w:color w:val="000000" w:themeColor="text1"/>
        </w:rPr>
        <w:t xml:space="preserve">  </w:t>
      </w:r>
      <w:r w:rsidR="33C58D8C" w:rsidRPr="00CC581C">
        <w:rPr>
          <w:rFonts w:eastAsia="Calibri"/>
          <w:color w:val="000000" w:themeColor="text1"/>
        </w:rPr>
        <w:lastRenderedPageBreak/>
        <w:t xml:space="preserve">Please note that </w:t>
      </w:r>
      <w:r w:rsidR="0C1E1E3C" w:rsidRPr="00CC581C">
        <w:rPr>
          <w:rFonts w:eastAsia="Calibri"/>
          <w:color w:val="000000" w:themeColor="text1"/>
        </w:rPr>
        <w:t>participant</w:t>
      </w:r>
      <w:r w:rsidR="78CE534B" w:rsidRPr="00CC581C">
        <w:rPr>
          <w:rFonts w:eastAsia="Calibri"/>
          <w:color w:val="000000" w:themeColor="text1"/>
        </w:rPr>
        <w:t>s enrolled in disaster relief employment are not considered employees</w:t>
      </w:r>
      <w:r w:rsidR="032B37B7" w:rsidRPr="00CC581C">
        <w:rPr>
          <w:rFonts w:eastAsia="Calibri"/>
          <w:color w:val="000000" w:themeColor="text1"/>
        </w:rPr>
        <w:t xml:space="preserve"> </w:t>
      </w:r>
      <w:r w:rsidR="618C5BC1" w:rsidRPr="00CC581C">
        <w:rPr>
          <w:rFonts w:eastAsia="Calibri"/>
          <w:color w:val="000000" w:themeColor="text1"/>
        </w:rPr>
        <w:t>and should not be included in this cost category.</w:t>
      </w:r>
      <w:r w:rsidR="002D256F" w:rsidRPr="00CC581C">
        <w:rPr>
          <w:rFonts w:eastAsia="Calibri"/>
          <w:color w:val="000000" w:themeColor="text1"/>
        </w:rPr>
        <w:t xml:space="preserve"> </w:t>
      </w:r>
      <w:r w:rsidR="002D256F" w:rsidRPr="00CC581C">
        <w:rPr>
          <w:rFonts w:eastAsia="Calibri"/>
        </w:rPr>
        <w:t xml:space="preserve"> </w:t>
      </w:r>
    </w:p>
    <w:p w14:paraId="668AA2E2" w14:textId="77777777" w:rsidR="00663727" w:rsidRPr="00CC581C" w:rsidRDefault="00663727" w:rsidP="009708E6">
      <w:pPr>
        <w:pStyle w:val="Default"/>
      </w:pPr>
    </w:p>
    <w:p w14:paraId="6F97A0EC" w14:textId="75D86FB3" w:rsidR="00663727" w:rsidRPr="00CC581C" w:rsidRDefault="22B96C55" w:rsidP="0008420E">
      <w:pPr>
        <w:pStyle w:val="Default"/>
        <w:numPr>
          <w:ilvl w:val="0"/>
          <w:numId w:val="29"/>
        </w:numPr>
      </w:pPr>
      <w:r w:rsidRPr="00CC581C">
        <w:rPr>
          <w:b/>
          <w:bCs/>
        </w:rPr>
        <w:t>Fringe Benefits</w:t>
      </w:r>
      <w:r w:rsidRPr="00CC581C">
        <w:t xml:space="preserve"> – Provide a breakdown of the amounts and percentages that comprise fringe benefit costs such as health insurance, FICA, retirement, etc. </w:t>
      </w:r>
    </w:p>
    <w:p w14:paraId="2705825C" w14:textId="77777777" w:rsidR="00663727" w:rsidRPr="00CC581C" w:rsidRDefault="00663727" w:rsidP="009708E6">
      <w:pPr>
        <w:pStyle w:val="Default"/>
      </w:pPr>
    </w:p>
    <w:p w14:paraId="1966CA62" w14:textId="2F85AAA1" w:rsidR="00663727" w:rsidRPr="00CC581C" w:rsidRDefault="22B96C55" w:rsidP="0008420E">
      <w:pPr>
        <w:pStyle w:val="Default"/>
        <w:numPr>
          <w:ilvl w:val="0"/>
          <w:numId w:val="29"/>
        </w:numPr>
      </w:pPr>
      <w:r w:rsidRPr="00CC581C">
        <w:rPr>
          <w:b/>
          <w:bCs/>
        </w:rPr>
        <w:t>Travel</w:t>
      </w:r>
      <w:r w:rsidRPr="00CC581C">
        <w:t xml:space="preserve"> – For grantee staff only, specify the purpose</w:t>
      </w:r>
      <w:r w:rsidR="0E9C0AE9" w:rsidRPr="00CC581C">
        <w:t xml:space="preserve"> and how the cost </w:t>
      </w:r>
      <w:r w:rsidR="2E50EA33" w:rsidRPr="00CC581C">
        <w:t>is calculated</w:t>
      </w:r>
      <w:r w:rsidR="0E9C0AE9" w:rsidRPr="00CC581C">
        <w:t xml:space="preserve"> such as the</w:t>
      </w:r>
      <w:r w:rsidRPr="00CC581C">
        <w:t xml:space="preserve"> number of staff traveling, mileage, per diem, estimated number of in-state and out-of-state trips, and other costs for each type of travel. More information on federal per diem rates can be found on the </w:t>
      </w:r>
      <w:hyperlink r:id="rId10">
        <w:r w:rsidRPr="00CC581C">
          <w:rPr>
            <w:rStyle w:val="Hyperlink"/>
          </w:rPr>
          <w:t>GSA per diem page</w:t>
        </w:r>
      </w:hyperlink>
      <w:r w:rsidRPr="00CC581C">
        <w:t xml:space="preserve">. </w:t>
      </w:r>
    </w:p>
    <w:p w14:paraId="176EC59B" w14:textId="77777777" w:rsidR="00663727" w:rsidRPr="00CC581C" w:rsidRDefault="00663727" w:rsidP="009708E6">
      <w:pPr>
        <w:pStyle w:val="Default"/>
        <w:rPr>
          <w:b/>
          <w:bCs/>
        </w:rPr>
      </w:pPr>
    </w:p>
    <w:p w14:paraId="0F9F8109" w14:textId="1245CFA4" w:rsidR="00663727" w:rsidRPr="00CC581C" w:rsidRDefault="22B96C55" w:rsidP="0008420E">
      <w:pPr>
        <w:pStyle w:val="Default"/>
        <w:numPr>
          <w:ilvl w:val="0"/>
          <w:numId w:val="29"/>
        </w:numPr>
      </w:pPr>
      <w:r w:rsidRPr="00CC581C">
        <w:rPr>
          <w:b/>
          <w:bCs/>
        </w:rPr>
        <w:t>Equipment</w:t>
      </w:r>
      <w:r w:rsidRPr="00CC581C">
        <w:t xml:space="preserve"> – Identify each item of equipment you expect to purchase that has an estimated acquisition cost of $</w:t>
      </w:r>
      <w:r w:rsidR="602247CD" w:rsidRPr="00CC581C">
        <w:t>1</w:t>
      </w:r>
      <w:r w:rsidR="00FE5664" w:rsidRPr="00CC581C">
        <w:t>0</w:t>
      </w:r>
      <w:r w:rsidRPr="00CC581C">
        <w:t>,000 or more per unit (or if your capitalization level is less than $</w:t>
      </w:r>
      <w:r w:rsidR="5EEE8048" w:rsidRPr="00CC581C">
        <w:t>1</w:t>
      </w:r>
      <w:r w:rsidR="00FE5664" w:rsidRPr="00CC581C">
        <w:t>0</w:t>
      </w:r>
      <w:r w:rsidRPr="00CC581C">
        <w:t>,000, use your capitalization level) and a useful lifetime of more than one year (see 2 CFR 200.1 for the definition of Equipment). List the item, quantity, and the unit cost per item. Items with a unit cost of less than $</w:t>
      </w:r>
      <w:r w:rsidR="01E40552" w:rsidRPr="00CC581C">
        <w:t>1</w:t>
      </w:r>
      <w:r w:rsidR="00FE5664" w:rsidRPr="00CC581C">
        <w:t>0</w:t>
      </w:r>
      <w:r w:rsidRPr="00CC581C">
        <w:t xml:space="preserve">,000 are supplies, not “equipment.” In general, we do not permit the purchase of equipment during the last funded year of the grant. </w:t>
      </w:r>
      <w:r w:rsidR="4E6853AD" w:rsidRPr="00CC581C">
        <w:t xml:space="preserve">Please note that if awarded, a separate amendment request for all equipment (including equipment purchased by subrecipients) must be submitted and receive </w:t>
      </w:r>
      <w:proofErr w:type="gramStart"/>
      <w:r w:rsidR="4E6853AD" w:rsidRPr="00CC581C">
        <w:t>an additional</w:t>
      </w:r>
      <w:proofErr w:type="gramEnd"/>
      <w:r w:rsidR="4E6853AD" w:rsidRPr="00CC581C">
        <w:t xml:space="preserve"> prior approval before any equipment may be purchased.</w:t>
      </w:r>
    </w:p>
    <w:p w14:paraId="7525F2CF" w14:textId="77777777" w:rsidR="00663727" w:rsidRPr="00CC581C" w:rsidRDefault="00663727" w:rsidP="009708E6">
      <w:pPr>
        <w:pStyle w:val="Default"/>
      </w:pPr>
    </w:p>
    <w:p w14:paraId="4BE0E669" w14:textId="07AFD2B3" w:rsidR="00663727" w:rsidRPr="00CC581C" w:rsidRDefault="22B96C55" w:rsidP="0008420E">
      <w:pPr>
        <w:pStyle w:val="Default"/>
        <w:numPr>
          <w:ilvl w:val="0"/>
          <w:numId w:val="29"/>
        </w:numPr>
        <w:rPr>
          <w:color w:val="auto"/>
        </w:rPr>
      </w:pPr>
      <w:r w:rsidRPr="00CC581C">
        <w:rPr>
          <w:b/>
          <w:bCs/>
        </w:rPr>
        <w:t>Supplies</w:t>
      </w:r>
      <w:r w:rsidRPr="00CC581C">
        <w:t xml:space="preserve"> – Identify categories of supplies (e.g., office supplies) </w:t>
      </w:r>
      <w:r w:rsidR="3637596D" w:rsidRPr="00CC581C">
        <w:t xml:space="preserve">and </w:t>
      </w:r>
      <w:r w:rsidR="6B41C120" w:rsidRPr="00CC581C">
        <w:t xml:space="preserve">describe </w:t>
      </w:r>
      <w:r w:rsidRPr="00CC581C">
        <w:t xml:space="preserve">the </w:t>
      </w:r>
      <w:r w:rsidR="3A423528" w:rsidRPr="00CC581C">
        <w:t xml:space="preserve">purpose of the supplies, general items, </w:t>
      </w:r>
      <w:r w:rsidRPr="00CC581C">
        <w:t xml:space="preserve">quantity, and </w:t>
      </w:r>
      <w:r w:rsidRPr="00CC581C">
        <w:rPr>
          <w:color w:val="auto"/>
        </w:rPr>
        <w:t xml:space="preserve">unit cost per item. Supplies include all tangible personal property other than “equipment” (see 2 CFR 200.1 for the definition of Supplies). </w:t>
      </w:r>
    </w:p>
    <w:p w14:paraId="0DF423B0" w14:textId="77777777" w:rsidR="00663727" w:rsidRPr="00CC581C" w:rsidRDefault="00663727" w:rsidP="009708E6">
      <w:pPr>
        <w:pStyle w:val="Default"/>
        <w:rPr>
          <w:color w:val="auto"/>
        </w:rPr>
      </w:pPr>
    </w:p>
    <w:p w14:paraId="6A09CCBC" w14:textId="7E7ECC6B" w:rsidR="00663727" w:rsidRPr="00CC581C" w:rsidRDefault="22B96C55" w:rsidP="0008420E">
      <w:pPr>
        <w:pStyle w:val="Default"/>
        <w:numPr>
          <w:ilvl w:val="0"/>
          <w:numId w:val="29"/>
        </w:numPr>
        <w:rPr>
          <w:color w:val="auto"/>
        </w:rPr>
      </w:pPr>
      <w:r w:rsidRPr="00CC581C">
        <w:rPr>
          <w:b/>
          <w:bCs/>
          <w:color w:val="auto"/>
        </w:rPr>
        <w:t>Contractual</w:t>
      </w:r>
      <w:r w:rsidRPr="00CC581C">
        <w:t xml:space="preserve"> – </w:t>
      </w:r>
      <w:r w:rsidRPr="00CC581C">
        <w:rPr>
          <w:color w:val="auto"/>
        </w:rPr>
        <w:t>Under the Contractual line item, delineate contracts and subawards separately</w:t>
      </w:r>
      <w:r w:rsidR="00554D65" w:rsidRPr="00CC581C">
        <w:rPr>
          <w:color w:val="auto"/>
        </w:rPr>
        <w:t>, identifying the subcontractor and subrecipient entities</w:t>
      </w:r>
      <w:r w:rsidRPr="00CC581C">
        <w:rPr>
          <w:color w:val="auto"/>
        </w:rPr>
        <w:t xml:space="preserve">. Contracts are defined according to 2 CFR 200.1 as a legal instrument by which a non-federal entity purchases property or services needed to carry out the project or program under a federal award. A subaward, defined by 2 CFR 200.1, means an award provided by a pass-through entity to a subrecipient for the subrecipient to carry out part of a federal award received by the pass-through entity. It does not include payments to a contractor or payments to an individual that is a beneficiary of a federal program. For each proposed contract and subaward, specify the purpose and activities to be provided, </w:t>
      </w:r>
      <w:r w:rsidR="221282A2" w:rsidRPr="00CC581C">
        <w:rPr>
          <w:color w:val="auto"/>
        </w:rPr>
        <w:t xml:space="preserve">including disaster relief employment and employment and training services, </w:t>
      </w:r>
      <w:r w:rsidRPr="00CC581C">
        <w:rPr>
          <w:color w:val="auto"/>
        </w:rPr>
        <w:t xml:space="preserve">and the estimated cost. </w:t>
      </w:r>
    </w:p>
    <w:p w14:paraId="2FB32404" w14:textId="77777777" w:rsidR="00A63911" w:rsidRPr="00CC581C" w:rsidRDefault="00A63911" w:rsidP="009708E6">
      <w:pPr>
        <w:pStyle w:val="Default"/>
        <w:ind w:left="720"/>
        <w:rPr>
          <w:color w:val="auto"/>
        </w:rPr>
      </w:pPr>
    </w:p>
    <w:p w14:paraId="30A273A1" w14:textId="27C3BA6F" w:rsidR="00D4585C" w:rsidRPr="00CC581C" w:rsidRDefault="00D4585C" w:rsidP="00D4585C">
      <w:pPr>
        <w:pStyle w:val="Default"/>
        <w:ind w:left="720"/>
        <w:rPr>
          <w:color w:val="auto"/>
        </w:rPr>
      </w:pPr>
      <w:r w:rsidRPr="00CC581C">
        <w:rPr>
          <w:b/>
          <w:bCs/>
          <w:color w:val="auto"/>
        </w:rPr>
        <w:t xml:space="preserve">Note: </w:t>
      </w:r>
      <w:r w:rsidRPr="00CC581C">
        <w:rPr>
          <w:color w:val="auto"/>
        </w:rPr>
        <w:t xml:space="preserve"> All direct participant costs provided by the subawarded participant costs should be delineated here.  These costs must align with the information and amounts provided in the Statement of Work.  Items include but are not limited to:</w:t>
      </w:r>
    </w:p>
    <w:p w14:paraId="633AB410" w14:textId="77777777" w:rsidR="00D4585C" w:rsidRPr="00CC581C" w:rsidRDefault="00D4585C" w:rsidP="00D4585C">
      <w:pPr>
        <w:pStyle w:val="ListParagraph"/>
        <w:rPr>
          <w:sz w:val="24"/>
          <w:szCs w:val="24"/>
        </w:rPr>
      </w:pPr>
    </w:p>
    <w:p w14:paraId="5E1ABC14" w14:textId="77777777" w:rsidR="00D4585C" w:rsidRPr="00CC581C" w:rsidRDefault="00D4585C" w:rsidP="00D4585C">
      <w:pPr>
        <w:pStyle w:val="Default"/>
        <w:numPr>
          <w:ilvl w:val="1"/>
          <w:numId w:val="32"/>
        </w:numPr>
        <w:rPr>
          <w:color w:val="auto"/>
        </w:rPr>
      </w:pPr>
      <w:r w:rsidRPr="00CC581C">
        <w:rPr>
          <w:color w:val="auto"/>
        </w:rPr>
        <w:t>Disaster Recovery Employment</w:t>
      </w:r>
    </w:p>
    <w:p w14:paraId="42AE252E" w14:textId="77777777" w:rsidR="00D4585C" w:rsidRPr="00CC581C" w:rsidRDefault="00D4585C" w:rsidP="00D4585C">
      <w:pPr>
        <w:pStyle w:val="Default"/>
        <w:numPr>
          <w:ilvl w:val="1"/>
          <w:numId w:val="32"/>
        </w:numPr>
        <w:rPr>
          <w:color w:val="auto"/>
        </w:rPr>
      </w:pPr>
      <w:r w:rsidRPr="00CC581C">
        <w:rPr>
          <w:color w:val="auto"/>
        </w:rPr>
        <w:t>Employment and Training Services</w:t>
      </w:r>
    </w:p>
    <w:p w14:paraId="2DD52E5A" w14:textId="77777777" w:rsidR="00D4585C" w:rsidRPr="00CC581C" w:rsidRDefault="00D4585C" w:rsidP="00D4585C">
      <w:pPr>
        <w:pStyle w:val="Default"/>
        <w:numPr>
          <w:ilvl w:val="1"/>
          <w:numId w:val="32"/>
        </w:numPr>
        <w:rPr>
          <w:color w:val="auto"/>
        </w:rPr>
      </w:pPr>
      <w:r w:rsidRPr="00CC581C">
        <w:rPr>
          <w:color w:val="auto"/>
        </w:rPr>
        <w:t>Supportive Services</w:t>
      </w:r>
    </w:p>
    <w:p w14:paraId="1F5590D8" w14:textId="77777777" w:rsidR="00D4585C" w:rsidRPr="00CC581C" w:rsidRDefault="00D4585C" w:rsidP="009708E6">
      <w:pPr>
        <w:pStyle w:val="Default"/>
        <w:ind w:left="720"/>
        <w:rPr>
          <w:color w:val="auto"/>
        </w:rPr>
      </w:pPr>
    </w:p>
    <w:p w14:paraId="421CB5F5" w14:textId="0606DA5C" w:rsidR="00663727" w:rsidRPr="00CC581C" w:rsidRDefault="00663727" w:rsidP="0008420E">
      <w:pPr>
        <w:pStyle w:val="Default"/>
        <w:numPr>
          <w:ilvl w:val="0"/>
          <w:numId w:val="29"/>
        </w:numPr>
        <w:rPr>
          <w:color w:val="auto"/>
        </w:rPr>
      </w:pPr>
      <w:r w:rsidRPr="00CC581C">
        <w:rPr>
          <w:b/>
          <w:bCs/>
          <w:color w:val="auto"/>
        </w:rPr>
        <w:lastRenderedPageBreak/>
        <w:t>Construction</w:t>
      </w:r>
      <w:r w:rsidRPr="00CC581C">
        <w:t xml:space="preserve"> – </w:t>
      </w:r>
      <w:r w:rsidRPr="00CC581C">
        <w:rPr>
          <w:color w:val="auto"/>
        </w:rPr>
        <w:t xml:space="preserve">Construction costs are not allowed, and this line must be left as zero. Minor alterations to adjust an existing space for grant activities (such as a classroom alteration) may be allowable. We do not consider this construction, and you must show the costs on other appropriate lines such as Contractual. </w:t>
      </w:r>
    </w:p>
    <w:p w14:paraId="627D49AD" w14:textId="77777777" w:rsidR="00663727" w:rsidRPr="00CC581C" w:rsidRDefault="00663727" w:rsidP="009708E6">
      <w:pPr>
        <w:pStyle w:val="Default"/>
        <w:rPr>
          <w:color w:val="auto"/>
        </w:rPr>
      </w:pPr>
    </w:p>
    <w:p w14:paraId="7526CFA0" w14:textId="77777777" w:rsidR="009D50CF" w:rsidRPr="00CC581C" w:rsidRDefault="22B96C55" w:rsidP="0008420E">
      <w:pPr>
        <w:pStyle w:val="Default"/>
        <w:numPr>
          <w:ilvl w:val="0"/>
          <w:numId w:val="29"/>
        </w:numPr>
        <w:rPr>
          <w:color w:val="auto"/>
        </w:rPr>
      </w:pPr>
      <w:r w:rsidRPr="00CC581C">
        <w:rPr>
          <w:b/>
          <w:bCs/>
          <w:color w:val="auto"/>
        </w:rPr>
        <w:t>Other</w:t>
      </w:r>
      <w:r w:rsidRPr="00CC581C">
        <w:t xml:space="preserve"> – </w:t>
      </w:r>
      <w:r w:rsidRPr="00CC581C">
        <w:rPr>
          <w:color w:val="auto"/>
        </w:rPr>
        <w:t xml:space="preserve">Provide clear and specific detail, including costs, for each item so that we can determine whether the costs are necessary, reasonable, and allocable. List items not covered elsewhere. </w:t>
      </w:r>
    </w:p>
    <w:p w14:paraId="6CF81EB7" w14:textId="77777777" w:rsidR="009D50CF" w:rsidRPr="00CC581C" w:rsidRDefault="009D50CF" w:rsidP="009D50CF">
      <w:pPr>
        <w:pStyle w:val="ListParagraph"/>
        <w:rPr>
          <w:b/>
          <w:bCs/>
          <w:sz w:val="24"/>
          <w:szCs w:val="24"/>
        </w:rPr>
      </w:pPr>
    </w:p>
    <w:p w14:paraId="7B804B3C" w14:textId="4F2C66B6" w:rsidR="00663727" w:rsidRPr="00CC581C" w:rsidRDefault="009D50CF" w:rsidP="009D50CF">
      <w:pPr>
        <w:pStyle w:val="Default"/>
        <w:ind w:left="720"/>
        <w:rPr>
          <w:color w:val="auto"/>
        </w:rPr>
      </w:pPr>
      <w:r w:rsidRPr="00CC581C">
        <w:rPr>
          <w:b/>
          <w:bCs/>
          <w:color w:val="auto"/>
        </w:rPr>
        <w:t>Note</w:t>
      </w:r>
      <w:proofErr w:type="gramStart"/>
      <w:r w:rsidRPr="00CC581C">
        <w:rPr>
          <w:b/>
          <w:bCs/>
          <w:color w:val="auto"/>
        </w:rPr>
        <w:t xml:space="preserve">: </w:t>
      </w:r>
      <w:r w:rsidRPr="00CC581C">
        <w:rPr>
          <w:color w:val="auto"/>
        </w:rPr>
        <w:t xml:space="preserve"> All</w:t>
      </w:r>
      <w:proofErr w:type="gramEnd"/>
      <w:r w:rsidRPr="00CC581C">
        <w:rPr>
          <w:color w:val="auto"/>
        </w:rPr>
        <w:t xml:space="preserve"> direct participant </w:t>
      </w:r>
      <w:r w:rsidR="0025212B" w:rsidRPr="00CC581C">
        <w:rPr>
          <w:color w:val="auto"/>
        </w:rPr>
        <w:t xml:space="preserve">costs provided by the applicant/grant recipient </w:t>
      </w:r>
      <w:r w:rsidR="003F6305" w:rsidRPr="00CC581C">
        <w:rPr>
          <w:color w:val="auto"/>
        </w:rPr>
        <w:t xml:space="preserve">should be </w:t>
      </w:r>
      <w:r w:rsidR="00D4585C" w:rsidRPr="00CC581C">
        <w:rPr>
          <w:color w:val="auto"/>
        </w:rPr>
        <w:t>delineated</w:t>
      </w:r>
      <w:r w:rsidR="003F6305" w:rsidRPr="00CC581C">
        <w:rPr>
          <w:color w:val="auto"/>
        </w:rPr>
        <w:t xml:space="preserve"> here.  These cost</w:t>
      </w:r>
      <w:r w:rsidR="00515986" w:rsidRPr="00CC581C">
        <w:rPr>
          <w:color w:val="auto"/>
        </w:rPr>
        <w:t>s</w:t>
      </w:r>
      <w:r w:rsidR="003F6305" w:rsidRPr="00CC581C">
        <w:rPr>
          <w:color w:val="auto"/>
        </w:rPr>
        <w:t xml:space="preserve"> must align with the </w:t>
      </w:r>
      <w:r w:rsidR="001E3289" w:rsidRPr="00CC581C">
        <w:rPr>
          <w:color w:val="auto"/>
        </w:rPr>
        <w:t>information and amounts provided in the Statement of Work.</w:t>
      </w:r>
      <w:r w:rsidR="00EC694B" w:rsidRPr="00CC581C">
        <w:rPr>
          <w:color w:val="auto"/>
        </w:rPr>
        <w:t xml:space="preserve">  Items include but are not limited to:</w:t>
      </w:r>
    </w:p>
    <w:p w14:paraId="0AFC159B" w14:textId="77777777" w:rsidR="00C31553" w:rsidRPr="00CC581C" w:rsidRDefault="00C31553" w:rsidP="00C31553">
      <w:pPr>
        <w:pStyle w:val="ListParagraph"/>
        <w:rPr>
          <w:sz w:val="24"/>
          <w:szCs w:val="24"/>
        </w:rPr>
      </w:pPr>
    </w:p>
    <w:p w14:paraId="49743AAF" w14:textId="213C612B" w:rsidR="00C31553" w:rsidRPr="00CC581C" w:rsidRDefault="00C31553" w:rsidP="00EC694B">
      <w:pPr>
        <w:pStyle w:val="Default"/>
        <w:numPr>
          <w:ilvl w:val="1"/>
          <w:numId w:val="32"/>
        </w:numPr>
        <w:rPr>
          <w:color w:val="auto"/>
        </w:rPr>
      </w:pPr>
      <w:r w:rsidRPr="00CC581C">
        <w:rPr>
          <w:color w:val="auto"/>
        </w:rPr>
        <w:t>D</w:t>
      </w:r>
      <w:r w:rsidR="00026B88" w:rsidRPr="00CC581C">
        <w:rPr>
          <w:color w:val="auto"/>
        </w:rPr>
        <w:t>isaster Recovery Employment</w:t>
      </w:r>
    </w:p>
    <w:p w14:paraId="54D53FC7" w14:textId="358CF0F0" w:rsidR="00026B88" w:rsidRPr="00CC581C" w:rsidRDefault="009D50CF" w:rsidP="00EC694B">
      <w:pPr>
        <w:pStyle w:val="Default"/>
        <w:numPr>
          <w:ilvl w:val="1"/>
          <w:numId w:val="32"/>
        </w:numPr>
        <w:rPr>
          <w:color w:val="auto"/>
        </w:rPr>
      </w:pPr>
      <w:r w:rsidRPr="00CC581C">
        <w:rPr>
          <w:color w:val="auto"/>
        </w:rPr>
        <w:t>Employment and Training</w:t>
      </w:r>
      <w:r w:rsidR="00EC694B" w:rsidRPr="00CC581C">
        <w:rPr>
          <w:color w:val="auto"/>
        </w:rPr>
        <w:t xml:space="preserve"> Services</w:t>
      </w:r>
    </w:p>
    <w:p w14:paraId="646032F0" w14:textId="758BACD7" w:rsidR="00EC694B" w:rsidRPr="00CC581C" w:rsidRDefault="00EC694B" w:rsidP="00EC694B">
      <w:pPr>
        <w:pStyle w:val="Default"/>
        <w:numPr>
          <w:ilvl w:val="1"/>
          <w:numId w:val="32"/>
        </w:numPr>
        <w:rPr>
          <w:color w:val="auto"/>
        </w:rPr>
      </w:pPr>
      <w:r w:rsidRPr="00CC581C">
        <w:rPr>
          <w:color w:val="auto"/>
        </w:rPr>
        <w:t>Supportive Services</w:t>
      </w:r>
    </w:p>
    <w:p w14:paraId="03D33164" w14:textId="77777777" w:rsidR="00663727" w:rsidRPr="00CC581C" w:rsidRDefault="00663727" w:rsidP="009708E6">
      <w:pPr>
        <w:pStyle w:val="Default"/>
        <w:rPr>
          <w:color w:val="auto"/>
        </w:rPr>
      </w:pPr>
    </w:p>
    <w:p w14:paraId="5EC76DED" w14:textId="3BA5AD60" w:rsidR="003E5F3C" w:rsidRPr="00CC581C" w:rsidRDefault="00663727" w:rsidP="003E5F3C">
      <w:pPr>
        <w:pStyle w:val="Default"/>
        <w:numPr>
          <w:ilvl w:val="0"/>
          <w:numId w:val="29"/>
        </w:numPr>
        <w:rPr>
          <w:color w:val="auto"/>
        </w:rPr>
      </w:pPr>
      <w:r w:rsidRPr="00CC581C">
        <w:rPr>
          <w:b/>
          <w:bCs/>
          <w:color w:val="auto"/>
        </w:rPr>
        <w:t>Indirect Costs</w:t>
      </w:r>
      <w:r w:rsidRPr="00CC581C">
        <w:t xml:space="preserve"> – </w:t>
      </w:r>
      <w:r w:rsidRPr="00CC581C">
        <w:rPr>
          <w:color w:val="auto"/>
        </w:rPr>
        <w:t>If you include an amount for indirect costs (through a Negotiated Indirect Cost Rate Agreement or De Minimis) on the SF-424A budget form, then include one of the following: 1)</w:t>
      </w:r>
      <w:r w:rsidR="008D545B" w:rsidRPr="00CC581C">
        <w:rPr>
          <w:color w:val="auto"/>
        </w:rPr>
        <w:t xml:space="preserve"> </w:t>
      </w:r>
      <w:r w:rsidRPr="00CC581C">
        <w:rPr>
          <w:color w:val="auto"/>
        </w:rPr>
        <w:t>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 or 2)</w:t>
      </w:r>
      <w:r w:rsidR="008D545B" w:rsidRPr="00CC581C">
        <w:rPr>
          <w:color w:val="auto"/>
        </w:rPr>
        <w:t xml:space="preserve"> </w:t>
      </w:r>
      <w:r w:rsidRPr="00CC581C">
        <w:rPr>
          <w:color w:val="auto"/>
        </w:rPr>
        <w:t>If you intend to claim indirect costs using the 1</w:t>
      </w:r>
      <w:r w:rsidR="12D8155A" w:rsidRPr="00CC581C">
        <w:rPr>
          <w:color w:val="auto"/>
        </w:rPr>
        <w:t>5</w:t>
      </w:r>
      <w:r w:rsidRPr="00CC581C">
        <w:rPr>
          <w:color w:val="auto"/>
        </w:rPr>
        <w:t xml:space="preserve"> percent de minimis rate, please confirm that your organization meets the requirements as described in 2 CFR 200.414(f).</w:t>
      </w:r>
      <w:r w:rsidR="00B37B02" w:rsidRPr="00CC581C">
        <w:rPr>
          <w:color w:val="auto"/>
        </w:rPr>
        <w:t xml:space="preserve">  </w:t>
      </w:r>
    </w:p>
    <w:p w14:paraId="061CFEC4" w14:textId="77777777" w:rsidR="00663727" w:rsidRPr="00CC581C" w:rsidRDefault="00663727" w:rsidP="009708E6">
      <w:pPr>
        <w:pStyle w:val="Default"/>
        <w:rPr>
          <w:color w:val="auto"/>
        </w:rPr>
      </w:pPr>
    </w:p>
    <w:p w14:paraId="5901C7FA" w14:textId="733BC90A" w:rsidR="00A63911" w:rsidRPr="00CC581C" w:rsidRDefault="00A63911" w:rsidP="244DDEA8">
      <w:pPr>
        <w:pStyle w:val="Heading2"/>
        <w:rPr>
          <w:rFonts w:ascii="Times New Roman" w:hAnsi="Times New Roman" w:cs="Times New Roman"/>
          <w:szCs w:val="24"/>
        </w:rPr>
      </w:pPr>
      <w:r w:rsidRPr="00CC581C">
        <w:rPr>
          <w:rFonts w:ascii="Times New Roman" w:hAnsi="Times New Roman" w:cs="Times New Roman"/>
          <w:szCs w:val="24"/>
        </w:rPr>
        <w:t>Other Budgetary Considerations</w:t>
      </w:r>
    </w:p>
    <w:p w14:paraId="7CD223FF" w14:textId="3D714891" w:rsidR="244DDEA8" w:rsidRPr="00CC581C" w:rsidRDefault="244DDEA8" w:rsidP="244DDEA8">
      <w:pPr>
        <w:rPr>
          <w:sz w:val="24"/>
          <w:szCs w:val="24"/>
        </w:rPr>
      </w:pPr>
    </w:p>
    <w:p w14:paraId="710C8382" w14:textId="4CF53064" w:rsidR="00A63911" w:rsidRPr="00CC581C" w:rsidRDefault="00A63911" w:rsidP="244DDEA8">
      <w:pPr>
        <w:pStyle w:val="ListParagraph"/>
        <w:widowControl/>
        <w:numPr>
          <w:ilvl w:val="0"/>
          <w:numId w:val="1"/>
        </w:numPr>
        <w:autoSpaceDE/>
        <w:autoSpaceDN/>
        <w:adjustRightInd/>
        <w:rPr>
          <w:rFonts w:eastAsia="Times New Roman"/>
          <w:color w:val="000000"/>
          <w:sz w:val="24"/>
          <w:szCs w:val="24"/>
        </w:rPr>
      </w:pPr>
      <w:r w:rsidRPr="00CC581C">
        <w:rPr>
          <w:rStyle w:val="Heading3Char"/>
          <w:rFonts w:ascii="Times New Roman" w:eastAsiaTheme="minorEastAsia" w:hAnsi="Times New Roman"/>
          <w:b/>
          <w:szCs w:val="24"/>
          <w:u w:val="none"/>
        </w:rPr>
        <w:t>Equipment</w:t>
      </w:r>
      <w:r w:rsidRPr="00CC581C">
        <w:rPr>
          <w:rFonts w:eastAsia="Times New Roman"/>
          <w:color w:val="000000" w:themeColor="text1"/>
          <w:sz w:val="24"/>
          <w:szCs w:val="24"/>
        </w:rPr>
        <w:t xml:space="preserve"> – </w:t>
      </w:r>
      <w:r w:rsidRPr="00CC581C">
        <w:rPr>
          <w:rFonts w:eastAsia="Times New Roman"/>
          <w:sz w:val="24"/>
          <w:szCs w:val="24"/>
        </w:rPr>
        <w:t>To purchase capital assets (including equipment), the award recipient must submit a request and</w:t>
      </w:r>
      <w:r w:rsidR="009708E6" w:rsidRPr="00CC581C">
        <w:rPr>
          <w:rFonts w:eastAsia="Times New Roman"/>
          <w:sz w:val="24"/>
          <w:szCs w:val="24"/>
        </w:rPr>
        <w:t xml:space="preserve"> </w:t>
      </w:r>
      <w:r w:rsidRPr="00CC581C">
        <w:rPr>
          <w:rFonts w:eastAsia="Times New Roman"/>
          <w:sz w:val="24"/>
          <w:szCs w:val="24"/>
        </w:rPr>
        <w:t>receive prior written approval from the Grant Officer as defined in the Uniform Guidance at 2 CFR 200.1 and 200.439. A request to purchase capital assets (equipment) will be reviewed and approved in an amendment to the award. See 2 CFR 200.1 for the definitions of capital expenditures, equipment, special purpose equipment, general purpose equipment, and capital assets. The capital asset of equipment is defined as tangible personal property (including information technology systems</w:t>
      </w:r>
      <w:r w:rsidR="003C3B77" w:rsidRPr="00CC581C">
        <w:rPr>
          <w:rFonts w:eastAsia="Times New Roman"/>
          <w:sz w:val="24"/>
          <w:szCs w:val="24"/>
        </w:rPr>
        <w:t>, subscriptions, etc.</w:t>
      </w:r>
      <w:r w:rsidRPr="00CC581C">
        <w:rPr>
          <w:rFonts w:eastAsia="Times New Roman"/>
          <w:sz w:val="24"/>
          <w:szCs w:val="24"/>
        </w:rPr>
        <w:t>) having a useful life of more than one year and a per unit acquisition cost that equals or exceeds the lesser of the capitalization level established by the recipient or subrecipient for financial statement purposes, or $1</w:t>
      </w:r>
      <w:r w:rsidR="0005765F" w:rsidRPr="00CC581C">
        <w:rPr>
          <w:rFonts w:eastAsia="Times New Roman"/>
          <w:sz w:val="24"/>
          <w:szCs w:val="24"/>
        </w:rPr>
        <w:t>0</w:t>
      </w:r>
      <w:r w:rsidRPr="00CC581C">
        <w:rPr>
          <w:rFonts w:eastAsia="Times New Roman"/>
          <w:sz w:val="24"/>
          <w:szCs w:val="24"/>
        </w:rPr>
        <w:t xml:space="preserve">,000. </w:t>
      </w:r>
      <w:r w:rsidRPr="00CC581C">
        <w:rPr>
          <w:rFonts w:eastAsia="Times New Roman"/>
          <w:color w:val="000000" w:themeColor="text1"/>
          <w:sz w:val="24"/>
          <w:szCs w:val="24"/>
        </w:rPr>
        <w:t>Equipment will not be purchased by the applicant or subrecipients in the last year of the grant award.</w:t>
      </w:r>
    </w:p>
    <w:p w14:paraId="49778E33" w14:textId="77777777" w:rsidR="00554D65" w:rsidRPr="00CC581C" w:rsidRDefault="00554D65" w:rsidP="00554D65">
      <w:pPr>
        <w:widowControl/>
        <w:autoSpaceDE/>
        <w:autoSpaceDN/>
        <w:adjustRightInd/>
        <w:rPr>
          <w:rFonts w:eastAsia="Times New Roman"/>
          <w:color w:val="000000"/>
          <w:sz w:val="24"/>
          <w:szCs w:val="24"/>
        </w:rPr>
      </w:pPr>
    </w:p>
    <w:p w14:paraId="081E0612" w14:textId="77777777" w:rsidR="00A63911" w:rsidRPr="00CC581C" w:rsidRDefault="00A63911" w:rsidP="244DDEA8">
      <w:pPr>
        <w:pStyle w:val="ListParagraph"/>
        <w:widowControl/>
        <w:numPr>
          <w:ilvl w:val="0"/>
          <w:numId w:val="1"/>
        </w:numPr>
        <w:autoSpaceDE/>
        <w:autoSpaceDN/>
        <w:adjustRightInd/>
        <w:rPr>
          <w:rFonts w:eastAsia="Times New Roman"/>
          <w:color w:val="000000"/>
          <w:sz w:val="24"/>
          <w:szCs w:val="24"/>
        </w:rPr>
      </w:pPr>
      <w:r w:rsidRPr="00CC581C">
        <w:rPr>
          <w:rStyle w:val="Heading3Char"/>
          <w:rFonts w:ascii="Times New Roman" w:eastAsiaTheme="minorEastAsia" w:hAnsi="Times New Roman"/>
          <w:b/>
          <w:szCs w:val="24"/>
          <w:u w:val="none"/>
        </w:rPr>
        <w:t>Contractual</w:t>
      </w:r>
      <w:r w:rsidRPr="00CC581C">
        <w:rPr>
          <w:rFonts w:eastAsia="Times New Roman"/>
          <w:color w:val="000000" w:themeColor="text1"/>
          <w:sz w:val="24"/>
          <w:szCs w:val="24"/>
        </w:rPr>
        <w:t xml:space="preserve"> – Procurement of goods and services will be conducted in accordance with the applicant’s written procurement policies and procedures.</w:t>
      </w:r>
    </w:p>
    <w:p w14:paraId="3842BC3B" w14:textId="77777777" w:rsidR="00554D65" w:rsidRPr="00CC581C" w:rsidRDefault="00554D65" w:rsidP="00554D65">
      <w:pPr>
        <w:widowControl/>
        <w:autoSpaceDE/>
        <w:autoSpaceDN/>
        <w:adjustRightInd/>
        <w:rPr>
          <w:rFonts w:eastAsia="Times New Roman"/>
          <w:color w:val="000000"/>
          <w:sz w:val="24"/>
          <w:szCs w:val="24"/>
        </w:rPr>
      </w:pPr>
    </w:p>
    <w:p w14:paraId="02DB8D20" w14:textId="7E55E6E8" w:rsidR="00A63911" w:rsidRPr="00CC581C" w:rsidRDefault="00A63911" w:rsidP="244DDEA8">
      <w:pPr>
        <w:pStyle w:val="ListParagraph"/>
        <w:widowControl/>
        <w:numPr>
          <w:ilvl w:val="0"/>
          <w:numId w:val="1"/>
        </w:numPr>
        <w:autoSpaceDE/>
        <w:autoSpaceDN/>
        <w:adjustRightInd/>
        <w:rPr>
          <w:rFonts w:eastAsia="Times New Roman"/>
          <w:sz w:val="24"/>
          <w:szCs w:val="24"/>
        </w:rPr>
      </w:pPr>
      <w:r w:rsidRPr="00CC581C">
        <w:rPr>
          <w:rStyle w:val="Heading3Char"/>
          <w:rFonts w:ascii="Times New Roman" w:eastAsiaTheme="minorEastAsia" w:hAnsi="Times New Roman"/>
          <w:b/>
          <w:szCs w:val="24"/>
          <w:u w:val="none"/>
        </w:rPr>
        <w:t>Indirect</w:t>
      </w:r>
      <w:r w:rsidRPr="00CC581C">
        <w:rPr>
          <w:rStyle w:val="Heading3Char"/>
          <w:rFonts w:ascii="Times New Roman" w:eastAsiaTheme="minorEastAsia" w:hAnsi="Times New Roman"/>
          <w:szCs w:val="24"/>
          <w:u w:val="none"/>
        </w:rPr>
        <w:t xml:space="preserve"> </w:t>
      </w:r>
      <w:r w:rsidRPr="00CC581C">
        <w:rPr>
          <w:rStyle w:val="Heading3Char"/>
          <w:rFonts w:ascii="Times New Roman" w:eastAsiaTheme="minorEastAsia" w:hAnsi="Times New Roman"/>
          <w:b/>
          <w:szCs w:val="24"/>
          <w:u w:val="none"/>
        </w:rPr>
        <w:t>Costs</w:t>
      </w:r>
      <w:r w:rsidRPr="00CC581C">
        <w:rPr>
          <w:rFonts w:eastAsia="Times New Roman"/>
          <w:color w:val="000000" w:themeColor="text1"/>
          <w:sz w:val="24"/>
          <w:szCs w:val="24"/>
        </w:rPr>
        <w:t xml:space="preserve"> – Any indirect costs not supported by a submitted and current signed NICRA or CAP and exceed the de minimis rate of 15 percent of modified total direct </w:t>
      </w:r>
      <w:r w:rsidRPr="00CC581C">
        <w:rPr>
          <w:rFonts w:eastAsia="Times New Roman"/>
          <w:color w:val="000000" w:themeColor="text1"/>
          <w:sz w:val="24"/>
          <w:szCs w:val="24"/>
        </w:rPr>
        <w:lastRenderedPageBreak/>
        <w:t xml:space="preserve">costs as defined in the Uniform Guidance, codified at 2 CFR 200.1 “Modified Total Direct Cost (MTDC)”, are not allowable.  </w:t>
      </w:r>
      <w:r w:rsidR="00821789" w:rsidRPr="00CC581C">
        <w:rPr>
          <w:rFonts w:eastAsia="Times New Roman"/>
          <w:b/>
          <w:bCs/>
          <w:color w:val="000000" w:themeColor="text1"/>
          <w:sz w:val="24"/>
          <w:szCs w:val="24"/>
        </w:rPr>
        <w:t xml:space="preserve">Note: </w:t>
      </w:r>
      <w:r w:rsidR="00C43081" w:rsidRPr="00CC581C">
        <w:rPr>
          <w:rFonts w:eastAsia="Times New Roman"/>
          <w:color w:val="000000" w:themeColor="text1"/>
          <w:sz w:val="24"/>
          <w:szCs w:val="24"/>
        </w:rPr>
        <w:t xml:space="preserve">Modified Total Direct Cost (MTDC)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rsidR="00C43081" w:rsidRPr="00CC581C">
        <w:rPr>
          <w:rFonts w:eastAsia="Times New Roman"/>
          <w:color w:val="000000" w:themeColor="text1"/>
          <w:sz w:val="24"/>
          <w:szCs w:val="24"/>
        </w:rPr>
        <w:t>in excess of</w:t>
      </w:r>
      <w:proofErr w:type="gramEnd"/>
      <w:r w:rsidR="00C43081" w:rsidRPr="00CC581C">
        <w:rPr>
          <w:rFonts w:eastAsia="Times New Roman"/>
          <w:color w:val="000000" w:themeColor="text1"/>
          <w:sz w:val="24"/>
          <w:szCs w:val="24"/>
        </w:rPr>
        <w:t xml:space="preserve"> $25,000. Other items may only be excluded when necessary to avoid a serious inequity in the distribution of indirect costs, and with the approval of the cognizant agency for indirect costs.</w:t>
      </w:r>
    </w:p>
    <w:p w14:paraId="3ACC7474" w14:textId="77777777" w:rsidR="008C255B" w:rsidRPr="00CC581C" w:rsidRDefault="008C255B" w:rsidP="009708E6">
      <w:pPr>
        <w:rPr>
          <w:sz w:val="24"/>
          <w:szCs w:val="24"/>
        </w:rPr>
      </w:pPr>
    </w:p>
    <w:p w14:paraId="75E89B66" w14:textId="3AAFEDA0" w:rsidR="008C255B" w:rsidRPr="00CC581C" w:rsidRDefault="008C255B">
      <w:pPr>
        <w:rPr>
          <w:sz w:val="24"/>
          <w:szCs w:val="24"/>
        </w:rPr>
      </w:pPr>
    </w:p>
    <w:sectPr w:rsidR="008C255B" w:rsidRPr="00CC581C" w:rsidSect="00815EB6">
      <w:headerReference w:type="default"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5BC4" w14:textId="77777777" w:rsidR="000475B4" w:rsidRDefault="000475B4" w:rsidP="00663727">
      <w:r>
        <w:separator/>
      </w:r>
    </w:p>
  </w:endnote>
  <w:endnote w:type="continuationSeparator" w:id="0">
    <w:p w14:paraId="0E113926" w14:textId="77777777" w:rsidR="000475B4" w:rsidRDefault="000475B4" w:rsidP="00663727">
      <w:r>
        <w:continuationSeparator/>
      </w:r>
    </w:p>
  </w:endnote>
  <w:endnote w:type="continuationNotice" w:id="1">
    <w:p w14:paraId="752E3006" w14:textId="77777777" w:rsidR="000475B4" w:rsidRDefault="0004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69B8" w14:textId="14354064" w:rsidR="00406F8D" w:rsidRDefault="003D34FB" w:rsidP="003D34F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5E8E" w14:textId="393624B7" w:rsidR="00CC581C" w:rsidRDefault="00D36C92" w:rsidP="00D36C9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2A61" w14:textId="77777777" w:rsidR="000475B4" w:rsidRDefault="000475B4" w:rsidP="00663727">
      <w:r>
        <w:separator/>
      </w:r>
    </w:p>
  </w:footnote>
  <w:footnote w:type="continuationSeparator" w:id="0">
    <w:p w14:paraId="5CA324A8" w14:textId="77777777" w:rsidR="000475B4" w:rsidRDefault="000475B4" w:rsidP="00663727">
      <w:r>
        <w:continuationSeparator/>
      </w:r>
    </w:p>
  </w:footnote>
  <w:footnote w:type="continuationNotice" w:id="1">
    <w:p w14:paraId="287098F5" w14:textId="77777777" w:rsidR="000475B4" w:rsidRDefault="00047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6E00" w14:textId="35800B2D" w:rsidR="00406F8D" w:rsidRPr="003D34FB" w:rsidRDefault="003D34FB" w:rsidP="003D34FB">
    <w:pPr>
      <w:pStyle w:val="Header"/>
      <w:jc w:val="center"/>
      <w:rPr>
        <w:b/>
        <w:bCs/>
        <w:sz w:val="28"/>
        <w:szCs w:val="28"/>
      </w:rPr>
    </w:pPr>
    <w:r w:rsidRPr="003D34FB">
      <w:rPr>
        <w:b/>
        <w:bCs/>
        <w:sz w:val="28"/>
        <w:szCs w:val="28"/>
      </w:rPr>
      <w:t>Budget Narrative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986F8669E6B6429484835E99E35A0911"/>
      </w:placeholder>
      <w:temporary/>
      <w:showingPlcHdr/>
      <w15:appearance w15:val="hidden"/>
    </w:sdtPr>
    <w:sdtContent>
      <w:p w14:paraId="3B539C0F" w14:textId="77777777" w:rsidR="00406F8D" w:rsidRDefault="00406F8D">
        <w:pPr>
          <w:pStyle w:val="Header"/>
        </w:pPr>
        <w:r>
          <w:t>[Type here]</w:t>
        </w:r>
      </w:p>
    </w:sdtContent>
  </w:sdt>
  <w:p w14:paraId="127D480D" w14:textId="3E00AF58" w:rsidR="00CC581C" w:rsidRPr="00CC581C" w:rsidRDefault="00CC581C" w:rsidP="00CC581C">
    <w:pPr>
      <w:pStyle w:val="Heading1"/>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F52"/>
    <w:multiLevelType w:val="hybridMultilevel"/>
    <w:tmpl w:val="D25488EA"/>
    <w:lvl w:ilvl="0" w:tplc="43047C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F16AED"/>
    <w:multiLevelType w:val="hybridMultilevel"/>
    <w:tmpl w:val="18D2763C"/>
    <w:lvl w:ilvl="0" w:tplc="5434C52A">
      <w:start w:val="1"/>
      <w:numFmt w:val="lowerRoman"/>
      <w:lvlText w:val="%1."/>
      <w:lvlJc w:val="left"/>
      <w:pPr>
        <w:ind w:left="1440" w:hanging="720"/>
      </w:pPr>
      <w:rPr>
        <w:rFonts w:hint="default"/>
      </w:rPr>
    </w:lvl>
    <w:lvl w:ilvl="1" w:tplc="04090019">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 w15:restartNumberingAfterBreak="0">
    <w:nsid w:val="0CC754D9"/>
    <w:multiLevelType w:val="hybridMultilevel"/>
    <w:tmpl w:val="825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138C8"/>
    <w:multiLevelType w:val="hybridMultilevel"/>
    <w:tmpl w:val="0E6CA486"/>
    <w:lvl w:ilvl="0" w:tplc="7ABA921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B3354"/>
    <w:multiLevelType w:val="hybridMultilevel"/>
    <w:tmpl w:val="6F98B84E"/>
    <w:lvl w:ilvl="0" w:tplc="0B5081DE">
      <w:start w:val="1"/>
      <w:numFmt w:val="upperLetter"/>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205B13"/>
    <w:multiLevelType w:val="hybridMultilevel"/>
    <w:tmpl w:val="8238159A"/>
    <w:lvl w:ilvl="0" w:tplc="2F0ADE64">
      <w:start w:val="1"/>
      <w:numFmt w:val="upperLetter"/>
      <w:lvlText w:val="%1."/>
      <w:lvlJc w:val="left"/>
      <w:pPr>
        <w:ind w:left="420" w:hanging="360"/>
      </w:pPr>
      <w:rPr>
        <w:rFonts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8693416"/>
    <w:multiLevelType w:val="hybridMultilevel"/>
    <w:tmpl w:val="2398F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9185B"/>
    <w:multiLevelType w:val="hybridMultilevel"/>
    <w:tmpl w:val="FFDAE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F7D8A"/>
    <w:multiLevelType w:val="hybridMultilevel"/>
    <w:tmpl w:val="DDF4918C"/>
    <w:lvl w:ilvl="0" w:tplc="4484D9E2">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52FBE"/>
    <w:multiLevelType w:val="hybridMultilevel"/>
    <w:tmpl w:val="A35CB35E"/>
    <w:lvl w:ilvl="0" w:tplc="3E42F324">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2774F"/>
    <w:multiLevelType w:val="hybridMultilevel"/>
    <w:tmpl w:val="BA526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05695"/>
    <w:multiLevelType w:val="hybridMultilevel"/>
    <w:tmpl w:val="07B055BC"/>
    <w:lvl w:ilvl="0" w:tplc="71D6BCC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33045"/>
    <w:multiLevelType w:val="hybridMultilevel"/>
    <w:tmpl w:val="ED50D7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DA0B06"/>
    <w:multiLevelType w:val="hybridMultilevel"/>
    <w:tmpl w:val="20E8CE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F75094"/>
    <w:multiLevelType w:val="multilevel"/>
    <w:tmpl w:val="EC029AB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FF5691A"/>
    <w:multiLevelType w:val="hybridMultilevel"/>
    <w:tmpl w:val="9266D136"/>
    <w:lvl w:ilvl="0" w:tplc="0B5081DE">
      <w:start w:val="1"/>
      <w:numFmt w:val="upperLetter"/>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0CD348A"/>
    <w:multiLevelType w:val="hybridMultilevel"/>
    <w:tmpl w:val="7AEA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45A4"/>
    <w:multiLevelType w:val="hybridMultilevel"/>
    <w:tmpl w:val="E93C5AF0"/>
    <w:lvl w:ilvl="0" w:tplc="56ACA094">
      <w:start w:val="1"/>
      <w:numFmt w:val="lowerRoman"/>
      <w:lvlText w:val="%1."/>
      <w:lvlJc w:val="left"/>
      <w:pPr>
        <w:ind w:left="72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3484B"/>
    <w:multiLevelType w:val="hybridMultilevel"/>
    <w:tmpl w:val="280E2104"/>
    <w:lvl w:ilvl="0" w:tplc="29C24B18">
      <w:start w:val="1"/>
      <w:numFmt w:val="lowerRoman"/>
      <w:lvlText w:val="%1."/>
      <w:lvlJc w:val="left"/>
      <w:pPr>
        <w:ind w:left="1068" w:hanging="72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9" w15:restartNumberingAfterBreak="0">
    <w:nsid w:val="43625B23"/>
    <w:multiLevelType w:val="hybridMultilevel"/>
    <w:tmpl w:val="34C869A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259579C"/>
    <w:multiLevelType w:val="hybridMultilevel"/>
    <w:tmpl w:val="CF58155E"/>
    <w:lvl w:ilvl="0" w:tplc="FFFFFFFF">
      <w:start w:val="1"/>
      <w:numFmt w:val="decimal"/>
      <w:lvlText w:val="%1."/>
      <w:lvlJc w:val="left"/>
      <w:pPr>
        <w:ind w:left="720" w:hanging="360"/>
      </w:pPr>
      <w:rPr>
        <w:rFonts w:hint="default"/>
        <w:b w:val="0"/>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1674F"/>
    <w:multiLevelType w:val="hybridMultilevel"/>
    <w:tmpl w:val="18D2763C"/>
    <w:lvl w:ilvl="0" w:tplc="5434C52A">
      <w:start w:val="1"/>
      <w:numFmt w:val="lowerRoman"/>
      <w:lvlText w:val="%1."/>
      <w:lvlJc w:val="left"/>
      <w:pPr>
        <w:ind w:left="1440" w:hanging="72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2" w15:restartNumberingAfterBreak="0">
    <w:nsid w:val="54B27221"/>
    <w:multiLevelType w:val="hybridMultilevel"/>
    <w:tmpl w:val="5B24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35C4D"/>
    <w:multiLevelType w:val="hybridMultilevel"/>
    <w:tmpl w:val="EE0CCF8C"/>
    <w:lvl w:ilvl="0" w:tplc="11322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F0675"/>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9DE0ECD"/>
    <w:multiLevelType w:val="hybridMultilevel"/>
    <w:tmpl w:val="D74AA9B8"/>
    <w:lvl w:ilvl="0" w:tplc="7D6052A8">
      <w:start w:val="1"/>
      <w:numFmt w:val="decimal"/>
      <w:lvlText w:val="%1."/>
      <w:lvlJc w:val="left"/>
      <w:pPr>
        <w:ind w:left="720" w:hanging="360"/>
      </w:pPr>
    </w:lvl>
    <w:lvl w:ilvl="1" w:tplc="6E9CBF80">
      <w:start w:val="1"/>
      <w:numFmt w:val="lowerLetter"/>
      <w:lvlText w:val="%2."/>
      <w:lvlJc w:val="left"/>
      <w:pPr>
        <w:ind w:left="1440" w:hanging="360"/>
      </w:pPr>
    </w:lvl>
    <w:lvl w:ilvl="2" w:tplc="0D0611C6">
      <w:start w:val="1"/>
      <w:numFmt w:val="lowerRoman"/>
      <w:lvlText w:val="%3."/>
      <w:lvlJc w:val="right"/>
      <w:pPr>
        <w:ind w:left="2160" w:hanging="180"/>
      </w:pPr>
    </w:lvl>
    <w:lvl w:ilvl="3" w:tplc="4CFCF2A6">
      <w:start w:val="1"/>
      <w:numFmt w:val="decimal"/>
      <w:lvlText w:val="%4."/>
      <w:lvlJc w:val="left"/>
      <w:pPr>
        <w:ind w:left="2880" w:hanging="360"/>
      </w:pPr>
    </w:lvl>
    <w:lvl w:ilvl="4" w:tplc="907694C8">
      <w:start w:val="1"/>
      <w:numFmt w:val="lowerLetter"/>
      <w:lvlText w:val="%5."/>
      <w:lvlJc w:val="left"/>
      <w:pPr>
        <w:ind w:left="3600" w:hanging="360"/>
      </w:pPr>
    </w:lvl>
    <w:lvl w:ilvl="5" w:tplc="459E38F4">
      <w:start w:val="1"/>
      <w:numFmt w:val="lowerRoman"/>
      <w:lvlText w:val="%6."/>
      <w:lvlJc w:val="right"/>
      <w:pPr>
        <w:ind w:left="4320" w:hanging="180"/>
      </w:pPr>
    </w:lvl>
    <w:lvl w:ilvl="6" w:tplc="484AC240">
      <w:start w:val="1"/>
      <w:numFmt w:val="decimal"/>
      <w:lvlText w:val="%7."/>
      <w:lvlJc w:val="left"/>
      <w:pPr>
        <w:ind w:left="5040" w:hanging="360"/>
      </w:pPr>
    </w:lvl>
    <w:lvl w:ilvl="7" w:tplc="A01490AE">
      <w:start w:val="1"/>
      <w:numFmt w:val="lowerLetter"/>
      <w:lvlText w:val="%8."/>
      <w:lvlJc w:val="left"/>
      <w:pPr>
        <w:ind w:left="5760" w:hanging="360"/>
      </w:pPr>
    </w:lvl>
    <w:lvl w:ilvl="8" w:tplc="E7ECD24C">
      <w:start w:val="1"/>
      <w:numFmt w:val="lowerRoman"/>
      <w:lvlText w:val="%9."/>
      <w:lvlJc w:val="right"/>
      <w:pPr>
        <w:ind w:left="6480" w:hanging="180"/>
      </w:pPr>
    </w:lvl>
  </w:abstractNum>
  <w:abstractNum w:abstractNumId="26" w15:restartNumberingAfterBreak="0">
    <w:nsid w:val="6BDD5587"/>
    <w:multiLevelType w:val="hybridMultilevel"/>
    <w:tmpl w:val="64BE40B4"/>
    <w:lvl w:ilvl="0" w:tplc="8A123846">
      <w:start w:val="1"/>
      <w:numFmt w:val="low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312CD"/>
    <w:multiLevelType w:val="hybridMultilevel"/>
    <w:tmpl w:val="679C4648"/>
    <w:lvl w:ilvl="0" w:tplc="8C145968">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7E4831"/>
    <w:multiLevelType w:val="hybridMultilevel"/>
    <w:tmpl w:val="19ECD874"/>
    <w:lvl w:ilvl="0" w:tplc="53EE6946">
      <w:start w:val="1"/>
      <w:numFmt w:val="lowerRoman"/>
      <w:lvlText w:val="%1."/>
      <w:lvlJc w:val="right"/>
      <w:pPr>
        <w:ind w:left="1065" w:hanging="360"/>
      </w:pPr>
      <w:rPr>
        <w:b/>
        <w:bCs/>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66F4FC2"/>
    <w:multiLevelType w:val="hybridMultilevel"/>
    <w:tmpl w:val="0A7E01D6"/>
    <w:lvl w:ilvl="0" w:tplc="EB98ED00">
      <w:start w:val="1"/>
      <w:numFmt w:val="upperLetter"/>
      <w:lvlText w:val="%1."/>
      <w:lvlJc w:val="left"/>
      <w:pPr>
        <w:ind w:left="360" w:hanging="360"/>
      </w:pPr>
      <w:rPr>
        <w:rFonts w:ascii="Times New Roman" w:hAnsi="Times New Roman"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6312C"/>
    <w:multiLevelType w:val="hybridMultilevel"/>
    <w:tmpl w:val="4C364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7753B"/>
    <w:multiLevelType w:val="hybridMultilevel"/>
    <w:tmpl w:val="C7FC8F6A"/>
    <w:lvl w:ilvl="0" w:tplc="47E0D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6751">
    <w:abstractNumId w:val="25"/>
  </w:num>
  <w:num w:numId="2" w16cid:durableId="645624088">
    <w:abstractNumId w:val="23"/>
  </w:num>
  <w:num w:numId="3" w16cid:durableId="1637251672">
    <w:abstractNumId w:val="29"/>
  </w:num>
  <w:num w:numId="4" w16cid:durableId="1589852444">
    <w:abstractNumId w:val="14"/>
  </w:num>
  <w:num w:numId="5" w16cid:durableId="1294217412">
    <w:abstractNumId w:val="0"/>
  </w:num>
  <w:num w:numId="6" w16cid:durableId="435635188">
    <w:abstractNumId w:val="13"/>
  </w:num>
  <w:num w:numId="7" w16cid:durableId="1463620901">
    <w:abstractNumId w:val="12"/>
  </w:num>
  <w:num w:numId="8" w16cid:durableId="675770613">
    <w:abstractNumId w:val="3"/>
  </w:num>
  <w:num w:numId="9" w16cid:durableId="1979259455">
    <w:abstractNumId w:val="5"/>
  </w:num>
  <w:num w:numId="10" w16cid:durableId="1777407010">
    <w:abstractNumId w:val="24"/>
  </w:num>
  <w:num w:numId="11" w16cid:durableId="1955355924">
    <w:abstractNumId w:val="7"/>
  </w:num>
  <w:num w:numId="12" w16cid:durableId="1272473705">
    <w:abstractNumId w:val="21"/>
  </w:num>
  <w:num w:numId="13" w16cid:durableId="1698240447">
    <w:abstractNumId w:val="17"/>
  </w:num>
  <w:num w:numId="14" w16cid:durableId="2073505644">
    <w:abstractNumId w:val="18"/>
  </w:num>
  <w:num w:numId="15" w16cid:durableId="1088429646">
    <w:abstractNumId w:val="11"/>
  </w:num>
  <w:num w:numId="16" w16cid:durableId="802894735">
    <w:abstractNumId w:val="2"/>
  </w:num>
  <w:num w:numId="17" w16cid:durableId="1595090110">
    <w:abstractNumId w:val="16"/>
  </w:num>
  <w:num w:numId="18" w16cid:durableId="630551065">
    <w:abstractNumId w:val="28"/>
  </w:num>
  <w:num w:numId="19" w16cid:durableId="650791703">
    <w:abstractNumId w:val="1"/>
  </w:num>
  <w:num w:numId="20" w16cid:durableId="1332022952">
    <w:abstractNumId w:val="19"/>
  </w:num>
  <w:num w:numId="21" w16cid:durableId="1532257157">
    <w:abstractNumId w:val="9"/>
  </w:num>
  <w:num w:numId="22" w16cid:durableId="2131514370">
    <w:abstractNumId w:val="8"/>
  </w:num>
  <w:num w:numId="23" w16cid:durableId="630330931">
    <w:abstractNumId w:val="10"/>
  </w:num>
  <w:num w:numId="24" w16cid:durableId="462508264">
    <w:abstractNumId w:val="4"/>
  </w:num>
  <w:num w:numId="25" w16cid:durableId="1884714372">
    <w:abstractNumId w:val="15"/>
  </w:num>
  <w:num w:numId="26" w16cid:durableId="1577780505">
    <w:abstractNumId w:val="26"/>
  </w:num>
  <w:num w:numId="27" w16cid:durableId="111049042">
    <w:abstractNumId w:val="31"/>
  </w:num>
  <w:num w:numId="28" w16cid:durableId="1116486465">
    <w:abstractNumId w:val="30"/>
  </w:num>
  <w:num w:numId="29" w16cid:durableId="1980063981">
    <w:abstractNumId w:val="27"/>
  </w:num>
  <w:num w:numId="30" w16cid:durableId="233006785">
    <w:abstractNumId w:val="22"/>
  </w:num>
  <w:num w:numId="31" w16cid:durableId="1308709683">
    <w:abstractNumId w:val="6"/>
  </w:num>
  <w:num w:numId="32" w16cid:durableId="1021781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27"/>
    <w:rsid w:val="00002773"/>
    <w:rsid w:val="000050F4"/>
    <w:rsid w:val="00014698"/>
    <w:rsid w:val="00026B88"/>
    <w:rsid w:val="00031BE1"/>
    <w:rsid w:val="00033EA3"/>
    <w:rsid w:val="000475B4"/>
    <w:rsid w:val="000573D0"/>
    <w:rsid w:val="0005765F"/>
    <w:rsid w:val="000610B9"/>
    <w:rsid w:val="000634DD"/>
    <w:rsid w:val="00083B7C"/>
    <w:rsid w:val="0008420E"/>
    <w:rsid w:val="000874CB"/>
    <w:rsid w:val="000B37D2"/>
    <w:rsid w:val="000F5C4F"/>
    <w:rsid w:val="00103EBA"/>
    <w:rsid w:val="001123D3"/>
    <w:rsid w:val="00113E69"/>
    <w:rsid w:val="00170775"/>
    <w:rsid w:val="00171351"/>
    <w:rsid w:val="00175779"/>
    <w:rsid w:val="00183479"/>
    <w:rsid w:val="001C09A4"/>
    <w:rsid w:val="001C378F"/>
    <w:rsid w:val="001D2AAE"/>
    <w:rsid w:val="001E3289"/>
    <w:rsid w:val="001E3FFF"/>
    <w:rsid w:val="00201068"/>
    <w:rsid w:val="00217F70"/>
    <w:rsid w:val="0022281D"/>
    <w:rsid w:val="002243D8"/>
    <w:rsid w:val="00230C42"/>
    <w:rsid w:val="00240837"/>
    <w:rsid w:val="00241A3B"/>
    <w:rsid w:val="00245714"/>
    <w:rsid w:val="00252093"/>
    <w:rsid w:val="0025212B"/>
    <w:rsid w:val="002523BB"/>
    <w:rsid w:val="0026037E"/>
    <w:rsid w:val="0027267A"/>
    <w:rsid w:val="00296C74"/>
    <w:rsid w:val="002A3FEB"/>
    <w:rsid w:val="002D256F"/>
    <w:rsid w:val="002D53AE"/>
    <w:rsid w:val="0031166C"/>
    <w:rsid w:val="003245C3"/>
    <w:rsid w:val="0035018C"/>
    <w:rsid w:val="003530A1"/>
    <w:rsid w:val="003C3B77"/>
    <w:rsid w:val="003C505B"/>
    <w:rsid w:val="003D34FB"/>
    <w:rsid w:val="003E13F3"/>
    <w:rsid w:val="003E3CD7"/>
    <w:rsid w:val="003E5F3C"/>
    <w:rsid w:val="003F6305"/>
    <w:rsid w:val="00405E26"/>
    <w:rsid w:val="00405F5F"/>
    <w:rsid w:val="00406F8D"/>
    <w:rsid w:val="004104E1"/>
    <w:rsid w:val="004363F1"/>
    <w:rsid w:val="00457D2E"/>
    <w:rsid w:val="00472DF3"/>
    <w:rsid w:val="004A5224"/>
    <w:rsid w:val="004C10D8"/>
    <w:rsid w:val="004E19A5"/>
    <w:rsid w:val="004F5166"/>
    <w:rsid w:val="0050937B"/>
    <w:rsid w:val="00515986"/>
    <w:rsid w:val="0053719C"/>
    <w:rsid w:val="005459A5"/>
    <w:rsid w:val="00554D65"/>
    <w:rsid w:val="00565682"/>
    <w:rsid w:val="005902C0"/>
    <w:rsid w:val="005936ED"/>
    <w:rsid w:val="00596DB9"/>
    <w:rsid w:val="005C666B"/>
    <w:rsid w:val="005C7405"/>
    <w:rsid w:val="00606A21"/>
    <w:rsid w:val="00606E66"/>
    <w:rsid w:val="00614134"/>
    <w:rsid w:val="00622049"/>
    <w:rsid w:val="0064119E"/>
    <w:rsid w:val="0064587A"/>
    <w:rsid w:val="00663727"/>
    <w:rsid w:val="00665C5F"/>
    <w:rsid w:val="0068020C"/>
    <w:rsid w:val="00681502"/>
    <w:rsid w:val="00685314"/>
    <w:rsid w:val="006A28CE"/>
    <w:rsid w:val="006A7CC8"/>
    <w:rsid w:val="006B1EE9"/>
    <w:rsid w:val="006D2DF0"/>
    <w:rsid w:val="00717D38"/>
    <w:rsid w:val="00752094"/>
    <w:rsid w:val="007618B9"/>
    <w:rsid w:val="007E17D8"/>
    <w:rsid w:val="007F4EC4"/>
    <w:rsid w:val="008125EB"/>
    <w:rsid w:val="00815EB6"/>
    <w:rsid w:val="00821789"/>
    <w:rsid w:val="00847435"/>
    <w:rsid w:val="00852B22"/>
    <w:rsid w:val="008A62CF"/>
    <w:rsid w:val="008A65C2"/>
    <w:rsid w:val="008C0943"/>
    <w:rsid w:val="008C09F2"/>
    <w:rsid w:val="008C255B"/>
    <w:rsid w:val="008C2AE7"/>
    <w:rsid w:val="008C3899"/>
    <w:rsid w:val="008C6DB3"/>
    <w:rsid w:val="008D545B"/>
    <w:rsid w:val="008E2F56"/>
    <w:rsid w:val="00906080"/>
    <w:rsid w:val="009147E2"/>
    <w:rsid w:val="0096276D"/>
    <w:rsid w:val="00963237"/>
    <w:rsid w:val="009708E6"/>
    <w:rsid w:val="00970A3D"/>
    <w:rsid w:val="00972B68"/>
    <w:rsid w:val="00993910"/>
    <w:rsid w:val="00994831"/>
    <w:rsid w:val="009A1964"/>
    <w:rsid w:val="009C1B27"/>
    <w:rsid w:val="009C2386"/>
    <w:rsid w:val="009D0654"/>
    <w:rsid w:val="009D50CF"/>
    <w:rsid w:val="009D788F"/>
    <w:rsid w:val="009E151E"/>
    <w:rsid w:val="009E17F5"/>
    <w:rsid w:val="009E60B5"/>
    <w:rsid w:val="009E7E43"/>
    <w:rsid w:val="009F512D"/>
    <w:rsid w:val="00A13ADB"/>
    <w:rsid w:val="00A44C7C"/>
    <w:rsid w:val="00A63911"/>
    <w:rsid w:val="00A84305"/>
    <w:rsid w:val="00AD19D1"/>
    <w:rsid w:val="00AD2457"/>
    <w:rsid w:val="00AF530D"/>
    <w:rsid w:val="00AF69A2"/>
    <w:rsid w:val="00B003BD"/>
    <w:rsid w:val="00B110D2"/>
    <w:rsid w:val="00B33B43"/>
    <w:rsid w:val="00B37B02"/>
    <w:rsid w:val="00B5328B"/>
    <w:rsid w:val="00B66108"/>
    <w:rsid w:val="00B82112"/>
    <w:rsid w:val="00BA47C2"/>
    <w:rsid w:val="00BA5DE7"/>
    <w:rsid w:val="00BB2649"/>
    <w:rsid w:val="00BB4C7A"/>
    <w:rsid w:val="00BC0963"/>
    <w:rsid w:val="00BD51BB"/>
    <w:rsid w:val="00C01D37"/>
    <w:rsid w:val="00C04CF6"/>
    <w:rsid w:val="00C17810"/>
    <w:rsid w:val="00C206D3"/>
    <w:rsid w:val="00C31553"/>
    <w:rsid w:val="00C31617"/>
    <w:rsid w:val="00C43081"/>
    <w:rsid w:val="00C47F2B"/>
    <w:rsid w:val="00C51F1B"/>
    <w:rsid w:val="00C614D2"/>
    <w:rsid w:val="00C801A7"/>
    <w:rsid w:val="00C82F40"/>
    <w:rsid w:val="00CA5CF3"/>
    <w:rsid w:val="00CA784C"/>
    <w:rsid w:val="00CC581C"/>
    <w:rsid w:val="00CD4FA5"/>
    <w:rsid w:val="00CF2917"/>
    <w:rsid w:val="00D0103C"/>
    <w:rsid w:val="00D36C92"/>
    <w:rsid w:val="00D43A6F"/>
    <w:rsid w:val="00D4585C"/>
    <w:rsid w:val="00D807B1"/>
    <w:rsid w:val="00D97633"/>
    <w:rsid w:val="00DA2633"/>
    <w:rsid w:val="00DA7206"/>
    <w:rsid w:val="00DA7676"/>
    <w:rsid w:val="00DA7B15"/>
    <w:rsid w:val="00DB2B8D"/>
    <w:rsid w:val="00DB715C"/>
    <w:rsid w:val="00DF4D8D"/>
    <w:rsid w:val="00E108AF"/>
    <w:rsid w:val="00E11404"/>
    <w:rsid w:val="00E14D26"/>
    <w:rsid w:val="00E23A6D"/>
    <w:rsid w:val="00E25755"/>
    <w:rsid w:val="00E36713"/>
    <w:rsid w:val="00E40F0F"/>
    <w:rsid w:val="00E4621E"/>
    <w:rsid w:val="00E54A64"/>
    <w:rsid w:val="00E61587"/>
    <w:rsid w:val="00E76C55"/>
    <w:rsid w:val="00E870EF"/>
    <w:rsid w:val="00E93DFC"/>
    <w:rsid w:val="00EA41C2"/>
    <w:rsid w:val="00EC0947"/>
    <w:rsid w:val="00EC0C65"/>
    <w:rsid w:val="00EC694B"/>
    <w:rsid w:val="00EE5A0D"/>
    <w:rsid w:val="00EF22FA"/>
    <w:rsid w:val="00F32B86"/>
    <w:rsid w:val="00F75A36"/>
    <w:rsid w:val="00F7735D"/>
    <w:rsid w:val="00FA3C62"/>
    <w:rsid w:val="00FA673F"/>
    <w:rsid w:val="00FB4F1A"/>
    <w:rsid w:val="00FD5B61"/>
    <w:rsid w:val="00FE5664"/>
    <w:rsid w:val="00FE7C50"/>
    <w:rsid w:val="00FF2CF3"/>
    <w:rsid w:val="00FF2D0D"/>
    <w:rsid w:val="01800844"/>
    <w:rsid w:val="01E40552"/>
    <w:rsid w:val="021A7868"/>
    <w:rsid w:val="0290D69D"/>
    <w:rsid w:val="032B37B7"/>
    <w:rsid w:val="0619BB29"/>
    <w:rsid w:val="0631AA84"/>
    <w:rsid w:val="06419C06"/>
    <w:rsid w:val="0796E022"/>
    <w:rsid w:val="083E50D4"/>
    <w:rsid w:val="08921E24"/>
    <w:rsid w:val="096D324D"/>
    <w:rsid w:val="0A599286"/>
    <w:rsid w:val="0B49BB39"/>
    <w:rsid w:val="0B8E88C9"/>
    <w:rsid w:val="0C1E1E3C"/>
    <w:rsid w:val="0E4A9509"/>
    <w:rsid w:val="0E9C0AE9"/>
    <w:rsid w:val="0F033D77"/>
    <w:rsid w:val="0FA99FEE"/>
    <w:rsid w:val="0FFE1CB9"/>
    <w:rsid w:val="10A6536F"/>
    <w:rsid w:val="10ED161A"/>
    <w:rsid w:val="112FB7ED"/>
    <w:rsid w:val="1171ED1E"/>
    <w:rsid w:val="11BB5540"/>
    <w:rsid w:val="123F0CA1"/>
    <w:rsid w:val="12D8155A"/>
    <w:rsid w:val="12DCC0DC"/>
    <w:rsid w:val="130ADC1D"/>
    <w:rsid w:val="13AA26CB"/>
    <w:rsid w:val="15377B92"/>
    <w:rsid w:val="156F3E7F"/>
    <w:rsid w:val="16923EE7"/>
    <w:rsid w:val="16AC03D9"/>
    <w:rsid w:val="16F5E654"/>
    <w:rsid w:val="182ED9B1"/>
    <w:rsid w:val="19462C0A"/>
    <w:rsid w:val="1A172565"/>
    <w:rsid w:val="1A1D4A58"/>
    <w:rsid w:val="1AF288E3"/>
    <w:rsid w:val="1C212AE3"/>
    <w:rsid w:val="1E57AC76"/>
    <w:rsid w:val="1E952065"/>
    <w:rsid w:val="1FE3144A"/>
    <w:rsid w:val="20A163FD"/>
    <w:rsid w:val="20CBB625"/>
    <w:rsid w:val="22049274"/>
    <w:rsid w:val="221282A2"/>
    <w:rsid w:val="22B96C55"/>
    <w:rsid w:val="23651DBD"/>
    <w:rsid w:val="24006E25"/>
    <w:rsid w:val="244DDEA8"/>
    <w:rsid w:val="253DE4EC"/>
    <w:rsid w:val="2774BA70"/>
    <w:rsid w:val="2A55D83D"/>
    <w:rsid w:val="2AC4A1C8"/>
    <w:rsid w:val="2AE91C4B"/>
    <w:rsid w:val="2B599CB9"/>
    <w:rsid w:val="2C5228BB"/>
    <w:rsid w:val="2D0D68E1"/>
    <w:rsid w:val="2D7CA3A2"/>
    <w:rsid w:val="2DA2301B"/>
    <w:rsid w:val="2E50EA33"/>
    <w:rsid w:val="2E67482B"/>
    <w:rsid w:val="2F04C1FE"/>
    <w:rsid w:val="30494ED5"/>
    <w:rsid w:val="31726A08"/>
    <w:rsid w:val="326BE830"/>
    <w:rsid w:val="32B68082"/>
    <w:rsid w:val="33C58D8C"/>
    <w:rsid w:val="347F143D"/>
    <w:rsid w:val="3505836B"/>
    <w:rsid w:val="3531C0DF"/>
    <w:rsid w:val="35C507B2"/>
    <w:rsid w:val="35D3E20C"/>
    <w:rsid w:val="3637596D"/>
    <w:rsid w:val="39F69FAB"/>
    <w:rsid w:val="3A423528"/>
    <w:rsid w:val="3B8E9D08"/>
    <w:rsid w:val="3C6109BF"/>
    <w:rsid w:val="3DDBB796"/>
    <w:rsid w:val="3EB7FA3D"/>
    <w:rsid w:val="3F19159B"/>
    <w:rsid w:val="3F33B838"/>
    <w:rsid w:val="3F365054"/>
    <w:rsid w:val="40B94830"/>
    <w:rsid w:val="4116D08B"/>
    <w:rsid w:val="41CFBBD2"/>
    <w:rsid w:val="4224CE99"/>
    <w:rsid w:val="4251B8C9"/>
    <w:rsid w:val="42F938C5"/>
    <w:rsid w:val="434D6E95"/>
    <w:rsid w:val="43EBBE5C"/>
    <w:rsid w:val="45072162"/>
    <w:rsid w:val="454A10C6"/>
    <w:rsid w:val="46F5AAA0"/>
    <w:rsid w:val="47181C0F"/>
    <w:rsid w:val="47A929CA"/>
    <w:rsid w:val="47B9AB1F"/>
    <w:rsid w:val="49FC3C16"/>
    <w:rsid w:val="4ACA7771"/>
    <w:rsid w:val="4B697018"/>
    <w:rsid w:val="4C0DF9F0"/>
    <w:rsid w:val="4C3D473F"/>
    <w:rsid w:val="4C629EA2"/>
    <w:rsid w:val="4E45B439"/>
    <w:rsid w:val="4E6853AD"/>
    <w:rsid w:val="5101B293"/>
    <w:rsid w:val="51265225"/>
    <w:rsid w:val="537B5858"/>
    <w:rsid w:val="542E6C90"/>
    <w:rsid w:val="546E9D4F"/>
    <w:rsid w:val="54772009"/>
    <w:rsid w:val="56025CB8"/>
    <w:rsid w:val="561AA228"/>
    <w:rsid w:val="570C0996"/>
    <w:rsid w:val="57687332"/>
    <w:rsid w:val="58D2F988"/>
    <w:rsid w:val="5933BA03"/>
    <w:rsid w:val="59563516"/>
    <w:rsid w:val="5A932C7E"/>
    <w:rsid w:val="5AF7165D"/>
    <w:rsid w:val="5D9CC004"/>
    <w:rsid w:val="5DFCB66B"/>
    <w:rsid w:val="5E7B675E"/>
    <w:rsid w:val="5EEE8048"/>
    <w:rsid w:val="5F41BD5B"/>
    <w:rsid w:val="5F627937"/>
    <w:rsid w:val="5FF2BD5F"/>
    <w:rsid w:val="600044BC"/>
    <w:rsid w:val="602247CD"/>
    <w:rsid w:val="60D93AE1"/>
    <w:rsid w:val="614BC502"/>
    <w:rsid w:val="618C5BC1"/>
    <w:rsid w:val="62FFCFA8"/>
    <w:rsid w:val="64CFE817"/>
    <w:rsid w:val="65BA0961"/>
    <w:rsid w:val="6619F68B"/>
    <w:rsid w:val="6727F088"/>
    <w:rsid w:val="67958177"/>
    <w:rsid w:val="67C14B9C"/>
    <w:rsid w:val="68AE7FCF"/>
    <w:rsid w:val="68EE0F79"/>
    <w:rsid w:val="6992C03B"/>
    <w:rsid w:val="6A30745D"/>
    <w:rsid w:val="6A5CA7B2"/>
    <w:rsid w:val="6AB1B883"/>
    <w:rsid w:val="6B41C120"/>
    <w:rsid w:val="6B6261D3"/>
    <w:rsid w:val="6D7F7A85"/>
    <w:rsid w:val="6DB3132F"/>
    <w:rsid w:val="6DB8EEE9"/>
    <w:rsid w:val="7106F076"/>
    <w:rsid w:val="717655E5"/>
    <w:rsid w:val="729F46E2"/>
    <w:rsid w:val="72C6C3B9"/>
    <w:rsid w:val="72EA6000"/>
    <w:rsid w:val="7414D821"/>
    <w:rsid w:val="74C27370"/>
    <w:rsid w:val="74CE03DE"/>
    <w:rsid w:val="7511D1A1"/>
    <w:rsid w:val="75B6EAF0"/>
    <w:rsid w:val="75BB46A9"/>
    <w:rsid w:val="7732C515"/>
    <w:rsid w:val="77A60546"/>
    <w:rsid w:val="77D335DD"/>
    <w:rsid w:val="78AF438F"/>
    <w:rsid w:val="78CE534B"/>
    <w:rsid w:val="7A55E9B4"/>
    <w:rsid w:val="7B1DB855"/>
    <w:rsid w:val="7D21E3BC"/>
    <w:rsid w:val="7FD796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E35A9"/>
  <w15:chartTrackingRefBased/>
  <w15:docId w15:val="{4152C324-8136-4632-A9CA-4CF3F1BA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3727"/>
    <w:pPr>
      <w:widowControl w:val="0"/>
      <w:autoSpaceDE w:val="0"/>
      <w:autoSpaceDN w:val="0"/>
      <w:adjustRightInd w:val="0"/>
      <w:spacing w:after="0" w:line="240" w:lineRule="auto"/>
    </w:pPr>
    <w:rPr>
      <w:rFonts w:ascii="Times New Roman" w:eastAsiaTheme="minorEastAsia" w:hAnsi="Times New Roman" w:cs="Times New Roman"/>
      <w:kern w:val="0"/>
    </w:rPr>
  </w:style>
  <w:style w:type="paragraph" w:styleId="Heading1">
    <w:name w:val="heading 1"/>
    <w:basedOn w:val="Normal"/>
    <w:next w:val="Normal"/>
    <w:link w:val="Heading1Char"/>
    <w:autoRedefine/>
    <w:uiPriority w:val="9"/>
    <w:qFormat/>
    <w:rsid w:val="0008420E"/>
    <w:pPr>
      <w:keepNext/>
      <w:spacing w:before="120" w:after="120"/>
      <w:jc w:val="center"/>
      <w:outlineLvl w:val="0"/>
    </w:pPr>
    <w:rPr>
      <w:rFonts w:ascii="Calibri" w:eastAsia="Times New Roman" w:hAnsi="Calibri" w:cs="Calibri"/>
      <w:b/>
      <w:bCs/>
      <w:kern w:val="32"/>
      <w:sz w:val="28"/>
      <w:szCs w:val="32"/>
    </w:rPr>
  </w:style>
  <w:style w:type="paragraph" w:styleId="Heading2">
    <w:name w:val="heading 2"/>
    <w:basedOn w:val="Normal"/>
    <w:next w:val="Normal"/>
    <w:link w:val="Heading2Char"/>
    <w:autoRedefine/>
    <w:uiPriority w:val="9"/>
    <w:qFormat/>
    <w:rsid w:val="0008420E"/>
    <w:pPr>
      <w:keepNext/>
      <w:outlineLvl w:val="1"/>
    </w:pPr>
    <w:rPr>
      <w:rFonts w:ascii="Calibri" w:eastAsia="Times New Roman" w:hAnsi="Calibri" w:cs="Calibri"/>
      <w:b/>
      <w:bCs/>
      <w:iCs/>
      <w:kern w:val="2"/>
      <w:sz w:val="24"/>
      <w:szCs w:val="28"/>
    </w:rPr>
  </w:style>
  <w:style w:type="paragraph" w:styleId="Heading3">
    <w:name w:val="heading 3"/>
    <w:basedOn w:val="Normal"/>
    <w:next w:val="Normal"/>
    <w:link w:val="Heading3Char"/>
    <w:autoRedefine/>
    <w:uiPriority w:val="9"/>
    <w:qFormat/>
    <w:rsid w:val="00685314"/>
    <w:pPr>
      <w:numPr>
        <w:numId w:val="4"/>
      </w:numPr>
      <w:ind w:left="360"/>
      <w:outlineLvl w:val="2"/>
    </w:pPr>
    <w:rPr>
      <w:rFonts w:ascii="Calibri" w:eastAsia="Times New Roman" w:hAnsi="Calibri" w:cstheme="minorBidi"/>
      <w:bCs/>
      <w:kern w:val="2"/>
      <w:sz w:val="24"/>
      <w:szCs w:val="27"/>
      <w:u w:val="single"/>
    </w:rPr>
  </w:style>
  <w:style w:type="paragraph" w:styleId="Heading4">
    <w:name w:val="heading 4"/>
    <w:basedOn w:val="Normal"/>
    <w:next w:val="Normal"/>
    <w:link w:val="Heading4Char"/>
    <w:autoRedefine/>
    <w:uiPriority w:val="9"/>
    <w:unhideWhenUsed/>
    <w:qFormat/>
    <w:rsid w:val="006D2DF0"/>
    <w:pPr>
      <w:keepNext/>
      <w:keepLines/>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6D2DF0"/>
    <w:pPr>
      <w:outlineLvl w:val="4"/>
    </w:pPr>
    <w:rPr>
      <w:u w:val="single"/>
    </w:rPr>
  </w:style>
  <w:style w:type="paragraph" w:styleId="Heading6">
    <w:name w:val="heading 6"/>
    <w:basedOn w:val="Normal"/>
    <w:next w:val="Normal"/>
    <w:link w:val="Heading6Char"/>
    <w:autoRedefine/>
    <w:uiPriority w:val="9"/>
    <w:unhideWhenUsed/>
    <w:qFormat/>
    <w:rsid w:val="006D2DF0"/>
    <w:pPr>
      <w:keepNext/>
      <w:keepLines/>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6637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37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37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20E"/>
    <w:rPr>
      <w:rFonts w:ascii="Calibri" w:eastAsia="Times New Roman" w:hAnsi="Calibri" w:cs="Calibri"/>
      <w:b/>
      <w:bCs/>
      <w:kern w:val="32"/>
      <w:sz w:val="28"/>
      <w:szCs w:val="32"/>
    </w:rPr>
  </w:style>
  <w:style w:type="character" w:customStyle="1" w:styleId="Heading2Char">
    <w:name w:val="Heading 2 Char"/>
    <w:link w:val="Heading2"/>
    <w:uiPriority w:val="9"/>
    <w:rsid w:val="0008420E"/>
    <w:rPr>
      <w:rFonts w:ascii="Calibri" w:eastAsia="Times New Roman" w:hAnsi="Calibri" w:cs="Calibri"/>
      <w:b/>
      <w:bCs/>
      <w:iCs/>
      <w:sz w:val="24"/>
      <w:szCs w:val="28"/>
    </w:rPr>
  </w:style>
  <w:style w:type="character" w:customStyle="1" w:styleId="Heading3Char">
    <w:name w:val="Heading 3 Char"/>
    <w:link w:val="Heading3"/>
    <w:uiPriority w:val="9"/>
    <w:rsid w:val="00685314"/>
    <w:rPr>
      <w:rFonts w:ascii="Calibri" w:eastAsia="Times New Roman" w:hAnsi="Calibri"/>
      <w:bCs/>
      <w:sz w:val="24"/>
      <w:szCs w:val="27"/>
      <w:u w:val="single"/>
    </w:rPr>
  </w:style>
  <w:style w:type="character" w:customStyle="1" w:styleId="Heading4Char">
    <w:name w:val="Heading 4 Char"/>
    <w:basedOn w:val="DefaultParagraphFont"/>
    <w:link w:val="Heading4"/>
    <w:uiPriority w:val="9"/>
    <w:rsid w:val="006D2DF0"/>
    <w:rPr>
      <w:rFonts w:ascii="Times New Roman" w:eastAsiaTheme="majorEastAsia" w:hAnsi="Times New Roman" w:cstheme="majorBidi"/>
      <w:i/>
      <w:iCs/>
      <w:kern w:val="0"/>
      <w:sz w:val="24"/>
      <w14:ligatures w14:val="none"/>
    </w:rPr>
  </w:style>
  <w:style w:type="character" w:customStyle="1" w:styleId="Heading5Char">
    <w:name w:val="Heading 5 Char"/>
    <w:basedOn w:val="DefaultParagraphFont"/>
    <w:link w:val="Heading5"/>
    <w:uiPriority w:val="9"/>
    <w:rsid w:val="006D2DF0"/>
    <w:rPr>
      <w:rFonts w:ascii="Times New Roman" w:hAnsi="Times New Roman" w:cs="Times New Roman"/>
      <w:kern w:val="0"/>
      <w:sz w:val="24"/>
      <w:u w:val="single"/>
      <w14:ligatures w14:val="none"/>
    </w:rPr>
  </w:style>
  <w:style w:type="paragraph" w:customStyle="1" w:styleId="TEGLSub-headings">
    <w:name w:val="TEGL Sub-headings"/>
    <w:basedOn w:val="Normal"/>
    <w:next w:val="Normal"/>
    <w:link w:val="TEGLSub-headingsChar"/>
    <w:autoRedefine/>
    <w:qFormat/>
    <w:rsid w:val="009F512D"/>
    <w:pPr>
      <w:spacing w:before="60" w:after="60"/>
    </w:pPr>
    <w:rPr>
      <w:rFonts w:eastAsia="Times New Roman" w:cstheme="minorBidi"/>
      <w:b/>
      <w:kern w:val="32"/>
    </w:rPr>
  </w:style>
  <w:style w:type="character" w:customStyle="1" w:styleId="TEGLSub-headingsChar">
    <w:name w:val="TEGL Sub-headings Char"/>
    <w:basedOn w:val="DefaultParagraphFont"/>
    <w:link w:val="TEGLSub-headings"/>
    <w:rsid w:val="009F512D"/>
    <w:rPr>
      <w:rFonts w:ascii="Times New Roman" w:eastAsia="Times New Roman" w:hAnsi="Times New Roman"/>
      <w:b/>
      <w:kern w:val="32"/>
      <w:sz w:val="24"/>
    </w:rPr>
  </w:style>
  <w:style w:type="character" w:customStyle="1" w:styleId="Heading6Char">
    <w:name w:val="Heading 6 Char"/>
    <w:basedOn w:val="DefaultParagraphFont"/>
    <w:link w:val="Heading6"/>
    <w:uiPriority w:val="9"/>
    <w:rsid w:val="006D2DF0"/>
    <w:rPr>
      <w:rFonts w:ascii="Times New Roman" w:eastAsiaTheme="majorEastAsia" w:hAnsi="Times New Roman" w:cstheme="majorBidi"/>
      <w:i/>
      <w:kern w:val="0"/>
      <w:sz w:val="24"/>
      <w14:ligatures w14:val="none"/>
    </w:rPr>
  </w:style>
  <w:style w:type="paragraph" w:styleId="TOCHeading">
    <w:name w:val="TOC Heading"/>
    <w:basedOn w:val="Heading1"/>
    <w:next w:val="Normal"/>
    <w:autoRedefine/>
    <w:uiPriority w:val="39"/>
    <w:unhideWhenUsed/>
    <w:qFormat/>
    <w:rsid w:val="006D2DF0"/>
    <w:pPr>
      <w:keepLines/>
      <w:spacing w:before="240" w:after="0" w:line="259" w:lineRule="auto"/>
      <w:outlineLvl w:val="9"/>
    </w:pPr>
    <w:rPr>
      <w:rFonts w:eastAsiaTheme="majorEastAsia" w:cstheme="majorBidi"/>
      <w:b w:val="0"/>
      <w:bCs w:val="0"/>
      <w:kern w:val="0"/>
      <w:sz w:val="24"/>
      <w14:ligatures w14:val="none"/>
    </w:rPr>
  </w:style>
  <w:style w:type="character" w:customStyle="1" w:styleId="Heading7Char">
    <w:name w:val="Heading 7 Char"/>
    <w:basedOn w:val="DefaultParagraphFont"/>
    <w:link w:val="Heading7"/>
    <w:uiPriority w:val="9"/>
    <w:semiHidden/>
    <w:rsid w:val="0066372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66372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66372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6637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72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637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72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637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3727"/>
    <w:rPr>
      <w:rFonts w:ascii="Times New Roman" w:hAnsi="Times New Roman" w:cs="Times New Roman"/>
      <w:i/>
      <w:iCs/>
      <w:color w:val="404040" w:themeColor="text1" w:themeTint="BF"/>
      <w:kern w:val="0"/>
      <w:sz w:val="24"/>
      <w14:ligatures w14:val="none"/>
    </w:rPr>
  </w:style>
  <w:style w:type="paragraph" w:styleId="ListParagraph">
    <w:name w:val="List Paragraph"/>
    <w:basedOn w:val="Normal"/>
    <w:uiPriority w:val="34"/>
    <w:qFormat/>
    <w:rsid w:val="00663727"/>
    <w:pPr>
      <w:ind w:left="720"/>
      <w:contextualSpacing/>
    </w:pPr>
  </w:style>
  <w:style w:type="character" w:styleId="IntenseEmphasis">
    <w:name w:val="Intense Emphasis"/>
    <w:basedOn w:val="DefaultParagraphFont"/>
    <w:uiPriority w:val="21"/>
    <w:qFormat/>
    <w:rsid w:val="00663727"/>
    <w:rPr>
      <w:i/>
      <w:iCs/>
      <w:color w:val="0F4761" w:themeColor="accent1" w:themeShade="BF"/>
    </w:rPr>
  </w:style>
  <w:style w:type="paragraph" w:styleId="IntenseQuote">
    <w:name w:val="Intense Quote"/>
    <w:basedOn w:val="Normal"/>
    <w:next w:val="Normal"/>
    <w:link w:val="IntenseQuoteChar"/>
    <w:uiPriority w:val="30"/>
    <w:qFormat/>
    <w:rsid w:val="0066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727"/>
    <w:rPr>
      <w:rFonts w:ascii="Times New Roman" w:hAnsi="Times New Roman" w:cs="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663727"/>
    <w:rPr>
      <w:b/>
      <w:bCs/>
      <w:smallCaps/>
      <w:color w:val="0F4761" w:themeColor="accent1" w:themeShade="BF"/>
      <w:spacing w:val="5"/>
    </w:rPr>
  </w:style>
  <w:style w:type="paragraph" w:styleId="BodyText">
    <w:name w:val="Body Text"/>
    <w:basedOn w:val="Normal"/>
    <w:link w:val="BodyTextChar"/>
    <w:uiPriority w:val="1"/>
    <w:qFormat/>
    <w:rsid w:val="00663727"/>
    <w:rPr>
      <w:sz w:val="24"/>
      <w:szCs w:val="24"/>
    </w:rPr>
  </w:style>
  <w:style w:type="character" w:customStyle="1" w:styleId="BodyTextChar">
    <w:name w:val="Body Text Char"/>
    <w:basedOn w:val="DefaultParagraphFont"/>
    <w:link w:val="BodyText"/>
    <w:uiPriority w:val="1"/>
    <w:rsid w:val="00663727"/>
    <w:rPr>
      <w:rFonts w:ascii="Times New Roman" w:eastAsiaTheme="minorEastAsia" w:hAnsi="Times New Roman" w:cs="Times New Roman"/>
      <w:kern w:val="0"/>
      <w:sz w:val="24"/>
      <w:szCs w:val="24"/>
    </w:rPr>
  </w:style>
  <w:style w:type="paragraph" w:customStyle="1" w:styleId="TableParagraph">
    <w:name w:val="Table Paragraph"/>
    <w:basedOn w:val="Normal"/>
    <w:uiPriority w:val="1"/>
    <w:qFormat/>
    <w:rsid w:val="00663727"/>
    <w:rPr>
      <w:sz w:val="24"/>
      <w:szCs w:val="24"/>
    </w:rPr>
  </w:style>
  <w:style w:type="table" w:styleId="TableGrid">
    <w:name w:val="Table Grid"/>
    <w:basedOn w:val="TableNormal"/>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727"/>
    <w:pPr>
      <w:tabs>
        <w:tab w:val="center" w:pos="4680"/>
        <w:tab w:val="right" w:pos="9360"/>
      </w:tabs>
    </w:pPr>
  </w:style>
  <w:style w:type="character" w:customStyle="1" w:styleId="HeaderChar">
    <w:name w:val="Header Char"/>
    <w:basedOn w:val="DefaultParagraphFont"/>
    <w:link w:val="Header"/>
    <w:uiPriority w:val="99"/>
    <w:rsid w:val="00663727"/>
    <w:rPr>
      <w:rFonts w:ascii="Times New Roman" w:eastAsiaTheme="minorEastAsia" w:hAnsi="Times New Roman" w:cs="Times New Roman"/>
      <w:kern w:val="0"/>
    </w:rPr>
  </w:style>
  <w:style w:type="paragraph" w:styleId="Footer">
    <w:name w:val="footer"/>
    <w:basedOn w:val="Normal"/>
    <w:link w:val="FooterChar"/>
    <w:uiPriority w:val="99"/>
    <w:unhideWhenUsed/>
    <w:rsid w:val="00663727"/>
    <w:pPr>
      <w:tabs>
        <w:tab w:val="center" w:pos="4680"/>
        <w:tab w:val="right" w:pos="9360"/>
      </w:tabs>
    </w:pPr>
  </w:style>
  <w:style w:type="character" w:customStyle="1" w:styleId="FooterChar">
    <w:name w:val="Footer Char"/>
    <w:basedOn w:val="DefaultParagraphFont"/>
    <w:link w:val="Footer"/>
    <w:uiPriority w:val="99"/>
    <w:rsid w:val="00663727"/>
    <w:rPr>
      <w:rFonts w:ascii="Times New Roman" w:eastAsiaTheme="minorEastAsia" w:hAnsi="Times New Roman" w:cs="Times New Roman"/>
      <w:kern w:val="0"/>
    </w:rPr>
  </w:style>
  <w:style w:type="table" w:customStyle="1" w:styleId="TableGrid1">
    <w:name w:val="Table Grid1"/>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63727"/>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63727"/>
    <w:rPr>
      <w:sz w:val="16"/>
      <w:szCs w:val="16"/>
    </w:rPr>
  </w:style>
  <w:style w:type="paragraph" w:styleId="CommentText">
    <w:name w:val="annotation text"/>
    <w:basedOn w:val="Normal"/>
    <w:link w:val="CommentTextChar"/>
    <w:uiPriority w:val="99"/>
    <w:unhideWhenUsed/>
    <w:rsid w:val="00663727"/>
    <w:rPr>
      <w:sz w:val="20"/>
      <w:szCs w:val="20"/>
    </w:rPr>
  </w:style>
  <w:style w:type="character" w:customStyle="1" w:styleId="CommentTextChar">
    <w:name w:val="Comment Text Char"/>
    <w:basedOn w:val="DefaultParagraphFont"/>
    <w:link w:val="CommentText"/>
    <w:uiPriority w:val="99"/>
    <w:rsid w:val="00663727"/>
    <w:rPr>
      <w:rFonts w:ascii="Times New Roman" w:eastAsiaTheme="minorEastAsia"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63727"/>
    <w:rPr>
      <w:b/>
      <w:bCs/>
    </w:rPr>
  </w:style>
  <w:style w:type="character" w:customStyle="1" w:styleId="CommentSubjectChar">
    <w:name w:val="Comment Subject Char"/>
    <w:basedOn w:val="CommentTextChar"/>
    <w:link w:val="CommentSubject"/>
    <w:uiPriority w:val="99"/>
    <w:semiHidden/>
    <w:rsid w:val="00663727"/>
    <w:rPr>
      <w:rFonts w:ascii="Times New Roman" w:eastAsiaTheme="minorEastAsia" w:hAnsi="Times New Roman" w:cs="Times New Roman"/>
      <w:b/>
      <w:bCs/>
      <w:kern w:val="0"/>
      <w:sz w:val="20"/>
      <w:szCs w:val="20"/>
    </w:rPr>
  </w:style>
  <w:style w:type="paragraph" w:styleId="BalloonText">
    <w:name w:val="Balloon Text"/>
    <w:basedOn w:val="Normal"/>
    <w:link w:val="BalloonTextChar"/>
    <w:uiPriority w:val="99"/>
    <w:semiHidden/>
    <w:unhideWhenUsed/>
    <w:rsid w:val="00663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727"/>
    <w:rPr>
      <w:rFonts w:ascii="Segoe UI" w:eastAsiaTheme="minorEastAsia" w:hAnsi="Segoe UI" w:cs="Segoe UI"/>
      <w:kern w:val="0"/>
      <w:sz w:val="18"/>
      <w:szCs w:val="18"/>
    </w:rPr>
  </w:style>
  <w:style w:type="paragraph" w:styleId="Revision">
    <w:name w:val="Revision"/>
    <w:hidden/>
    <w:uiPriority w:val="99"/>
    <w:semiHidden/>
    <w:rsid w:val="00663727"/>
    <w:pPr>
      <w:spacing w:after="0" w:line="240" w:lineRule="auto"/>
    </w:pPr>
    <w:rPr>
      <w:rFonts w:ascii="Times New Roman" w:eastAsiaTheme="minorEastAsia" w:hAnsi="Times New Roman" w:cs="Times New Roman"/>
      <w:kern w:val="0"/>
    </w:rPr>
  </w:style>
  <w:style w:type="character" w:styleId="PlaceholderText">
    <w:name w:val="Placeholder Text"/>
    <w:basedOn w:val="DefaultParagraphFont"/>
    <w:uiPriority w:val="99"/>
    <w:semiHidden/>
    <w:rsid w:val="00663727"/>
    <w:rPr>
      <w:color w:val="808080"/>
    </w:rPr>
  </w:style>
  <w:style w:type="character" w:styleId="UnresolvedMention">
    <w:name w:val="Unresolved Mention"/>
    <w:basedOn w:val="DefaultParagraphFont"/>
    <w:uiPriority w:val="99"/>
    <w:unhideWhenUsed/>
    <w:rsid w:val="00663727"/>
    <w:rPr>
      <w:color w:val="605E5C"/>
      <w:shd w:val="clear" w:color="auto" w:fill="E1DFDD"/>
    </w:rPr>
  </w:style>
  <w:style w:type="character" w:styleId="Mention">
    <w:name w:val="Mention"/>
    <w:basedOn w:val="DefaultParagraphFont"/>
    <w:uiPriority w:val="99"/>
    <w:unhideWhenUsed/>
    <w:rsid w:val="00663727"/>
    <w:rPr>
      <w:color w:val="2B579A"/>
      <w:shd w:val="clear" w:color="auto" w:fill="E1DFDD"/>
    </w:rPr>
  </w:style>
  <w:style w:type="paragraph" w:styleId="NoSpacing">
    <w:name w:val="No Spacing"/>
    <w:link w:val="NoSpacingChar"/>
    <w:uiPriority w:val="1"/>
    <w:qFormat/>
    <w:rsid w:val="00663727"/>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663727"/>
    <w:rPr>
      <w:rFonts w:eastAsiaTheme="minorEastAsia"/>
      <w:kern w:val="0"/>
    </w:rPr>
  </w:style>
  <w:style w:type="paragraph" w:styleId="TOC2">
    <w:name w:val="toc 2"/>
    <w:basedOn w:val="Normal"/>
    <w:next w:val="Normal"/>
    <w:autoRedefine/>
    <w:uiPriority w:val="39"/>
    <w:unhideWhenUsed/>
    <w:rsid w:val="00663727"/>
    <w:pPr>
      <w:widowControl/>
      <w:tabs>
        <w:tab w:val="right" w:leader="dot" w:pos="10790"/>
      </w:tabs>
      <w:autoSpaceDE/>
      <w:autoSpaceDN/>
      <w:adjustRightInd/>
      <w:spacing w:after="100" w:line="259" w:lineRule="auto"/>
    </w:pPr>
    <w:rPr>
      <w:rFonts w:asciiTheme="minorHAnsi" w:hAnsiTheme="minorHAnsi"/>
    </w:rPr>
  </w:style>
  <w:style w:type="paragraph" w:styleId="TOC1">
    <w:name w:val="toc 1"/>
    <w:basedOn w:val="Normal"/>
    <w:next w:val="Normal"/>
    <w:autoRedefine/>
    <w:uiPriority w:val="39"/>
    <w:unhideWhenUsed/>
    <w:rsid w:val="00663727"/>
    <w:pPr>
      <w:widowControl/>
      <w:tabs>
        <w:tab w:val="right" w:leader="dot" w:pos="10790"/>
      </w:tabs>
      <w:autoSpaceDE/>
      <w:autoSpaceDN/>
      <w:adjustRightInd/>
      <w:spacing w:after="100" w:line="259" w:lineRule="auto"/>
    </w:pPr>
    <w:rPr>
      <w:rFonts w:asciiTheme="minorHAnsi" w:hAnsiTheme="minorHAnsi"/>
    </w:rPr>
  </w:style>
  <w:style w:type="paragraph" w:styleId="TOC3">
    <w:name w:val="toc 3"/>
    <w:basedOn w:val="Normal"/>
    <w:next w:val="Normal"/>
    <w:autoRedefine/>
    <w:uiPriority w:val="39"/>
    <w:unhideWhenUsed/>
    <w:rsid w:val="00663727"/>
    <w:pPr>
      <w:widowControl/>
      <w:autoSpaceDE/>
      <w:autoSpaceDN/>
      <w:adjustRightInd/>
      <w:spacing w:after="100" w:line="259" w:lineRule="auto"/>
      <w:ind w:left="440"/>
    </w:pPr>
    <w:rPr>
      <w:rFonts w:asciiTheme="minorHAnsi" w:hAnsiTheme="minorHAnsi"/>
    </w:rPr>
  </w:style>
  <w:style w:type="character" w:customStyle="1" w:styleId="normaltextrun">
    <w:name w:val="normaltextrun"/>
    <w:basedOn w:val="DefaultParagraphFont"/>
    <w:rsid w:val="00663727"/>
  </w:style>
  <w:style w:type="character" w:customStyle="1" w:styleId="eop">
    <w:name w:val="eop"/>
    <w:basedOn w:val="DefaultParagraphFont"/>
    <w:rsid w:val="00663727"/>
  </w:style>
  <w:style w:type="character" w:styleId="Hyperlink">
    <w:name w:val="Hyperlink"/>
    <w:basedOn w:val="DefaultParagraphFont"/>
    <w:uiPriority w:val="99"/>
    <w:unhideWhenUsed/>
    <w:rsid w:val="00663727"/>
    <w:rPr>
      <w:color w:val="467886" w:themeColor="hyperlink"/>
      <w:u w:val="single"/>
    </w:rPr>
  </w:style>
  <w:style w:type="paragraph" w:styleId="FootnoteText">
    <w:name w:val="footnote text"/>
    <w:basedOn w:val="Normal"/>
    <w:link w:val="FootnoteTextChar"/>
    <w:uiPriority w:val="99"/>
    <w:semiHidden/>
    <w:unhideWhenUsed/>
    <w:rsid w:val="00663727"/>
    <w:pPr>
      <w:widowControl/>
      <w:autoSpaceDE/>
      <w:autoSpaceDN/>
      <w:adjustRightInd/>
    </w:pPr>
    <w:rPr>
      <w:rFonts w:eastAsia="Times New Roman"/>
      <w:sz w:val="20"/>
      <w:szCs w:val="20"/>
    </w:rPr>
  </w:style>
  <w:style w:type="character" w:customStyle="1" w:styleId="FootnoteTextChar">
    <w:name w:val="Footnote Text Char"/>
    <w:basedOn w:val="DefaultParagraphFont"/>
    <w:link w:val="FootnoteText"/>
    <w:uiPriority w:val="99"/>
    <w:semiHidden/>
    <w:rsid w:val="00663727"/>
    <w:rPr>
      <w:rFonts w:ascii="Times New Roman" w:eastAsia="Times New Roman" w:hAnsi="Times New Roman" w:cs="Times New Roman"/>
      <w:kern w:val="0"/>
      <w:sz w:val="20"/>
      <w:szCs w:val="20"/>
    </w:rPr>
  </w:style>
  <w:style w:type="character" w:styleId="FootnoteReference">
    <w:name w:val="footnote reference"/>
    <w:uiPriority w:val="99"/>
    <w:semiHidden/>
    <w:unhideWhenUsed/>
    <w:rsid w:val="00663727"/>
    <w:rPr>
      <w:vertAlign w:val="superscript"/>
    </w:rPr>
  </w:style>
  <w:style w:type="paragraph" w:customStyle="1" w:styleId="paragraph">
    <w:name w:val="paragraph"/>
    <w:basedOn w:val="Normal"/>
    <w:rsid w:val="00663727"/>
    <w:pPr>
      <w:widowControl/>
      <w:autoSpaceDE/>
      <w:autoSpaceDN/>
      <w:adjustRightInd/>
      <w:spacing w:before="100" w:beforeAutospacing="1" w:after="100" w:afterAutospacing="1"/>
    </w:pPr>
    <w:rPr>
      <w:rFonts w:eastAsia="Times New Roman"/>
      <w:sz w:val="24"/>
      <w:szCs w:val="24"/>
    </w:rPr>
  </w:style>
  <w:style w:type="character" w:customStyle="1" w:styleId="contentcontrolboundarysink">
    <w:name w:val="contentcontrolboundarysink"/>
    <w:basedOn w:val="DefaultParagraphFont"/>
    <w:rsid w:val="00663727"/>
  </w:style>
  <w:style w:type="character" w:customStyle="1" w:styleId="cf01">
    <w:name w:val="cf01"/>
    <w:basedOn w:val="DefaultParagraphFont"/>
    <w:rsid w:val="00663727"/>
    <w:rPr>
      <w:rFonts w:ascii="Segoe UI" w:hAnsi="Segoe UI" w:cs="Segoe UI" w:hint="default"/>
      <w:sz w:val="18"/>
      <w:szCs w:val="18"/>
    </w:rPr>
  </w:style>
  <w:style w:type="character" w:styleId="FollowedHyperlink">
    <w:name w:val="FollowedHyperlink"/>
    <w:basedOn w:val="DefaultParagraphFont"/>
    <w:uiPriority w:val="99"/>
    <w:semiHidden/>
    <w:unhideWhenUsed/>
    <w:rsid w:val="00663727"/>
    <w:rPr>
      <w:color w:val="96607D" w:themeColor="followedHyperlink"/>
      <w:u w:val="single"/>
    </w:rPr>
  </w:style>
  <w:style w:type="character" w:customStyle="1" w:styleId="contextualspellingandgrammarerror">
    <w:name w:val="contextualspellingandgrammarerror"/>
    <w:basedOn w:val="DefaultParagraphFont"/>
    <w:rsid w:val="00663727"/>
  </w:style>
  <w:style w:type="paragraph" w:customStyle="1" w:styleId="Default">
    <w:name w:val="Default"/>
    <w:rsid w:val="00663727"/>
    <w:pPr>
      <w:autoSpaceDE w:val="0"/>
      <w:autoSpaceDN w:val="0"/>
      <w:adjustRightInd w:val="0"/>
      <w:spacing w:after="0" w:line="240" w:lineRule="auto"/>
    </w:pPr>
    <w:rPr>
      <w:rFonts w:ascii="Times New Roman" w:eastAsiaTheme="minorHAnsi"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sa.gov/travel/plan-book/per-diem-r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6F8669E6B6429484835E99E35A0911"/>
        <w:category>
          <w:name w:val="General"/>
          <w:gallery w:val="placeholder"/>
        </w:category>
        <w:types>
          <w:type w:val="bbPlcHdr"/>
        </w:types>
        <w:behaviors>
          <w:behavior w:val="content"/>
        </w:behaviors>
        <w:guid w:val="{45C18D11-A98B-4B5C-BC3B-AA743FF80569}"/>
      </w:docPartPr>
      <w:docPartBody>
        <w:p w:rsidR="002A3191" w:rsidRDefault="002A3191" w:rsidP="002A3191">
          <w:pPr>
            <w:pStyle w:val="986F8669E6B6429484835E99E35A091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91"/>
    <w:rsid w:val="002A3191"/>
    <w:rsid w:val="0097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41D9871A5C401C87B85F3A2FA9B811">
    <w:name w:val="3141D9871A5C401C87B85F3A2FA9B811"/>
    <w:rsid w:val="002A3191"/>
  </w:style>
  <w:style w:type="paragraph" w:customStyle="1" w:styleId="986F8669E6B6429484835E99E35A0911">
    <w:name w:val="986F8669E6B6429484835E99E35A0911"/>
    <w:rsid w:val="002A3191"/>
  </w:style>
  <w:style w:type="paragraph" w:customStyle="1" w:styleId="27DEF675B34542DB9355A998065A75AA">
    <w:name w:val="27DEF675B34542DB9355A998065A75AA"/>
    <w:rsid w:val="002A3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BC7063338854A905E6350E31EDF8E" ma:contentTypeVersion="14" ma:contentTypeDescription="Create a new document." ma:contentTypeScope="" ma:versionID="6292617c761ada75fe26efad75ca871d">
  <xsd:schema xmlns:xsd="http://www.w3.org/2001/XMLSchema" xmlns:xs="http://www.w3.org/2001/XMLSchema" xmlns:p="http://schemas.microsoft.com/office/2006/metadata/properties" xmlns:ns2="0ff0cc33-8217-4bb3-8a5f-7b24ef6209f9" xmlns:ns3="f17e3ec4-d734-4b9d-ba20-632ab8c2cce1" targetNamespace="http://schemas.microsoft.com/office/2006/metadata/properties" ma:root="true" ma:fieldsID="e833ecd2f0f141cb149b31c153374f20" ns2:_="" ns3:_="">
    <xsd:import namespace="0ff0cc33-8217-4bb3-8a5f-7b24ef6209f9"/>
    <xsd:import namespace="f17e3ec4-d734-4b9d-ba20-632ab8c2c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0cc33-8217-4bb3-8a5f-7b24ef620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e3ec4-d734-4b9d-ba20-632ab8c2c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1353a8-8b56-46e0-8378-11159780af6c}" ma:internalName="TaxCatchAll" ma:showField="CatchAllData" ma:web="f17e3ec4-d734-4b9d-ba20-632ab8c2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7e3ec4-d734-4b9d-ba20-632ab8c2cce1" xsi:nil="true"/>
    <lcf76f155ced4ddcb4097134ff3c332f xmlns="0ff0cc33-8217-4bb3-8a5f-7b24ef620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32033-44F9-4549-B8F7-A7BA1FCCE159}">
  <ds:schemaRefs>
    <ds:schemaRef ds:uri="http://schemas.microsoft.com/sharepoint/v3/contenttype/forms"/>
  </ds:schemaRefs>
</ds:datastoreItem>
</file>

<file path=customXml/itemProps2.xml><?xml version="1.0" encoding="utf-8"?>
<ds:datastoreItem xmlns:ds="http://schemas.openxmlformats.org/officeDocument/2006/customXml" ds:itemID="{1E664C48-CE6A-4C41-8B06-D4BBA5AC5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0cc33-8217-4bb3-8a5f-7b24ef6209f9"/>
    <ds:schemaRef ds:uri="f17e3ec4-d734-4b9d-ba20-632ab8c2c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14785-2C07-4315-BBFC-E91B3971F07E}">
  <ds:schemaRefs>
    <ds:schemaRef ds:uri="http://purl.org/dc/terms/"/>
    <ds:schemaRef ds:uri="0ff0cc33-8217-4bb3-8a5f-7b24ef6209f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17e3ec4-d734-4b9d-ba20-632ab8c2cce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1511</Words>
  <Characters>8267</Characters>
  <Application>Microsoft Office Word</Application>
  <DocSecurity>0</DocSecurity>
  <Lines>135</Lines>
  <Paragraphs>34</Paragraphs>
  <ScaleCrop>false</ScaleCrop>
  <Company>U.S. Department of Labor</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Jeff - ETA</dc:creator>
  <cp:keywords/>
  <dc:description/>
  <cp:lastModifiedBy>Schonfield, Ingrid N - ETA</cp:lastModifiedBy>
  <cp:revision>10</cp:revision>
  <dcterms:created xsi:type="dcterms:W3CDTF">2026-05-07T16:55:00Z</dcterms:created>
  <dcterms:modified xsi:type="dcterms:W3CDTF">2026-05-13T18:04:00Z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0x010100B25BC7063338854A905E6350E31EDF8E</vt:lpwstr>
  </property>
  <property fmtid="{D5CDD505-2E9C-101B-9397-08002B2CF9AE}" pid="3" name="MediaServiceImageTags">
    <vt:lpwstr/>
  </property>
</Properties>
</file>