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66A0" w14:textId="0348E624" w:rsidR="00C15732" w:rsidRPr="00C15732" w:rsidRDefault="00AF7BEA" w:rsidP="00C15732">
      <w:pPr>
        <w:rPr>
          <w:sz w:val="24"/>
          <w:szCs w:val="22"/>
        </w:rPr>
      </w:pPr>
      <w:r w:rsidRPr="00F35123">
        <w:rPr>
          <w:sz w:val="24"/>
          <w:szCs w:val="22"/>
        </w:rPr>
        <w:t>Frequently Asked Questions</w:t>
      </w:r>
      <w:r w:rsidR="00C15732" w:rsidRPr="00C15732">
        <w:rPr>
          <w:sz w:val="24"/>
          <w:szCs w:val="22"/>
        </w:rPr>
        <w:t>:</w:t>
      </w:r>
    </w:p>
    <w:p w14:paraId="68C780A4" w14:textId="27AEF445" w:rsidR="00C15732" w:rsidRPr="00F35123" w:rsidRDefault="00AF7BEA" w:rsidP="00AF7BEA">
      <w:pPr>
        <w:numPr>
          <w:ilvl w:val="0"/>
          <w:numId w:val="1"/>
        </w:numPr>
        <w:rPr>
          <w:sz w:val="24"/>
          <w:szCs w:val="22"/>
        </w:rPr>
      </w:pPr>
      <w:r w:rsidRPr="00F35123">
        <w:rPr>
          <w:sz w:val="24"/>
          <w:szCs w:val="22"/>
        </w:rPr>
        <w:t>Question: Regarding the Freedom 250 Tech and Innovation Exchange, could you please clarify the intended scope and acceptable forms of collaborative research?</w:t>
      </w:r>
    </w:p>
    <w:p w14:paraId="3DA3B506" w14:textId="62048F0A" w:rsidR="00AF7BEA" w:rsidRPr="002B72EA" w:rsidRDefault="00D6511B" w:rsidP="00AF7BEA">
      <w:pPr>
        <w:numPr>
          <w:ilvl w:val="0"/>
          <w:numId w:val="5"/>
        </w:numPr>
        <w:rPr>
          <w:sz w:val="24"/>
          <w:szCs w:val="22"/>
        </w:rPr>
      </w:pPr>
      <w:r w:rsidRPr="00F35123">
        <w:rPr>
          <w:sz w:val="24"/>
          <w:szCs w:val="22"/>
        </w:rPr>
        <w:t>Answer:</w:t>
      </w:r>
      <w:r w:rsidRPr="00F35123">
        <w:rPr>
          <w:b/>
          <w:bCs/>
          <w:sz w:val="24"/>
          <w:szCs w:val="22"/>
        </w:rPr>
        <w:t xml:space="preserve"> </w:t>
      </w:r>
      <w:r w:rsidR="002B72EA" w:rsidRPr="002B72EA">
        <w:rPr>
          <w:sz w:val="24"/>
          <w:szCs w:val="22"/>
        </w:rPr>
        <w:t>The</w:t>
      </w:r>
      <w:r w:rsidR="002B72EA">
        <w:rPr>
          <w:b/>
          <w:bCs/>
          <w:sz w:val="24"/>
          <w:szCs w:val="22"/>
        </w:rPr>
        <w:t xml:space="preserve"> </w:t>
      </w:r>
      <w:r w:rsidRPr="00F35123">
        <w:rPr>
          <w:sz w:val="24"/>
          <w:szCs w:val="22"/>
        </w:rPr>
        <w:t>NOFO</w:t>
      </w:r>
      <w:r w:rsidRPr="00D65E0F">
        <w:rPr>
          <w:sz w:val="24"/>
          <w:szCs w:val="22"/>
        </w:rPr>
        <w:t xml:space="preserve"> explicitly states that </w:t>
      </w:r>
      <w:r w:rsidRPr="002B72EA">
        <w:rPr>
          <w:sz w:val="24"/>
          <w:szCs w:val="22"/>
        </w:rPr>
        <w:t>scientific research or surveys are unallowable activities for funding (See page 4 This opportunity will not support</w:t>
      </w:r>
      <w:r w:rsidR="00EE5FE7" w:rsidRPr="002B72EA">
        <w:rPr>
          <w:sz w:val="24"/>
          <w:szCs w:val="22"/>
        </w:rPr>
        <w:t xml:space="preserve">, </w:t>
      </w:r>
      <w:r w:rsidR="00AF7BEA" w:rsidRPr="002B72EA">
        <w:rPr>
          <w:sz w:val="24"/>
          <w:szCs w:val="22"/>
        </w:rPr>
        <w:t>page 5 Program Goals and 6 Project Objectives).</w:t>
      </w:r>
    </w:p>
    <w:p w14:paraId="489F12F5" w14:textId="403BE5A1" w:rsidR="00C15732" w:rsidRPr="002B72EA" w:rsidRDefault="00AF7BEA" w:rsidP="008C2C41">
      <w:pPr>
        <w:pStyle w:val="ListParagraph"/>
        <w:numPr>
          <w:ilvl w:val="0"/>
          <w:numId w:val="1"/>
        </w:numPr>
        <w:rPr>
          <w:sz w:val="24"/>
          <w:szCs w:val="22"/>
        </w:rPr>
      </w:pPr>
      <w:r w:rsidRPr="002B72EA">
        <w:rPr>
          <w:sz w:val="24"/>
          <w:szCs w:val="22"/>
        </w:rPr>
        <w:t xml:space="preserve">Question: </w:t>
      </w:r>
      <w:r w:rsidR="00D23E76" w:rsidRPr="002B72EA">
        <w:rPr>
          <w:sz w:val="24"/>
          <w:szCs w:val="22"/>
        </w:rPr>
        <w:t>Could the Embassy provide guidance on the expected balance of resources between the collaborative research activities, student mobility components, and post-program externships?</w:t>
      </w:r>
    </w:p>
    <w:p w14:paraId="299CFC5F" w14:textId="7392720C" w:rsidR="00AF7BEA" w:rsidRPr="002B72EA" w:rsidRDefault="00AF7BEA" w:rsidP="00AF7BEA">
      <w:pPr>
        <w:numPr>
          <w:ilvl w:val="0"/>
          <w:numId w:val="5"/>
        </w:numPr>
        <w:rPr>
          <w:sz w:val="24"/>
          <w:szCs w:val="22"/>
        </w:rPr>
      </w:pPr>
      <w:r w:rsidRPr="002B72EA">
        <w:rPr>
          <w:sz w:val="24"/>
          <w:szCs w:val="22"/>
        </w:rPr>
        <w:t xml:space="preserve">Answer: </w:t>
      </w:r>
      <w:r w:rsidR="002B72EA" w:rsidRPr="002B72EA">
        <w:rPr>
          <w:sz w:val="24"/>
          <w:szCs w:val="22"/>
        </w:rPr>
        <w:t xml:space="preserve">The </w:t>
      </w:r>
      <w:r w:rsidR="006570F3" w:rsidRPr="002B72EA">
        <w:rPr>
          <w:sz w:val="24"/>
          <w:szCs w:val="22"/>
        </w:rPr>
        <w:t>NOFO</w:t>
      </w:r>
      <w:r w:rsidRPr="002B72EA">
        <w:rPr>
          <w:sz w:val="24"/>
          <w:szCs w:val="22"/>
        </w:rPr>
        <w:t xml:space="preserve"> explicitly states that scientific research or surveys are unallowable activities for funding (See page 4 This opportunity will not support). </w:t>
      </w:r>
      <w:r w:rsidR="002B72EA" w:rsidRPr="002B72EA">
        <w:rPr>
          <w:sz w:val="24"/>
          <w:szCs w:val="22"/>
        </w:rPr>
        <w:t>Proposals for consideration</w:t>
      </w:r>
      <w:r w:rsidRPr="002B72EA">
        <w:rPr>
          <w:sz w:val="24"/>
          <w:szCs w:val="22"/>
        </w:rPr>
        <w:t xml:space="preserve"> should focus </w:t>
      </w:r>
      <w:r w:rsidR="00937AA0" w:rsidRPr="002B72EA">
        <w:rPr>
          <w:sz w:val="24"/>
          <w:szCs w:val="22"/>
        </w:rPr>
        <w:t xml:space="preserve">on </w:t>
      </w:r>
      <w:r w:rsidR="002B72EA" w:rsidRPr="002B72EA">
        <w:rPr>
          <w:sz w:val="24"/>
          <w:szCs w:val="22"/>
        </w:rPr>
        <w:t xml:space="preserve">delivering </w:t>
      </w:r>
      <w:r w:rsidR="002B72EA" w:rsidRPr="002B72EA">
        <w:rPr>
          <w:rFonts w:cs="Times New Roman"/>
          <w:sz w:val="24"/>
        </w:rPr>
        <w:t>t</w:t>
      </w:r>
      <w:r w:rsidR="00937AA0" w:rsidRPr="002B72EA">
        <w:rPr>
          <w:rFonts w:cs="Times New Roman"/>
          <w:sz w:val="24"/>
        </w:rPr>
        <w:t>he Freedom 250 Tech and Innovation Exchange</w:t>
      </w:r>
      <w:r w:rsidR="002B72EA" w:rsidRPr="002B72EA">
        <w:rPr>
          <w:rFonts w:cs="Times New Roman"/>
          <w:sz w:val="24"/>
        </w:rPr>
        <w:t xml:space="preserve">, </w:t>
      </w:r>
      <w:r w:rsidR="00937AA0" w:rsidRPr="002B72EA">
        <w:rPr>
          <w:rFonts w:eastAsia="Times New Roman" w:cs="Times New Roman"/>
          <w:color w:val="000000" w:themeColor="text1"/>
          <w:sz w:val="24"/>
        </w:rPr>
        <w:t>p</w:t>
      </w:r>
      <w:r w:rsidR="000F68B2" w:rsidRPr="002B72EA">
        <w:rPr>
          <w:rFonts w:eastAsia="Times New Roman" w:cs="Times New Roman"/>
          <w:color w:val="000000" w:themeColor="text1"/>
          <w:sz w:val="24"/>
        </w:rPr>
        <w:t>roviding 76 Kenyan undergrads with a high-quality experience of American tech education through a junior-year semester of study at U.S. universities</w:t>
      </w:r>
      <w:r w:rsidR="000F68B2" w:rsidRPr="002B72EA">
        <w:rPr>
          <w:sz w:val="24"/>
          <w:szCs w:val="22"/>
        </w:rPr>
        <w:t xml:space="preserve"> </w:t>
      </w:r>
      <w:r w:rsidRPr="002B72EA">
        <w:rPr>
          <w:sz w:val="24"/>
          <w:szCs w:val="22"/>
        </w:rPr>
        <w:t xml:space="preserve">(See page 5 </w:t>
      </w:r>
      <w:r w:rsidRPr="002B72EA">
        <w:rPr>
          <w:rFonts w:eastAsia="Times New Roman" w:cs="Times New Roman"/>
          <w:color w:val="000000" w:themeColor="text1"/>
          <w:sz w:val="24"/>
        </w:rPr>
        <w:t>Program Goals</w:t>
      </w:r>
      <w:r w:rsidRPr="002B72EA">
        <w:rPr>
          <w:sz w:val="24"/>
          <w:szCs w:val="22"/>
        </w:rPr>
        <w:t>).</w:t>
      </w:r>
      <w:r w:rsidR="002B72EA" w:rsidRPr="002B72EA">
        <w:rPr>
          <w:rFonts w:eastAsia="Times New Roman" w:cs="Times New Roman"/>
          <w:sz w:val="24"/>
        </w:rPr>
        <w:t xml:space="preserve">  E</w:t>
      </w:r>
      <w:r w:rsidR="000F68B2" w:rsidRPr="002B72EA">
        <w:rPr>
          <w:rFonts w:eastAsia="Times New Roman" w:cs="Times New Roman"/>
          <w:sz w:val="24"/>
        </w:rPr>
        <w:t>xternships with American companies in Kenya</w:t>
      </w:r>
      <w:r w:rsidR="002B72EA" w:rsidRPr="002B72EA">
        <w:rPr>
          <w:rFonts w:eastAsia="Times New Roman" w:cs="Times New Roman"/>
          <w:sz w:val="24"/>
        </w:rPr>
        <w:t>, following the university portion of the program</w:t>
      </w:r>
      <w:r w:rsidR="00A65478" w:rsidRPr="002B72EA">
        <w:rPr>
          <w:rFonts w:eastAsia="Times New Roman" w:cs="Times New Roman"/>
          <w:sz w:val="24"/>
        </w:rPr>
        <w:t xml:space="preserve">, </w:t>
      </w:r>
      <w:r w:rsidR="002B72EA" w:rsidRPr="002B72EA">
        <w:rPr>
          <w:rFonts w:eastAsia="Times New Roman" w:cs="Times New Roman"/>
          <w:sz w:val="24"/>
        </w:rPr>
        <w:t>are a required element of the program, as is the further development of a p</w:t>
      </w:r>
      <w:r w:rsidR="00A65478" w:rsidRPr="002B72EA">
        <w:rPr>
          <w:rFonts w:eastAsia="Times New Roman" w:cs="Times New Roman"/>
          <w:sz w:val="24"/>
        </w:rPr>
        <w:t xml:space="preserve">ro-American </w:t>
      </w:r>
      <w:r w:rsidR="002B72EA" w:rsidRPr="002B72EA">
        <w:rPr>
          <w:rFonts w:eastAsia="Times New Roman" w:cs="Times New Roman"/>
          <w:sz w:val="24"/>
        </w:rPr>
        <w:t>a</w:t>
      </w:r>
      <w:r w:rsidR="00A65478" w:rsidRPr="002B72EA">
        <w:rPr>
          <w:rFonts w:eastAsia="Times New Roman" w:cs="Times New Roman"/>
          <w:sz w:val="24"/>
        </w:rPr>
        <w:t>lumni</w:t>
      </w:r>
      <w:r w:rsidR="00A65478" w:rsidRPr="002B72EA">
        <w:rPr>
          <w:sz w:val="24"/>
          <w:szCs w:val="22"/>
        </w:rPr>
        <w:t xml:space="preserve"> </w:t>
      </w:r>
      <w:r w:rsidR="002B72EA" w:rsidRPr="002B72EA">
        <w:rPr>
          <w:sz w:val="24"/>
          <w:szCs w:val="22"/>
        </w:rPr>
        <w:t xml:space="preserve">network </w:t>
      </w:r>
      <w:r w:rsidR="000F68B2" w:rsidRPr="002B72EA">
        <w:rPr>
          <w:sz w:val="24"/>
          <w:szCs w:val="22"/>
        </w:rPr>
        <w:t xml:space="preserve">(See page 6 </w:t>
      </w:r>
      <w:r w:rsidR="000F68B2" w:rsidRPr="002B72EA">
        <w:rPr>
          <w:rFonts w:eastAsia="Times New Roman" w:cs="Times New Roman"/>
          <w:color w:val="000000" w:themeColor="text1"/>
          <w:sz w:val="24"/>
        </w:rPr>
        <w:t>Project Objectives</w:t>
      </w:r>
      <w:r w:rsidR="000F68B2" w:rsidRPr="002B72EA">
        <w:rPr>
          <w:sz w:val="24"/>
          <w:szCs w:val="22"/>
        </w:rPr>
        <w:t>).</w:t>
      </w:r>
    </w:p>
    <w:p w14:paraId="19A712C1" w14:textId="0A1415AB" w:rsidR="00C15732" w:rsidRPr="002B72EA" w:rsidRDefault="00AF7BEA" w:rsidP="008C2C41">
      <w:pPr>
        <w:numPr>
          <w:ilvl w:val="0"/>
          <w:numId w:val="1"/>
        </w:numPr>
        <w:rPr>
          <w:sz w:val="24"/>
          <w:szCs w:val="22"/>
        </w:rPr>
      </w:pPr>
      <w:r w:rsidRPr="002B72EA">
        <w:rPr>
          <w:sz w:val="24"/>
          <w:szCs w:val="22"/>
        </w:rPr>
        <w:t xml:space="preserve">Question: </w:t>
      </w:r>
      <w:r w:rsidR="00D23E76" w:rsidRPr="002B72EA">
        <w:rPr>
          <w:sz w:val="24"/>
          <w:szCs w:val="22"/>
        </w:rPr>
        <w:t>Does the Embassy believe stronger alignment is demonstrated through a smaller number of deep, bilateral university partnerships, or through a broader network of participating U.S. and Kenyan institutions?</w:t>
      </w:r>
    </w:p>
    <w:p w14:paraId="4BB2BF00" w14:textId="7842B1EF" w:rsidR="00AF7BEA" w:rsidRPr="00D65E0F" w:rsidRDefault="00AF7BEA" w:rsidP="00AF7BEA">
      <w:pPr>
        <w:numPr>
          <w:ilvl w:val="0"/>
          <w:numId w:val="5"/>
        </w:numPr>
        <w:rPr>
          <w:sz w:val="24"/>
          <w:szCs w:val="22"/>
        </w:rPr>
      </w:pPr>
      <w:r w:rsidRPr="002B72EA">
        <w:rPr>
          <w:sz w:val="24"/>
          <w:szCs w:val="22"/>
        </w:rPr>
        <w:t xml:space="preserve">Answer: </w:t>
      </w:r>
      <w:r w:rsidR="001C0968">
        <w:rPr>
          <w:sz w:val="24"/>
          <w:szCs w:val="22"/>
        </w:rPr>
        <w:t>In considering d</w:t>
      </w:r>
      <w:r w:rsidRPr="002B72EA">
        <w:rPr>
          <w:sz w:val="24"/>
          <w:szCs w:val="22"/>
        </w:rPr>
        <w:t xml:space="preserve">epth vs. </w:t>
      </w:r>
      <w:r w:rsidR="001C0968">
        <w:rPr>
          <w:sz w:val="24"/>
          <w:szCs w:val="22"/>
        </w:rPr>
        <w:t>b</w:t>
      </w:r>
      <w:r w:rsidRPr="002B72EA">
        <w:rPr>
          <w:sz w:val="24"/>
          <w:szCs w:val="22"/>
        </w:rPr>
        <w:t>readt</w:t>
      </w:r>
      <w:r w:rsidR="001C0968">
        <w:rPr>
          <w:sz w:val="24"/>
          <w:szCs w:val="22"/>
        </w:rPr>
        <w:t xml:space="preserve">h </w:t>
      </w:r>
      <w:r w:rsidR="002B72EA">
        <w:rPr>
          <w:sz w:val="24"/>
          <w:szCs w:val="22"/>
        </w:rPr>
        <w:t xml:space="preserve">in managing </w:t>
      </w:r>
      <w:r w:rsidR="001C0968">
        <w:rPr>
          <w:sz w:val="24"/>
          <w:szCs w:val="22"/>
        </w:rPr>
        <w:t xml:space="preserve">U.S. </w:t>
      </w:r>
      <w:r w:rsidR="002B72EA">
        <w:rPr>
          <w:sz w:val="24"/>
          <w:szCs w:val="22"/>
        </w:rPr>
        <w:t>university placement</w:t>
      </w:r>
      <w:r w:rsidR="001C0968">
        <w:rPr>
          <w:sz w:val="24"/>
          <w:szCs w:val="22"/>
        </w:rPr>
        <w:t>s, either approach is</w:t>
      </w:r>
      <w:r w:rsidR="00491503">
        <w:rPr>
          <w:sz w:val="24"/>
          <w:szCs w:val="22"/>
        </w:rPr>
        <w:t xml:space="preserve"> </w:t>
      </w:r>
      <w:r w:rsidR="007A6B4E">
        <w:rPr>
          <w:sz w:val="24"/>
          <w:szCs w:val="22"/>
        </w:rPr>
        <w:t>allowable</w:t>
      </w:r>
      <w:r w:rsidR="001C0968">
        <w:rPr>
          <w:sz w:val="24"/>
          <w:szCs w:val="22"/>
        </w:rPr>
        <w:t xml:space="preserve">. What is required is that </w:t>
      </w:r>
      <w:r w:rsidR="007A6B4E">
        <w:rPr>
          <w:sz w:val="24"/>
          <w:szCs w:val="22"/>
        </w:rPr>
        <w:t xml:space="preserve">qualified </w:t>
      </w:r>
      <w:r w:rsidR="002B72EA">
        <w:rPr>
          <w:sz w:val="24"/>
          <w:szCs w:val="22"/>
        </w:rPr>
        <w:t>proposals</w:t>
      </w:r>
      <w:r w:rsidR="007A6B4E">
        <w:rPr>
          <w:sz w:val="24"/>
          <w:szCs w:val="22"/>
        </w:rPr>
        <w:t xml:space="preserve"> </w:t>
      </w:r>
      <w:r w:rsidR="002B72EA">
        <w:rPr>
          <w:sz w:val="24"/>
          <w:szCs w:val="22"/>
        </w:rPr>
        <w:t>must</w:t>
      </w:r>
      <w:r w:rsidR="00491503">
        <w:rPr>
          <w:sz w:val="24"/>
          <w:szCs w:val="22"/>
        </w:rPr>
        <w:t xml:space="preserve"> demonstrate </w:t>
      </w:r>
      <w:r w:rsidR="00FC2A37">
        <w:rPr>
          <w:sz w:val="24"/>
          <w:szCs w:val="22"/>
        </w:rPr>
        <w:t>the</w:t>
      </w:r>
      <w:r w:rsidR="002B72EA">
        <w:rPr>
          <w:sz w:val="24"/>
          <w:szCs w:val="22"/>
        </w:rPr>
        <w:t xml:space="preserve"> applicant’s</w:t>
      </w:r>
      <w:r w:rsidR="00491503">
        <w:rPr>
          <w:sz w:val="24"/>
          <w:szCs w:val="22"/>
        </w:rPr>
        <w:t xml:space="preserve"> ability</w:t>
      </w:r>
      <w:r w:rsidR="00F40787">
        <w:rPr>
          <w:sz w:val="24"/>
          <w:szCs w:val="22"/>
        </w:rPr>
        <w:t xml:space="preserve"> </w:t>
      </w:r>
      <w:r w:rsidR="001C0968">
        <w:rPr>
          <w:sz w:val="24"/>
          <w:szCs w:val="22"/>
        </w:rPr>
        <w:t>to</w:t>
      </w:r>
      <w:r w:rsidR="002B72EA" w:rsidRPr="002B72EA">
        <w:rPr>
          <w:sz w:val="24"/>
          <w:szCs w:val="22"/>
        </w:rPr>
        <w:t xml:space="preserve"> deliver </w:t>
      </w:r>
      <w:r w:rsidR="001C0968">
        <w:rPr>
          <w:sz w:val="24"/>
          <w:szCs w:val="22"/>
        </w:rPr>
        <w:t xml:space="preserve">and administer </w:t>
      </w:r>
      <w:r w:rsidR="002B72EA" w:rsidRPr="002B72EA">
        <w:rPr>
          <w:rFonts w:cs="Times New Roman"/>
          <w:sz w:val="24"/>
        </w:rPr>
        <w:t xml:space="preserve">the Freedom 250 Tech and Innovation Exchange, </w:t>
      </w:r>
      <w:r w:rsidR="002B72EA" w:rsidRPr="002B72EA">
        <w:rPr>
          <w:rFonts w:eastAsia="Times New Roman" w:cs="Times New Roman"/>
          <w:color w:val="000000" w:themeColor="text1"/>
          <w:sz w:val="24"/>
        </w:rPr>
        <w:t>providing 76 Kenyan undergrads with a high-quality experience of American tech education through a junior-year semester of study at U.S. universities</w:t>
      </w:r>
      <w:r w:rsidR="001C0968">
        <w:rPr>
          <w:sz w:val="24"/>
          <w:szCs w:val="22"/>
        </w:rPr>
        <w:t>, as well as required externships with U.S. firms in Kenya and alumni network development</w:t>
      </w:r>
      <w:r w:rsidR="00824310">
        <w:rPr>
          <w:sz w:val="24"/>
          <w:szCs w:val="22"/>
        </w:rPr>
        <w:t>.</w:t>
      </w:r>
      <w:r w:rsidR="00491503">
        <w:rPr>
          <w:sz w:val="24"/>
          <w:szCs w:val="22"/>
        </w:rPr>
        <w:t xml:space="preserve"> </w:t>
      </w:r>
      <w:r w:rsidRPr="001C0968">
        <w:rPr>
          <w:sz w:val="24"/>
          <w:szCs w:val="22"/>
        </w:rPr>
        <w:t xml:space="preserve">(See page 5 </w:t>
      </w:r>
      <w:r w:rsidRPr="001C0968">
        <w:rPr>
          <w:rFonts w:eastAsia="Times New Roman" w:cs="Times New Roman"/>
          <w:color w:val="000000" w:themeColor="text1"/>
          <w:sz w:val="24"/>
        </w:rPr>
        <w:t>Project Background</w:t>
      </w:r>
      <w:r w:rsidR="007A6B4E" w:rsidRPr="001C0968">
        <w:rPr>
          <w:sz w:val="24"/>
          <w:szCs w:val="22"/>
        </w:rPr>
        <w:t xml:space="preserve">, </w:t>
      </w:r>
      <w:r w:rsidRPr="001C0968">
        <w:rPr>
          <w:sz w:val="24"/>
          <w:szCs w:val="22"/>
        </w:rPr>
        <w:t>See page 7 U.S. Embassy Roles and Responsibilities).</w:t>
      </w:r>
    </w:p>
    <w:p w14:paraId="124D6C47" w14:textId="2A710285" w:rsidR="00C15732" w:rsidRDefault="00AF7BEA" w:rsidP="00A31958">
      <w:pPr>
        <w:pStyle w:val="ListParagraph"/>
        <w:numPr>
          <w:ilvl w:val="0"/>
          <w:numId w:val="1"/>
        </w:numPr>
        <w:rPr>
          <w:sz w:val="24"/>
          <w:szCs w:val="22"/>
        </w:rPr>
      </w:pPr>
      <w:r w:rsidRPr="00A31958">
        <w:rPr>
          <w:sz w:val="24"/>
          <w:szCs w:val="22"/>
        </w:rPr>
        <w:t xml:space="preserve">Question: </w:t>
      </w:r>
      <w:r w:rsidR="00C15732" w:rsidRPr="00A31958">
        <w:rPr>
          <w:sz w:val="24"/>
          <w:szCs w:val="22"/>
        </w:rPr>
        <w:t>The NOFO notes Embassy review and approval of proposed U.S. host institutions. For application purposes, does the Embassy expect applicants to identify specific U.S. universities and include letters of commitment or Memoranda of Understanding (MOUs), or is it acceptable to propose a structured host institution selection framework and approval criteria, with specific U.S. institutions to be finalized post award, subject to Embassy review and approval?</w:t>
      </w:r>
      <w:r w:rsidR="003A7E31">
        <w:rPr>
          <w:sz w:val="24"/>
          <w:szCs w:val="22"/>
        </w:rPr>
        <w:br/>
      </w:r>
    </w:p>
    <w:p w14:paraId="7E00DCCF" w14:textId="1538430D" w:rsidR="00AF7BEA" w:rsidRPr="001C0968" w:rsidRDefault="00715372" w:rsidP="00A96C65">
      <w:pPr>
        <w:pStyle w:val="ListParagraph"/>
        <w:numPr>
          <w:ilvl w:val="0"/>
          <w:numId w:val="11"/>
        </w:numPr>
        <w:spacing w:before="240"/>
        <w:rPr>
          <w:rFonts w:cs="Times New Roman"/>
          <w:sz w:val="22"/>
          <w:szCs w:val="22"/>
        </w:rPr>
      </w:pPr>
      <w:r w:rsidRPr="00540917">
        <w:rPr>
          <w:sz w:val="24"/>
          <w:szCs w:val="22"/>
        </w:rPr>
        <w:t xml:space="preserve">Answer: </w:t>
      </w:r>
      <w:r w:rsidR="001C0968">
        <w:rPr>
          <w:sz w:val="24"/>
          <w:szCs w:val="22"/>
        </w:rPr>
        <w:t>Proposals do not require letters of commitment from host institutions at this stage.  Qualified proposals</w:t>
      </w:r>
      <w:r w:rsidRPr="00540917">
        <w:rPr>
          <w:sz w:val="24"/>
          <w:szCs w:val="22"/>
        </w:rPr>
        <w:t xml:space="preserve"> must demonstrate the organizational capacity, expertise,</w:t>
      </w:r>
      <w:r w:rsidR="001C0968">
        <w:rPr>
          <w:sz w:val="24"/>
          <w:szCs w:val="22"/>
        </w:rPr>
        <w:t xml:space="preserve"> </w:t>
      </w:r>
      <w:r w:rsidRPr="00540917">
        <w:rPr>
          <w:sz w:val="24"/>
          <w:szCs w:val="22"/>
        </w:rPr>
        <w:t>internal controls</w:t>
      </w:r>
      <w:r w:rsidR="001C0968">
        <w:rPr>
          <w:sz w:val="24"/>
          <w:szCs w:val="22"/>
        </w:rPr>
        <w:t>, and planning</w:t>
      </w:r>
      <w:r w:rsidRPr="00540917">
        <w:rPr>
          <w:sz w:val="24"/>
          <w:szCs w:val="22"/>
        </w:rPr>
        <w:t xml:space="preserve"> required to successfully</w:t>
      </w:r>
      <w:r w:rsidR="00F40787">
        <w:rPr>
          <w:sz w:val="24"/>
          <w:szCs w:val="22"/>
        </w:rPr>
        <w:t xml:space="preserve"> </w:t>
      </w:r>
      <w:r w:rsidR="001C0968">
        <w:rPr>
          <w:sz w:val="24"/>
          <w:szCs w:val="22"/>
        </w:rPr>
        <w:t xml:space="preserve">facilitate university placements </w:t>
      </w:r>
      <w:r w:rsidR="001C0968">
        <w:rPr>
          <w:sz w:val="24"/>
          <w:szCs w:val="22"/>
        </w:rPr>
        <w:lastRenderedPageBreak/>
        <w:t>and thereby deliver</w:t>
      </w:r>
      <w:r w:rsidR="00F40787">
        <w:rPr>
          <w:sz w:val="24"/>
          <w:szCs w:val="22"/>
        </w:rPr>
        <w:t xml:space="preserve"> the Freedom 250 </w:t>
      </w:r>
      <w:r w:rsidR="00F40787" w:rsidRPr="0020775C">
        <w:rPr>
          <w:rFonts w:eastAsia="Times New Roman" w:cs="Times New Roman"/>
          <w:sz w:val="24"/>
        </w:rPr>
        <w:t>Tech and Innovation Exchange</w:t>
      </w:r>
      <w:r w:rsidR="00084F03">
        <w:rPr>
          <w:rFonts w:eastAsia="Times New Roman" w:cs="Times New Roman"/>
          <w:sz w:val="24"/>
        </w:rPr>
        <w:t xml:space="preserve"> </w:t>
      </w:r>
      <w:r w:rsidR="001C0968">
        <w:rPr>
          <w:rFonts w:eastAsia="Times New Roman" w:cs="Times New Roman"/>
          <w:sz w:val="24"/>
        </w:rPr>
        <w:t>experience</w:t>
      </w:r>
      <w:r w:rsidRPr="00540917">
        <w:rPr>
          <w:sz w:val="24"/>
          <w:szCs w:val="22"/>
        </w:rPr>
        <w:t>.</w:t>
      </w:r>
      <w:r w:rsidR="00540917">
        <w:rPr>
          <w:sz w:val="24"/>
          <w:szCs w:val="22"/>
        </w:rPr>
        <w:t xml:space="preserve"> </w:t>
      </w:r>
      <w:r w:rsidR="00084F03" w:rsidRPr="001C0968">
        <w:rPr>
          <w:sz w:val="24"/>
          <w:szCs w:val="22"/>
        </w:rPr>
        <w:t>(See page 7 Recipient Roles and Responsibilities)</w:t>
      </w:r>
      <w:r w:rsidR="00084F03" w:rsidRPr="001C0968">
        <w:rPr>
          <w:rFonts w:cs="Times New Roman"/>
          <w:sz w:val="24"/>
        </w:rPr>
        <w:t>.</w:t>
      </w:r>
      <w:r w:rsidR="003A7E31">
        <w:rPr>
          <w:rFonts w:cs="Times New Roman"/>
          <w:sz w:val="24"/>
        </w:rPr>
        <w:br/>
      </w:r>
    </w:p>
    <w:p w14:paraId="08B34532" w14:textId="6F6543FD" w:rsidR="00C15732" w:rsidRPr="00A31958" w:rsidRDefault="00AF7BEA" w:rsidP="00A31958">
      <w:pPr>
        <w:pStyle w:val="ListParagraph"/>
        <w:numPr>
          <w:ilvl w:val="0"/>
          <w:numId w:val="1"/>
        </w:numPr>
        <w:rPr>
          <w:sz w:val="24"/>
          <w:szCs w:val="22"/>
        </w:rPr>
      </w:pPr>
      <w:r w:rsidRPr="00A31958">
        <w:rPr>
          <w:sz w:val="24"/>
          <w:szCs w:val="22"/>
        </w:rPr>
        <w:t xml:space="preserve">Question: </w:t>
      </w:r>
      <w:r w:rsidR="00C15732" w:rsidRPr="00A31958">
        <w:rPr>
          <w:sz w:val="24"/>
          <w:szCs w:val="22"/>
        </w:rPr>
        <w:t>With respect to the externships with U.S. companies in Kenya that take place following the U.S. academic semester, at the application stage, does the Embassy expect formal letters of commitment from participating companies, or a detailed externship model, engagement strategy, and criteria for company participation, with formal company commitments to be secured post award?</w:t>
      </w:r>
      <w:r w:rsidR="003A7E31">
        <w:rPr>
          <w:sz w:val="24"/>
          <w:szCs w:val="22"/>
        </w:rPr>
        <w:br/>
      </w:r>
    </w:p>
    <w:p w14:paraId="2DB7E9EC" w14:textId="77777777" w:rsidR="003A7E31" w:rsidRPr="003A7E31" w:rsidRDefault="00AF7BEA" w:rsidP="000B49D4">
      <w:pPr>
        <w:pStyle w:val="ListParagraph"/>
        <w:numPr>
          <w:ilvl w:val="0"/>
          <w:numId w:val="12"/>
        </w:numPr>
        <w:pBdr>
          <w:top w:val="nil"/>
          <w:left w:val="nil"/>
          <w:bottom w:val="nil"/>
          <w:right w:val="nil"/>
          <w:between w:val="nil"/>
        </w:pBdr>
        <w:spacing w:after="0" w:line="240" w:lineRule="auto"/>
        <w:rPr>
          <w:rFonts w:eastAsia="Times New Roman" w:cs="Times New Roman"/>
          <w:color w:val="000000"/>
          <w:sz w:val="22"/>
          <w:szCs w:val="22"/>
        </w:rPr>
      </w:pPr>
      <w:r w:rsidRPr="003A7E31">
        <w:rPr>
          <w:sz w:val="24"/>
          <w:szCs w:val="22"/>
        </w:rPr>
        <w:t xml:space="preserve">Answer: </w:t>
      </w:r>
      <w:r w:rsidR="003A7E31" w:rsidRPr="003A7E31">
        <w:rPr>
          <w:sz w:val="24"/>
          <w:szCs w:val="22"/>
        </w:rPr>
        <w:t xml:space="preserve">Proposals do not require letters of commitment from </w:t>
      </w:r>
      <w:r w:rsidR="003A7E31" w:rsidRPr="003A7E31">
        <w:rPr>
          <w:sz w:val="24"/>
          <w:szCs w:val="22"/>
        </w:rPr>
        <w:t>U.S. companies at this stage</w:t>
      </w:r>
      <w:r w:rsidR="003A7E31" w:rsidRPr="003A7E31">
        <w:rPr>
          <w:sz w:val="24"/>
          <w:szCs w:val="22"/>
        </w:rPr>
        <w:t xml:space="preserve">.  Qualified proposals must demonstrate the organizational capacity, expertise, internal controls, and planning required to successfully facilitate </w:t>
      </w:r>
      <w:r w:rsidR="003A7E31" w:rsidRPr="003A7E31">
        <w:rPr>
          <w:sz w:val="24"/>
          <w:szCs w:val="22"/>
        </w:rPr>
        <w:t>the post-university externships with U.S. firms in Kenya</w:t>
      </w:r>
      <w:r w:rsidR="003A7E31" w:rsidRPr="003A7E31">
        <w:rPr>
          <w:sz w:val="24"/>
          <w:szCs w:val="22"/>
        </w:rPr>
        <w:t>. (See page 7 Recipient Roles and Responsibilities)</w:t>
      </w:r>
      <w:r w:rsidR="003A7E31" w:rsidRPr="003A7E31">
        <w:rPr>
          <w:rFonts w:cs="Times New Roman"/>
          <w:sz w:val="24"/>
        </w:rPr>
        <w:t>.</w:t>
      </w:r>
      <w:r w:rsidR="003A7E31" w:rsidRPr="003A7E31">
        <w:rPr>
          <w:rFonts w:cs="Times New Roman"/>
          <w:sz w:val="24"/>
        </w:rPr>
        <w:br/>
      </w:r>
    </w:p>
    <w:p w14:paraId="186B16A9" w14:textId="6DF049B0" w:rsidR="00C15732" w:rsidRPr="00F35123" w:rsidRDefault="00AF7BEA" w:rsidP="00A31958">
      <w:pPr>
        <w:numPr>
          <w:ilvl w:val="0"/>
          <w:numId w:val="1"/>
        </w:numPr>
        <w:rPr>
          <w:sz w:val="24"/>
          <w:szCs w:val="22"/>
        </w:rPr>
      </w:pPr>
      <w:r w:rsidRPr="00F35123">
        <w:rPr>
          <w:sz w:val="24"/>
          <w:szCs w:val="22"/>
        </w:rPr>
        <w:t xml:space="preserve">Question: </w:t>
      </w:r>
      <w:r w:rsidR="00D23E76" w:rsidRPr="00F35123">
        <w:rPr>
          <w:sz w:val="24"/>
          <w:szCs w:val="22"/>
        </w:rPr>
        <w:t>To ensure full compliance with our solicitation requirements, could you please confirm the final application submission deadline</w:t>
      </w:r>
      <w:r w:rsidR="00C15732" w:rsidRPr="00C15732">
        <w:rPr>
          <w:sz w:val="24"/>
          <w:szCs w:val="22"/>
        </w:rPr>
        <w:t>?</w:t>
      </w:r>
    </w:p>
    <w:p w14:paraId="10A55E95" w14:textId="4EF1D11D" w:rsidR="00AF7BEA" w:rsidRPr="00E20B26" w:rsidRDefault="00AF7BEA" w:rsidP="00AF7BEA">
      <w:pPr>
        <w:numPr>
          <w:ilvl w:val="0"/>
          <w:numId w:val="9"/>
        </w:numPr>
        <w:rPr>
          <w:sz w:val="24"/>
          <w:szCs w:val="22"/>
        </w:rPr>
      </w:pPr>
      <w:r w:rsidRPr="00F35123">
        <w:rPr>
          <w:sz w:val="24"/>
          <w:szCs w:val="22"/>
        </w:rPr>
        <w:t xml:space="preserve">Answer: </w:t>
      </w:r>
      <w:r w:rsidRPr="00D65E0F">
        <w:rPr>
          <w:sz w:val="24"/>
          <w:szCs w:val="22"/>
        </w:rPr>
        <w:t>The official deadline listed throughout the document is May 29, 2026, at 11:59 PM EAT</w:t>
      </w:r>
      <w:r w:rsidR="00056173" w:rsidRPr="00F35123">
        <w:rPr>
          <w:sz w:val="24"/>
          <w:szCs w:val="22"/>
        </w:rPr>
        <w:t>. This deadline is firm and is not a rolling deadline</w:t>
      </w:r>
      <w:r w:rsidR="00056173" w:rsidRPr="00F35123">
        <w:rPr>
          <w:rFonts w:eastAsia="Times New Roman" w:cs="Times New Roman"/>
          <w:color w:val="000000" w:themeColor="text1"/>
          <w:sz w:val="24"/>
        </w:rPr>
        <w:t>.</w:t>
      </w:r>
      <w:r w:rsidRPr="00F35123">
        <w:rPr>
          <w:sz w:val="24"/>
          <w:szCs w:val="22"/>
        </w:rPr>
        <w:t xml:space="preserve"> (</w:t>
      </w:r>
      <w:r w:rsidR="009326A6" w:rsidRPr="00E20B26">
        <w:rPr>
          <w:sz w:val="24"/>
          <w:szCs w:val="22"/>
        </w:rPr>
        <w:t>S</w:t>
      </w:r>
      <w:r w:rsidRPr="00E20B26">
        <w:rPr>
          <w:sz w:val="24"/>
          <w:szCs w:val="22"/>
        </w:rPr>
        <w:t>ee page 13 Submission Dates and Times).</w:t>
      </w:r>
    </w:p>
    <w:p w14:paraId="5F51156E" w14:textId="77A9070D" w:rsidR="00C15732" w:rsidRPr="00A31958" w:rsidRDefault="00AF7BEA" w:rsidP="00A31958">
      <w:pPr>
        <w:pStyle w:val="ListParagraph"/>
        <w:numPr>
          <w:ilvl w:val="0"/>
          <w:numId w:val="1"/>
        </w:numPr>
        <w:rPr>
          <w:sz w:val="24"/>
          <w:szCs w:val="22"/>
        </w:rPr>
      </w:pPr>
      <w:r w:rsidRPr="00A31958">
        <w:rPr>
          <w:sz w:val="24"/>
          <w:szCs w:val="22"/>
        </w:rPr>
        <w:t xml:space="preserve">Question: </w:t>
      </w:r>
      <w:r w:rsidR="00C15732" w:rsidRPr="00A31958">
        <w:rPr>
          <w:sz w:val="24"/>
          <w:szCs w:val="22"/>
        </w:rPr>
        <w:t>Page 8 of the NOFO states that proposals are limited to seven pages and lists the Monitoring and Evaluation (M&amp;E) Performance Monitoring Plan (PMP) among the required proposal components. Could you please confirm whether the Performance Monitoring Plan is included within the seven-page limit, or whether it should be submitted as a separate attachment, and if so, whether there is a page limit for that attachment.</w:t>
      </w:r>
    </w:p>
    <w:p w14:paraId="04172974" w14:textId="6EA778E0" w:rsidR="00AF7BEA" w:rsidRPr="003A7E31" w:rsidRDefault="00AF7BEA" w:rsidP="000B49D4">
      <w:pPr>
        <w:numPr>
          <w:ilvl w:val="0"/>
          <w:numId w:val="10"/>
        </w:numPr>
        <w:rPr>
          <w:sz w:val="24"/>
          <w:szCs w:val="22"/>
        </w:rPr>
      </w:pPr>
      <w:r>
        <w:rPr>
          <w:sz w:val="24"/>
          <w:szCs w:val="22"/>
        </w:rPr>
        <w:t xml:space="preserve">Answer: </w:t>
      </w:r>
      <w:r w:rsidRPr="00D65E0F">
        <w:rPr>
          <w:sz w:val="24"/>
          <w:szCs w:val="22"/>
        </w:rPr>
        <w:t xml:space="preserve">The main proposal is limited to </w:t>
      </w:r>
      <w:r w:rsidRPr="003A7E31">
        <w:rPr>
          <w:sz w:val="24"/>
          <w:szCs w:val="22"/>
        </w:rPr>
        <w:t>seven pages maximum (</w:t>
      </w:r>
      <w:r w:rsidR="009326A6" w:rsidRPr="003A7E31">
        <w:rPr>
          <w:sz w:val="24"/>
          <w:szCs w:val="22"/>
        </w:rPr>
        <w:t>S</w:t>
      </w:r>
      <w:r w:rsidRPr="003A7E31">
        <w:rPr>
          <w:sz w:val="24"/>
          <w:szCs w:val="22"/>
        </w:rPr>
        <w:t>ee page 8).</w:t>
      </w:r>
      <w:r w:rsidR="000B49D4">
        <w:rPr>
          <w:sz w:val="24"/>
          <w:szCs w:val="22"/>
        </w:rPr>
        <w:t xml:space="preserve"> </w:t>
      </w:r>
      <w:r w:rsidR="003A7E31">
        <w:rPr>
          <w:sz w:val="24"/>
          <w:szCs w:val="22"/>
        </w:rPr>
        <w:t xml:space="preserve"> </w:t>
      </w:r>
      <w:r w:rsidR="00F50F30" w:rsidRPr="000B49D4">
        <w:rPr>
          <w:sz w:val="24"/>
          <w:szCs w:val="22"/>
        </w:rPr>
        <w:t xml:space="preserve">Please be advised that the </w:t>
      </w:r>
      <w:r w:rsidR="00F50F30" w:rsidRPr="003A7E31">
        <w:rPr>
          <w:sz w:val="24"/>
          <w:szCs w:val="22"/>
        </w:rPr>
        <w:t xml:space="preserve">Monitoring and Evaluation (M&amp;E) Narrative is limited to a maximum of two pages. </w:t>
      </w:r>
      <w:r w:rsidR="003A7E31">
        <w:rPr>
          <w:sz w:val="24"/>
          <w:szCs w:val="22"/>
        </w:rPr>
        <w:t xml:space="preserve"> </w:t>
      </w:r>
      <w:r w:rsidR="008670BD" w:rsidRPr="003A7E31">
        <w:rPr>
          <w:sz w:val="24"/>
          <w:szCs w:val="22"/>
        </w:rPr>
        <w:t>A</w:t>
      </w:r>
      <w:r w:rsidR="00F50F30" w:rsidRPr="003A7E31">
        <w:rPr>
          <w:sz w:val="24"/>
          <w:szCs w:val="22"/>
        </w:rPr>
        <w:t xml:space="preserve">pplicants may include an additional addendum to provide qualitative context or detailed explanations; however, this supplemental information is not a mandatory requirement for technical eligibility. </w:t>
      </w:r>
      <w:r w:rsidRPr="003A7E31">
        <w:rPr>
          <w:sz w:val="24"/>
          <w:szCs w:val="22"/>
        </w:rPr>
        <w:t>(</w:t>
      </w:r>
      <w:r w:rsidR="009326A6" w:rsidRPr="003A7E31">
        <w:rPr>
          <w:sz w:val="24"/>
          <w:szCs w:val="22"/>
        </w:rPr>
        <w:t>S</w:t>
      </w:r>
      <w:r w:rsidRPr="003A7E31">
        <w:rPr>
          <w:sz w:val="24"/>
          <w:szCs w:val="22"/>
        </w:rPr>
        <w:t>ee page 9 Monitoring and Evaluation Narrative).</w:t>
      </w:r>
    </w:p>
    <w:p w14:paraId="4BC18990" w14:textId="29D51307" w:rsidR="00C26EA3" w:rsidRPr="003A7E31" w:rsidRDefault="00C26EA3" w:rsidP="003A7E31">
      <w:pPr>
        <w:rPr>
          <w:sz w:val="24"/>
          <w:szCs w:val="22"/>
        </w:rPr>
      </w:pPr>
    </w:p>
    <w:sectPr w:rsidR="00C26EA3" w:rsidRPr="003A7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054C"/>
    <w:multiLevelType w:val="multilevel"/>
    <w:tmpl w:val="E812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F4C33"/>
    <w:multiLevelType w:val="multilevel"/>
    <w:tmpl w:val="BA0C0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790461"/>
    <w:multiLevelType w:val="multilevel"/>
    <w:tmpl w:val="56E8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430A0"/>
    <w:multiLevelType w:val="multilevel"/>
    <w:tmpl w:val="6502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F06A83"/>
    <w:multiLevelType w:val="multilevel"/>
    <w:tmpl w:val="D7AA2B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A3D1B0D"/>
    <w:multiLevelType w:val="multilevel"/>
    <w:tmpl w:val="ED1AB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E56A48"/>
    <w:multiLevelType w:val="multilevel"/>
    <w:tmpl w:val="41C0D86E"/>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7" w15:restartNumberingAfterBreak="0">
    <w:nsid w:val="601D1473"/>
    <w:multiLevelType w:val="multilevel"/>
    <w:tmpl w:val="65028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E5EF8"/>
    <w:multiLevelType w:val="hybridMultilevel"/>
    <w:tmpl w:val="44CA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5154B"/>
    <w:multiLevelType w:val="multilevel"/>
    <w:tmpl w:val="31FCD7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2FC1EDC"/>
    <w:multiLevelType w:val="multilevel"/>
    <w:tmpl w:val="3C2A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237BB"/>
    <w:multiLevelType w:val="multilevel"/>
    <w:tmpl w:val="976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36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1526290">
    <w:abstractNumId w:val="5"/>
  </w:num>
  <w:num w:numId="3" w16cid:durableId="87392977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08546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9854619">
    <w:abstractNumId w:val="2"/>
  </w:num>
  <w:num w:numId="6" w16cid:durableId="1491559180">
    <w:abstractNumId w:val="10"/>
  </w:num>
  <w:num w:numId="7" w16cid:durableId="1415055996">
    <w:abstractNumId w:val="0"/>
  </w:num>
  <w:num w:numId="8" w16cid:durableId="1444501472">
    <w:abstractNumId w:val="6"/>
  </w:num>
  <w:num w:numId="9" w16cid:durableId="345444044">
    <w:abstractNumId w:val="11"/>
  </w:num>
  <w:num w:numId="10" w16cid:durableId="1582788088">
    <w:abstractNumId w:val="7"/>
  </w:num>
  <w:num w:numId="11" w16cid:durableId="1211065763">
    <w:abstractNumId w:val="8"/>
  </w:num>
  <w:num w:numId="12" w16cid:durableId="537354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32"/>
    <w:rsid w:val="000064ED"/>
    <w:rsid w:val="0005339D"/>
    <w:rsid w:val="00056173"/>
    <w:rsid w:val="00084975"/>
    <w:rsid w:val="00084F03"/>
    <w:rsid w:val="000B49D4"/>
    <w:rsid w:val="000F68B2"/>
    <w:rsid w:val="0013124A"/>
    <w:rsid w:val="0015252C"/>
    <w:rsid w:val="001B2F1F"/>
    <w:rsid w:val="001C0968"/>
    <w:rsid w:val="001D272E"/>
    <w:rsid w:val="002B72EA"/>
    <w:rsid w:val="002E0894"/>
    <w:rsid w:val="002E72ED"/>
    <w:rsid w:val="00327987"/>
    <w:rsid w:val="00384453"/>
    <w:rsid w:val="003A7E31"/>
    <w:rsid w:val="003F623F"/>
    <w:rsid w:val="00402458"/>
    <w:rsid w:val="004630C3"/>
    <w:rsid w:val="004724CE"/>
    <w:rsid w:val="00491503"/>
    <w:rsid w:val="004E25AB"/>
    <w:rsid w:val="0050713A"/>
    <w:rsid w:val="00540917"/>
    <w:rsid w:val="0054514E"/>
    <w:rsid w:val="005B72A2"/>
    <w:rsid w:val="006570F3"/>
    <w:rsid w:val="0070172C"/>
    <w:rsid w:val="00715372"/>
    <w:rsid w:val="00785162"/>
    <w:rsid w:val="00791CDB"/>
    <w:rsid w:val="007A6B4E"/>
    <w:rsid w:val="00824310"/>
    <w:rsid w:val="008670BD"/>
    <w:rsid w:val="00890741"/>
    <w:rsid w:val="008C2C41"/>
    <w:rsid w:val="008C355C"/>
    <w:rsid w:val="009326A6"/>
    <w:rsid w:val="009364EA"/>
    <w:rsid w:val="00937AA0"/>
    <w:rsid w:val="0097215C"/>
    <w:rsid w:val="009877B5"/>
    <w:rsid w:val="00A31958"/>
    <w:rsid w:val="00A65478"/>
    <w:rsid w:val="00A96C65"/>
    <w:rsid w:val="00A97B02"/>
    <w:rsid w:val="00AF7BEA"/>
    <w:rsid w:val="00C04845"/>
    <w:rsid w:val="00C15732"/>
    <w:rsid w:val="00C26EA3"/>
    <w:rsid w:val="00C52363"/>
    <w:rsid w:val="00CF39AB"/>
    <w:rsid w:val="00CF4165"/>
    <w:rsid w:val="00D13100"/>
    <w:rsid w:val="00D23E76"/>
    <w:rsid w:val="00D6511B"/>
    <w:rsid w:val="00E20B26"/>
    <w:rsid w:val="00E2307B"/>
    <w:rsid w:val="00EE5FE7"/>
    <w:rsid w:val="00F0747C"/>
    <w:rsid w:val="00F14E98"/>
    <w:rsid w:val="00F3046E"/>
    <w:rsid w:val="00F35123"/>
    <w:rsid w:val="00F40787"/>
    <w:rsid w:val="00F50F30"/>
    <w:rsid w:val="00F72776"/>
    <w:rsid w:val="00F95C33"/>
    <w:rsid w:val="00FC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ED3CE"/>
  <w15:chartTrackingRefBased/>
  <w15:docId w15:val="{80479CDE-B2BF-4C0E-A175-25F58BD7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7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157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57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57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57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57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57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7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7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157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157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157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57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57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57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5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7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57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5732"/>
    <w:pPr>
      <w:spacing w:before="160"/>
      <w:jc w:val="center"/>
    </w:pPr>
    <w:rPr>
      <w:i/>
      <w:iCs/>
      <w:color w:val="404040" w:themeColor="text1" w:themeTint="BF"/>
    </w:rPr>
  </w:style>
  <w:style w:type="character" w:customStyle="1" w:styleId="QuoteChar">
    <w:name w:val="Quote Char"/>
    <w:basedOn w:val="DefaultParagraphFont"/>
    <w:link w:val="Quote"/>
    <w:uiPriority w:val="29"/>
    <w:rsid w:val="00C15732"/>
    <w:rPr>
      <w:i/>
      <w:iCs/>
      <w:color w:val="404040" w:themeColor="text1" w:themeTint="BF"/>
    </w:rPr>
  </w:style>
  <w:style w:type="paragraph" w:styleId="ListParagraph">
    <w:name w:val="List Paragraph"/>
    <w:basedOn w:val="Normal"/>
    <w:uiPriority w:val="34"/>
    <w:qFormat/>
    <w:rsid w:val="00C15732"/>
    <w:pPr>
      <w:ind w:left="720"/>
      <w:contextualSpacing/>
    </w:pPr>
  </w:style>
  <w:style w:type="character" w:styleId="IntenseEmphasis">
    <w:name w:val="Intense Emphasis"/>
    <w:basedOn w:val="DefaultParagraphFont"/>
    <w:uiPriority w:val="21"/>
    <w:qFormat/>
    <w:rsid w:val="00C15732"/>
    <w:rPr>
      <w:i/>
      <w:iCs/>
      <w:color w:val="0F4761" w:themeColor="accent1" w:themeShade="BF"/>
    </w:rPr>
  </w:style>
  <w:style w:type="paragraph" w:styleId="IntenseQuote">
    <w:name w:val="Intense Quote"/>
    <w:basedOn w:val="Normal"/>
    <w:next w:val="Normal"/>
    <w:link w:val="IntenseQuoteChar"/>
    <w:uiPriority w:val="30"/>
    <w:qFormat/>
    <w:rsid w:val="00C15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732"/>
    <w:rPr>
      <w:i/>
      <w:iCs/>
      <w:color w:val="0F4761" w:themeColor="accent1" w:themeShade="BF"/>
    </w:rPr>
  </w:style>
  <w:style w:type="character" w:styleId="IntenseReference">
    <w:name w:val="Intense Reference"/>
    <w:basedOn w:val="DefaultParagraphFont"/>
    <w:uiPriority w:val="32"/>
    <w:qFormat/>
    <w:rsid w:val="00C157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8CDBFF8A673E4E9FA9369B6B2C3726" ma:contentTypeVersion="16" ma:contentTypeDescription="Create a new document." ma:contentTypeScope="" ma:versionID="a4748c9041b10aa18577f492e6511ae1">
  <xsd:schema xmlns:xsd="http://www.w3.org/2001/XMLSchema" xmlns:xs="http://www.w3.org/2001/XMLSchema" xmlns:p="http://schemas.microsoft.com/office/2006/metadata/properties" xmlns:ns2="9da864af-2ebd-4ffc-9155-4f87b758b895" xmlns:ns3="5c12fd1e-0b8d-464e-a57c-5bff71e1fa36" xmlns:ns4="beefca68-50e0-4f9f-92a4-60a45e5bff62" xmlns:ns5="38109ec0-e3d9-40aa-8431-9532c786d214" targetNamespace="http://schemas.microsoft.com/office/2006/metadata/properties" ma:root="true" ma:fieldsID="c1f1fbd85ff0f6a6f3b50df4557d1769" ns2:_="" ns3:_="" ns4:_="" ns5:_="">
    <xsd:import namespace="9da864af-2ebd-4ffc-9155-4f87b758b895"/>
    <xsd:import namespace="5c12fd1e-0b8d-464e-a57c-5bff71e1fa36"/>
    <xsd:import namespace="beefca68-50e0-4f9f-92a4-60a45e5bff62"/>
    <xsd:import namespace="38109ec0-e3d9-40aa-8431-9532c786d21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864af-2ebd-4ffc-9155-4f87b758b8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12fd1e-0b8d-464e-a57c-5bff71e1fa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efca68-50e0-4f9f-92a4-60a45e5bff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09ec0-e3d9-40aa-8431-9532c786d21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a68e0f5-9a66-49d1-a5c4-3eb13542037b}" ma:internalName="TaxCatchAll" ma:showField="CatchAllData" ma:web="38109ec0-e3d9-40aa-8431-9532c786d2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12fd1e-0b8d-464e-a57c-5bff71e1fa36">
      <Terms xmlns="http://schemas.microsoft.com/office/infopath/2007/PartnerControls"/>
    </lcf76f155ced4ddcb4097134ff3c332f>
    <TaxCatchAll xmlns="38109ec0-e3d9-40aa-8431-9532c786d214" xsi:nil="true"/>
  </documentManagement>
</p:properties>
</file>

<file path=customXml/itemProps1.xml><?xml version="1.0" encoding="utf-8"?>
<ds:datastoreItem xmlns:ds="http://schemas.openxmlformats.org/officeDocument/2006/customXml" ds:itemID="{E597EC09-4EEF-4C1A-B34B-14DF1FFD5AF0}">
  <ds:schemaRefs>
    <ds:schemaRef ds:uri="http://schemas.microsoft.com/sharepoint/events"/>
    <ds:schemaRef ds:uri=""/>
  </ds:schemaRefs>
</ds:datastoreItem>
</file>

<file path=customXml/itemProps2.xml><?xml version="1.0" encoding="utf-8"?>
<ds:datastoreItem xmlns:ds="http://schemas.openxmlformats.org/officeDocument/2006/customXml" ds:itemID="{010D8897-1629-4B63-ADAB-F768795F8EF8}">
  <ds:schemaRefs>
    <ds:schemaRef ds:uri="http://schemas.microsoft.com/sharepoint/v3/contenttype/forms"/>
  </ds:schemaRefs>
</ds:datastoreItem>
</file>

<file path=customXml/itemProps3.xml><?xml version="1.0" encoding="utf-8"?>
<ds:datastoreItem xmlns:ds="http://schemas.openxmlformats.org/officeDocument/2006/customXml" ds:itemID="{A40E6FB8-00E8-47AB-9274-BD4269F09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864af-2ebd-4ffc-9155-4f87b758b895"/>
    <ds:schemaRef ds:uri="5c12fd1e-0b8d-464e-a57c-5bff71e1fa36"/>
    <ds:schemaRef ds:uri="beefca68-50e0-4f9f-92a4-60a45e5bff62"/>
    <ds:schemaRef ds:uri="38109ec0-e3d9-40aa-8431-9532c786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0FFBC-E5C3-420F-98A5-51973FABE8E2}">
  <ds:schemaRefs>
    <ds:schemaRef ds:uri="http://schemas.microsoft.com/office/2006/metadata/properties"/>
    <ds:schemaRef ds:uri="http://schemas.microsoft.com/office/infopath/2007/PartnerControls"/>
    <ds:schemaRef ds:uri="5c12fd1e-0b8d-464e-a57c-5bff71e1fa36"/>
    <ds:schemaRef ds:uri="38109ec0-e3d9-40aa-8431-9532c786d21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Mambo, Peter K (Nairobi)</dc:creator>
  <cp:keywords/>
  <dc:description/>
  <cp:lastModifiedBy>Giblin, J. Drew (Nairobi)</cp:lastModifiedBy>
  <cp:revision>14</cp:revision>
  <cp:lastPrinted>2026-05-04T11:15:00Z</cp:lastPrinted>
  <dcterms:created xsi:type="dcterms:W3CDTF">2026-05-04T14:50:00Z</dcterms:created>
  <dcterms:modified xsi:type="dcterms:W3CDTF">2026-05-04T14:50:00Z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2026-04-27T14:24:21Z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9fcf174e-b8f2-41fc-870e-3871885d8428</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0x0101009F8CDBFF8A673E4E9FA9369B6B2C3726</vt:lpwstr>
  </property>
  <property fmtid="{D5CDD505-2E9C-101B-9397-08002B2CF9AE}" pid="11" name="MediaServiceImageTags">
    <vt:lpwstr/>
  </property>
</Properties>
</file>