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25630260"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 xml:space="preserve">with </w:t>
      </w:r>
      <w:r w:rsidR="00111625">
        <w:rPr>
          <w:rFonts w:ascii="Times New Roman" w:eastAsia="Times New Roman" w:hAnsi="Times New Roman"/>
          <w:b/>
          <w:szCs w:val="24"/>
        </w:rPr>
        <w:t xml:space="preserve">the </w:t>
      </w:r>
      <w:r w:rsidR="00F1544D" w:rsidRPr="00577630">
        <w:rPr>
          <w:rFonts w:ascii="Times New Roman" w:eastAsia="Times New Roman" w:hAnsi="Times New Roman"/>
          <w:b/>
          <w:szCs w:val="24"/>
          <w:lang w:val="en-US"/>
        </w:rPr>
        <w:t xml:space="preserve">Gulf Coast </w:t>
      </w:r>
      <w:r w:rsidR="00AA3001" w:rsidRPr="00577630">
        <w:rPr>
          <w:rFonts w:ascii="Times New Roman" w:eastAsia="Times New Roman" w:hAnsi="Times New Roman"/>
          <w:b/>
          <w:szCs w:val="24"/>
          <w:lang w:val="en-US"/>
        </w:rPr>
        <w:t>CESU</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465A0F9D" w:rsidR="0005092E" w:rsidRPr="00510DAD" w:rsidRDefault="00005933" w:rsidP="00005933">
      <w:pPr>
        <w:pStyle w:val="Heading1"/>
        <w:rPr>
          <w:rFonts w:ascii="Times New Roman" w:hAnsi="Times New Roman"/>
          <w:bCs/>
          <w:color w:val="00B050"/>
          <w:szCs w:val="24"/>
        </w:rPr>
      </w:pPr>
      <w:r w:rsidRPr="00005933">
        <w:rPr>
          <w:rFonts w:ascii="Times New Roman" w:hAnsi="Times New Roman"/>
          <w:bCs/>
          <w:szCs w:val="24"/>
        </w:rPr>
        <w:t>Project Title</w:t>
      </w:r>
      <w:r w:rsidRPr="00871C50">
        <w:rPr>
          <w:rFonts w:ascii="Times New Roman" w:hAnsi="Times New Roman"/>
          <w:bCs/>
          <w:szCs w:val="24"/>
        </w:rPr>
        <w:t xml:space="preserve">: </w:t>
      </w:r>
      <w:r w:rsidR="005B3D5A" w:rsidRPr="00510DAD">
        <w:rPr>
          <w:rFonts w:ascii="Times New Roman" w:eastAsiaTheme="minorEastAsia" w:hAnsi="Times New Roman"/>
          <w:i/>
          <w:iCs/>
          <w:color w:val="222222"/>
        </w:rPr>
        <w:t xml:space="preserve">Remote sensing of discharge using the </w:t>
      </w:r>
      <w:proofErr w:type="spellStart"/>
      <w:r w:rsidR="005B3D5A" w:rsidRPr="00510DAD">
        <w:rPr>
          <w:rFonts w:ascii="Times New Roman" w:eastAsiaTheme="minorEastAsia" w:hAnsi="Times New Roman"/>
          <w:i/>
          <w:iCs/>
          <w:color w:val="222222"/>
        </w:rPr>
        <w:t>Skydio</w:t>
      </w:r>
      <w:proofErr w:type="spellEnd"/>
      <w:r w:rsidR="005B3D5A" w:rsidRPr="00510DAD">
        <w:rPr>
          <w:rFonts w:ascii="Times New Roman" w:eastAsiaTheme="minorEastAsia" w:hAnsi="Times New Roman"/>
          <w:i/>
          <w:iCs/>
          <w:color w:val="222222"/>
        </w:rPr>
        <w:t xml:space="preserve"> Dock for X10 and image velocimetry</w:t>
      </w:r>
    </w:p>
    <w:p w14:paraId="283229E7" w14:textId="77777777" w:rsidR="0005092E" w:rsidRPr="00510DAD" w:rsidRDefault="0005092E" w:rsidP="006C0ADD">
      <w:pPr>
        <w:pStyle w:val="Heading1"/>
        <w:rPr>
          <w:rFonts w:ascii="Times New Roman" w:hAnsi="Times New Roman"/>
          <w:szCs w:val="24"/>
          <w:u w:val="single"/>
        </w:rPr>
      </w:pPr>
      <w:r w:rsidRPr="00510DAD">
        <w:rPr>
          <w:rFonts w:ascii="Times New Roman" w:hAnsi="Times New Roman"/>
          <w:szCs w:val="24"/>
          <w:u w:val="single"/>
        </w:rPr>
        <w:t xml:space="preserve">Funding Opportunity Description </w:t>
      </w:r>
    </w:p>
    <w:p w14:paraId="20B2FDE5" w14:textId="1C63404B" w:rsidR="00DB7902" w:rsidRPr="00510DAD" w:rsidRDefault="0011764A" w:rsidP="00DB7902">
      <w:pPr>
        <w:pStyle w:val="NormalWeb"/>
        <w:tabs>
          <w:tab w:val="left" w:pos="9360"/>
        </w:tabs>
        <w:spacing w:before="0" w:beforeAutospacing="0" w:after="0" w:afterAutospacing="0"/>
        <w:rPr>
          <w:color w:val="000000" w:themeColor="text1"/>
        </w:rPr>
      </w:pPr>
      <w:r w:rsidRPr="00510DAD">
        <w:rPr>
          <w:color w:val="222222"/>
          <w:lang w:eastAsia="x-none"/>
        </w:rPr>
        <w:t>The USGS is offering a funding opportunity to a CESU partner for research</w:t>
      </w:r>
      <w:r w:rsidR="00DB7902" w:rsidRPr="00510DAD">
        <w:rPr>
          <w:color w:val="000000" w:themeColor="text1"/>
        </w:rPr>
        <w:t xml:space="preserve"> on the utility of the </w:t>
      </w:r>
      <w:proofErr w:type="spellStart"/>
      <w:r w:rsidR="00DB7902" w:rsidRPr="00510DAD">
        <w:rPr>
          <w:color w:val="000000" w:themeColor="text1"/>
        </w:rPr>
        <w:t>Skydio</w:t>
      </w:r>
      <w:proofErr w:type="spellEnd"/>
      <w:r w:rsidR="00DB7902" w:rsidRPr="00510DAD">
        <w:rPr>
          <w:color w:val="000000" w:themeColor="text1"/>
        </w:rPr>
        <w:t xml:space="preserve"> Dock for X10 to (1) fly remotely beyond visual line of site (BVLOS), (2) collect image velocimetry (IV) data, (3) upload IV data via the </w:t>
      </w:r>
      <w:proofErr w:type="spellStart"/>
      <w:r w:rsidR="00DB7902" w:rsidRPr="00510DAD">
        <w:rPr>
          <w:color w:val="000000" w:themeColor="text1"/>
        </w:rPr>
        <w:t>Skydio</w:t>
      </w:r>
      <w:proofErr w:type="spellEnd"/>
      <w:r w:rsidR="00DB7902" w:rsidRPr="00510DAD">
        <w:rPr>
          <w:color w:val="000000" w:themeColor="text1"/>
        </w:rPr>
        <w:t xml:space="preserve"> Cloud and satellite communications (</w:t>
      </w:r>
      <w:proofErr w:type="spellStart"/>
      <w:r w:rsidR="00DB7902" w:rsidRPr="00510DAD">
        <w:rPr>
          <w:color w:val="000000" w:themeColor="text1"/>
        </w:rPr>
        <w:t>SatComms</w:t>
      </w:r>
      <w:proofErr w:type="spellEnd"/>
      <w:r w:rsidR="00DB7902" w:rsidRPr="00510DAD">
        <w:rPr>
          <w:color w:val="000000" w:themeColor="text1"/>
        </w:rPr>
        <w:t xml:space="preserve">), and (4) develop a workflow for processing camera imagery to compute IV-derived discharge. </w:t>
      </w:r>
    </w:p>
    <w:p w14:paraId="0DC2F354" w14:textId="77777777" w:rsidR="00DB7902" w:rsidRPr="00510DAD" w:rsidRDefault="00DB7902" w:rsidP="00DB7902">
      <w:pPr>
        <w:pStyle w:val="NormalWeb"/>
        <w:tabs>
          <w:tab w:val="left" w:pos="9360"/>
        </w:tabs>
        <w:spacing w:before="0" w:beforeAutospacing="0" w:after="0" w:afterAutospacing="0"/>
        <w:rPr>
          <w:color w:val="000000" w:themeColor="text1"/>
        </w:rPr>
      </w:pPr>
    </w:p>
    <w:p w14:paraId="2B075138" w14:textId="19E84C6C" w:rsidR="00CD2CA5" w:rsidRDefault="00DB7902" w:rsidP="00DB7902">
      <w:pPr>
        <w:pStyle w:val="NormalWeb"/>
        <w:tabs>
          <w:tab w:val="left" w:pos="9360"/>
        </w:tabs>
        <w:spacing w:before="0" w:beforeAutospacing="0" w:after="0" w:afterAutospacing="0"/>
        <w:rPr>
          <w:color w:val="000000" w:themeColor="text1"/>
        </w:rPr>
      </w:pPr>
      <w:r w:rsidRPr="00510DAD">
        <w:rPr>
          <w:color w:val="000000" w:themeColor="text1"/>
        </w:rPr>
        <w:t xml:space="preserve">The cost </w:t>
      </w:r>
      <w:proofErr w:type="gramStart"/>
      <w:r w:rsidRPr="00510DAD">
        <w:rPr>
          <w:color w:val="000000" w:themeColor="text1"/>
        </w:rPr>
        <w:t>to operate</w:t>
      </w:r>
      <w:proofErr w:type="gramEnd"/>
      <w:r w:rsidRPr="00510DAD">
        <w:rPr>
          <w:color w:val="000000" w:themeColor="text1"/>
        </w:rPr>
        <w:t xml:space="preserve"> </w:t>
      </w:r>
      <w:r w:rsidR="00700883" w:rsidRPr="00510DAD">
        <w:rPr>
          <w:color w:val="000000" w:themeColor="text1"/>
        </w:rPr>
        <w:t>stream gages</w:t>
      </w:r>
      <w:r w:rsidRPr="00510DAD">
        <w:rPr>
          <w:color w:val="000000" w:themeColor="text1"/>
        </w:rPr>
        <w:t xml:space="preserve"> in gage-poor or hard-to-access basins is both costly and a potential safety risk. </w:t>
      </w:r>
      <w:r w:rsidR="005E2801" w:rsidRPr="00510DAD">
        <w:rPr>
          <w:color w:val="000000" w:themeColor="text1"/>
        </w:rPr>
        <w:t xml:space="preserve">The </w:t>
      </w:r>
      <w:r w:rsidR="004B69F5" w:rsidRPr="00510DAD">
        <w:rPr>
          <w:color w:val="000000" w:themeColor="text1"/>
        </w:rPr>
        <w:t xml:space="preserve">Next Generation Water Observing System (NGWOS) </w:t>
      </w:r>
      <w:r w:rsidRPr="00510DAD">
        <w:rPr>
          <w:color w:val="000000" w:themeColor="text1"/>
        </w:rPr>
        <w:t xml:space="preserve">is seeking to trial and develop a workflow that is reliable and capable of transmitting camera imagery via </w:t>
      </w:r>
      <w:proofErr w:type="spellStart"/>
      <w:r w:rsidRPr="00510DAD">
        <w:rPr>
          <w:color w:val="000000" w:themeColor="text1"/>
        </w:rPr>
        <w:t>SatComms</w:t>
      </w:r>
      <w:proofErr w:type="spellEnd"/>
      <w:r w:rsidRPr="00510DAD">
        <w:rPr>
          <w:color w:val="000000" w:themeColor="text1"/>
        </w:rPr>
        <w:t xml:space="preserve"> and compute IV-derived discrete discharge that is equivalent to USGS standard methods.</w:t>
      </w:r>
    </w:p>
    <w:p w14:paraId="78CA8536" w14:textId="27F50925" w:rsidR="00DD219A" w:rsidRPr="00510DAD" w:rsidRDefault="007B7A8D" w:rsidP="00510DAD">
      <w:pPr>
        <w:pStyle w:val="NormalWeb"/>
      </w:pPr>
      <w:r w:rsidRPr="00510DAD">
        <w:rPr>
          <w:iCs/>
        </w:rPr>
        <w:t>The U</w:t>
      </w:r>
      <w:r w:rsidR="003C6E82">
        <w:rPr>
          <w:iCs/>
        </w:rPr>
        <w:t>.</w:t>
      </w:r>
      <w:r w:rsidRPr="00510DAD">
        <w:rPr>
          <w:iCs/>
        </w:rPr>
        <w:t>S</w:t>
      </w:r>
      <w:r w:rsidR="003C6E82">
        <w:rPr>
          <w:iCs/>
        </w:rPr>
        <w:t>.</w:t>
      </w:r>
      <w:r w:rsidRPr="00510DAD">
        <w:rPr>
          <w:iCs/>
        </w:rPr>
        <w:t xml:space="preserve"> Geological Survey </w:t>
      </w:r>
      <w:r w:rsidR="003C6E82">
        <w:rPr>
          <w:iCs/>
        </w:rPr>
        <w:t xml:space="preserve">(USGS) </w:t>
      </w:r>
      <w:r w:rsidRPr="00510DAD">
        <w:rPr>
          <w:iCs/>
        </w:rPr>
        <w:t xml:space="preserve">Water Resources Mission Area </w:t>
      </w:r>
      <w:r w:rsidR="00BC107C">
        <w:rPr>
          <w:iCs/>
        </w:rPr>
        <w:t xml:space="preserve">(WMA) </w:t>
      </w:r>
      <w:r w:rsidRPr="00510DAD">
        <w:rPr>
          <w:iCs/>
        </w:rPr>
        <w:t xml:space="preserve">is interested in partnering with the CESU to evaluate the operational readiness of </w:t>
      </w:r>
      <w:r w:rsidR="00F7247C" w:rsidRPr="00510DAD">
        <w:rPr>
          <w:iCs/>
        </w:rPr>
        <w:t xml:space="preserve">near-field remote sensing of the </w:t>
      </w:r>
      <w:proofErr w:type="spellStart"/>
      <w:r w:rsidR="00F7247C" w:rsidRPr="00510DAD">
        <w:rPr>
          <w:iCs/>
        </w:rPr>
        <w:t>Skydio</w:t>
      </w:r>
      <w:proofErr w:type="spellEnd"/>
      <w:r w:rsidR="00F7247C" w:rsidRPr="00510DAD">
        <w:rPr>
          <w:iCs/>
        </w:rPr>
        <w:t xml:space="preserve"> Dock platform. </w:t>
      </w:r>
      <w:r w:rsidRPr="00510DAD">
        <w:rPr>
          <w:iCs/>
        </w:rPr>
        <w:t xml:space="preserve">The </w:t>
      </w:r>
      <w:proofErr w:type="spellStart"/>
      <w:r w:rsidR="00F7247C" w:rsidRPr="00510DAD">
        <w:rPr>
          <w:iCs/>
        </w:rPr>
        <w:t>Skydio</w:t>
      </w:r>
      <w:proofErr w:type="spellEnd"/>
      <w:r w:rsidR="00F7247C" w:rsidRPr="00510DAD">
        <w:rPr>
          <w:iCs/>
        </w:rPr>
        <w:t xml:space="preserve"> Dock </w:t>
      </w:r>
      <w:r w:rsidRPr="00510DAD">
        <w:rPr>
          <w:iCs/>
        </w:rPr>
        <w:t xml:space="preserve">has been developed </w:t>
      </w:r>
      <w:r w:rsidR="00F7247C" w:rsidRPr="00510DAD">
        <w:rPr>
          <w:iCs/>
        </w:rPr>
        <w:t xml:space="preserve">to operate remotely by remote pilots; however, the application to collect camera imagery that can be processed and to compute river discharge is novel. The </w:t>
      </w:r>
      <w:r w:rsidR="00374B10">
        <w:rPr>
          <w:iCs/>
        </w:rPr>
        <w:t xml:space="preserve">U.S. Bureau of Reclamation </w:t>
      </w:r>
      <w:r w:rsidR="00F7247C" w:rsidRPr="00510DAD">
        <w:rPr>
          <w:iCs/>
        </w:rPr>
        <w:t xml:space="preserve">Green Mountain Reservoir </w:t>
      </w:r>
      <w:r w:rsidRPr="00510DAD">
        <w:rPr>
          <w:iCs/>
        </w:rPr>
        <w:t xml:space="preserve">is an ideal test bed for this technology given </w:t>
      </w:r>
      <w:r w:rsidR="00F7247C" w:rsidRPr="00510DAD">
        <w:rPr>
          <w:iCs/>
        </w:rPr>
        <w:t xml:space="preserve">that two USGS </w:t>
      </w:r>
      <w:proofErr w:type="spellStart"/>
      <w:r w:rsidR="00F7247C" w:rsidRPr="00510DAD">
        <w:rPr>
          <w:iCs/>
        </w:rPr>
        <w:t>streamgages</w:t>
      </w:r>
      <w:proofErr w:type="spellEnd"/>
      <w:r w:rsidR="00F7247C" w:rsidRPr="00510DAD">
        <w:rPr>
          <w:iCs/>
        </w:rPr>
        <w:t xml:space="preserve"> are co-located within the proposed flight volume of the </w:t>
      </w:r>
      <w:proofErr w:type="spellStart"/>
      <w:r w:rsidR="00F7247C" w:rsidRPr="00510DAD">
        <w:rPr>
          <w:iCs/>
        </w:rPr>
        <w:t>Skydio</w:t>
      </w:r>
      <w:proofErr w:type="spellEnd"/>
      <w:r w:rsidR="00F7247C" w:rsidRPr="00510DAD">
        <w:rPr>
          <w:iCs/>
        </w:rPr>
        <w:t xml:space="preserve"> Dock. The </w:t>
      </w:r>
      <w:proofErr w:type="spellStart"/>
      <w:r w:rsidR="00F7247C" w:rsidRPr="00510DAD">
        <w:rPr>
          <w:iCs/>
        </w:rPr>
        <w:t>streamgages</w:t>
      </w:r>
      <w:proofErr w:type="spellEnd"/>
      <w:r w:rsidR="00F7247C" w:rsidRPr="00510DAD">
        <w:rPr>
          <w:iCs/>
        </w:rPr>
        <w:t xml:space="preserve"> will offer verification data that can be used to assess the efficacy of various image velocimetry algorithms, which will be used to compute river discharge remotely.</w:t>
      </w:r>
      <w:r w:rsidR="00BC107C">
        <w:rPr>
          <w:iCs/>
        </w:rPr>
        <w:t xml:space="preserve"> Integrating Artificial Intelligence (AI) to assist with identifying water masks and vegetation will be a valuable contribution to accurately compute image velocimetry-based river discharge.</w:t>
      </w:r>
    </w:p>
    <w:p w14:paraId="77CC0A77" w14:textId="27FE92A7" w:rsidR="00DD219A" w:rsidRDefault="00DD219A" w:rsidP="00DD219A">
      <w:r w:rsidRPr="00510DAD">
        <w:t xml:space="preserve">Under </w:t>
      </w:r>
      <w:hyperlink r:id="rId8" w:history="1">
        <w:r w:rsidRPr="00510DAD">
          <w:rPr>
            <w:rStyle w:val="Hyperlink"/>
          </w:rPr>
          <w:t>Executive Order 14179 – Removing Barriers to American Leadership in Artificial Intelligence</w:t>
        </w:r>
      </w:hyperlink>
      <w:r w:rsidR="00884A94">
        <w:t xml:space="preserve"> (January 23, 2025)</w:t>
      </w:r>
      <w:r w:rsidRPr="00510DAD">
        <w:t xml:space="preserve"> by the USGS NGWOS program is authorized and encouraged to conduct structured pilots of AI-enabled sensing systems that improve safety, performance, and mission delivery. The proposed project will serve as a pilot for BVLOS, dock-scheduled operations with AI computer vision for image velocimetry, enabling safe, repeatable discharge estimation at hazardous monitoring locations, and providing crucial information for technical readiness assessments.</w:t>
      </w:r>
      <w:r>
        <w:t xml:space="preserve"> </w:t>
      </w:r>
    </w:p>
    <w:p w14:paraId="52C39BD2" w14:textId="77777777" w:rsidR="00CD2CA5" w:rsidRPr="00871C50" w:rsidRDefault="00CD2CA5" w:rsidP="00CD2CA5">
      <w:pPr>
        <w:pStyle w:val="NormalWeb"/>
        <w:tabs>
          <w:tab w:val="left" w:pos="9360"/>
        </w:tabs>
        <w:spacing w:before="0" w:beforeAutospacing="0" w:after="0" w:afterAutospacing="0"/>
        <w:rPr>
          <w:color w:val="000000"/>
        </w:rPr>
      </w:pPr>
    </w:p>
    <w:p w14:paraId="6B6FCA1C" w14:textId="77777777" w:rsidR="002049FD" w:rsidRPr="00510DAD" w:rsidRDefault="009151CC" w:rsidP="002049FD">
      <w:pPr>
        <w:autoSpaceDE w:val="0"/>
        <w:ind w:right="720"/>
        <w:rPr>
          <w:color w:val="000000"/>
        </w:rPr>
      </w:pPr>
      <w:r w:rsidRPr="00871C50">
        <w:rPr>
          <w:rFonts w:eastAsia="TimesNewRoman"/>
          <w:b/>
          <w:i/>
          <w:color w:val="000000"/>
        </w:rPr>
        <w:t xml:space="preserve">Research </w:t>
      </w:r>
      <w:r w:rsidR="00EC642C" w:rsidRPr="00871C50">
        <w:rPr>
          <w:rFonts w:eastAsia="TimesNewRoman"/>
          <w:b/>
          <w:i/>
          <w:color w:val="000000"/>
        </w:rPr>
        <w:t>Objectives</w:t>
      </w:r>
      <w:r w:rsidR="00EC642C" w:rsidRPr="00871C50">
        <w:rPr>
          <w:rFonts w:eastAsia="TimesNewRoman"/>
          <w:b/>
          <w:color w:val="000000"/>
        </w:rPr>
        <w:t>:</w:t>
      </w:r>
      <w:r w:rsidR="00690553" w:rsidRPr="00871C50">
        <w:rPr>
          <w:rFonts w:eastAsia="TimesNewRoman"/>
          <w:b/>
          <w:color w:val="000000"/>
        </w:rPr>
        <w:t xml:space="preserve"> </w:t>
      </w:r>
      <w:r w:rsidR="002049FD">
        <w:rPr>
          <w:rFonts w:eastAsia="TimesNewRoman"/>
          <w:bCs/>
          <w:i/>
          <w:iCs/>
          <w:color w:val="00B050"/>
        </w:rPr>
        <w:br/>
      </w:r>
      <w:r w:rsidR="002049FD">
        <w:rPr>
          <w:rFonts w:eastAsia="TimesNewRoman"/>
          <w:bCs/>
          <w:i/>
          <w:iCs/>
          <w:color w:val="00B050"/>
        </w:rPr>
        <w:br/>
      </w:r>
      <w:r w:rsidR="002049FD" w:rsidRPr="00510DAD">
        <w:rPr>
          <w:color w:val="000000" w:themeColor="text1"/>
        </w:rPr>
        <w:t xml:space="preserve">The objective of this project is to demonstrate the operability of the </w:t>
      </w:r>
      <w:proofErr w:type="spellStart"/>
      <w:r w:rsidR="002049FD" w:rsidRPr="00510DAD">
        <w:rPr>
          <w:color w:val="000000" w:themeColor="text1"/>
        </w:rPr>
        <w:t>Skydio</w:t>
      </w:r>
      <w:proofErr w:type="spellEnd"/>
      <w:r w:rsidR="002049FD" w:rsidRPr="00510DAD">
        <w:rPr>
          <w:color w:val="000000" w:themeColor="text1"/>
        </w:rPr>
        <w:t xml:space="preserve"> Dock for X10 using BVLOS camera-based drones.  </w:t>
      </w:r>
    </w:p>
    <w:p w14:paraId="3AA977FA" w14:textId="77777777" w:rsidR="002049FD" w:rsidRPr="00510DAD" w:rsidRDefault="002049FD" w:rsidP="002049FD">
      <w:pPr>
        <w:ind w:right="720"/>
        <w:rPr>
          <w:color w:val="000000"/>
        </w:rPr>
      </w:pPr>
    </w:p>
    <w:p w14:paraId="126C8990" w14:textId="36D0DE8D" w:rsidR="002049FD" w:rsidRPr="00510DAD" w:rsidRDefault="002049FD" w:rsidP="00D81C48">
      <w:pPr>
        <w:tabs>
          <w:tab w:val="left" w:pos="6150"/>
        </w:tabs>
        <w:ind w:right="720"/>
        <w:rPr>
          <w:color w:val="000000"/>
        </w:rPr>
      </w:pPr>
      <w:r w:rsidRPr="00510DAD">
        <w:rPr>
          <w:color w:val="000000"/>
        </w:rPr>
        <w:lastRenderedPageBreak/>
        <w:t>To achieve this objective, the following tasks will be completed:</w:t>
      </w:r>
      <w:r w:rsidR="00D81C48" w:rsidRPr="00510DAD">
        <w:rPr>
          <w:color w:val="000000"/>
        </w:rPr>
        <w:tab/>
      </w:r>
    </w:p>
    <w:p w14:paraId="5FB089F3" w14:textId="77777777" w:rsidR="00D81C48" w:rsidRPr="00510DAD" w:rsidRDefault="00D81C48" w:rsidP="00D81C48">
      <w:pPr>
        <w:tabs>
          <w:tab w:val="left" w:pos="6150"/>
        </w:tabs>
        <w:ind w:right="720"/>
        <w:rPr>
          <w:color w:val="000000"/>
        </w:rPr>
      </w:pPr>
    </w:p>
    <w:p w14:paraId="172F9583" w14:textId="77777777" w:rsidR="00D81C48" w:rsidRPr="00510DAD" w:rsidRDefault="00D81C48" w:rsidP="00D81C48">
      <w:pPr>
        <w:pStyle w:val="ListParagraph"/>
        <w:numPr>
          <w:ilvl w:val="0"/>
          <w:numId w:val="15"/>
        </w:numPr>
        <w:ind w:right="720"/>
        <w:rPr>
          <w:color w:val="000000"/>
        </w:rPr>
      </w:pPr>
      <w:r w:rsidRPr="00510DAD">
        <w:rPr>
          <w:color w:val="000000"/>
        </w:rPr>
        <w:t xml:space="preserve">Demonstrate a </w:t>
      </w:r>
      <w:proofErr w:type="spellStart"/>
      <w:r w:rsidRPr="00510DAD">
        <w:rPr>
          <w:color w:val="000000"/>
        </w:rPr>
        <w:t>Skydio</w:t>
      </w:r>
      <w:proofErr w:type="spellEnd"/>
      <w:r w:rsidRPr="00510DAD">
        <w:rPr>
          <w:color w:val="000000"/>
        </w:rPr>
        <w:t xml:space="preserve"> Dock for X10 can be flown remotely</w:t>
      </w:r>
    </w:p>
    <w:p w14:paraId="17876E6D" w14:textId="77777777" w:rsidR="00D81C48" w:rsidRPr="00510DAD" w:rsidRDefault="00D81C48" w:rsidP="00D81C48">
      <w:pPr>
        <w:pStyle w:val="ListParagraph"/>
        <w:numPr>
          <w:ilvl w:val="0"/>
          <w:numId w:val="15"/>
        </w:numPr>
        <w:ind w:right="720"/>
        <w:rPr>
          <w:color w:val="000000"/>
        </w:rPr>
      </w:pPr>
      <w:r w:rsidRPr="00510DAD">
        <w:rPr>
          <w:color w:val="000000"/>
        </w:rPr>
        <w:t>Measure channel bathymetry at a standard cross section</w:t>
      </w:r>
    </w:p>
    <w:p w14:paraId="41A4090A" w14:textId="77777777" w:rsidR="00D81C48" w:rsidRPr="00510DAD" w:rsidRDefault="00D81C48" w:rsidP="00D81C48">
      <w:pPr>
        <w:pStyle w:val="ListParagraph"/>
        <w:numPr>
          <w:ilvl w:val="0"/>
          <w:numId w:val="15"/>
        </w:numPr>
        <w:ind w:right="720"/>
        <w:rPr>
          <w:color w:val="000000"/>
        </w:rPr>
      </w:pPr>
      <w:r w:rsidRPr="00510DAD">
        <w:rPr>
          <w:color w:val="000000"/>
        </w:rPr>
        <w:t>Conduct a brief recon flight</w:t>
      </w:r>
    </w:p>
    <w:p w14:paraId="4CFB9C60" w14:textId="77777777" w:rsidR="00D81C48" w:rsidRPr="00510DAD" w:rsidRDefault="00D81C48" w:rsidP="00D81C48">
      <w:pPr>
        <w:pStyle w:val="ListParagraph"/>
        <w:numPr>
          <w:ilvl w:val="0"/>
          <w:numId w:val="15"/>
        </w:numPr>
        <w:ind w:right="720"/>
        <w:rPr>
          <w:color w:val="000000"/>
        </w:rPr>
      </w:pPr>
      <w:r w:rsidRPr="00510DAD">
        <w:rPr>
          <w:color w:val="000000"/>
        </w:rPr>
        <w:t>Collect 30 seconds (sec) of camera imagery (video)</w:t>
      </w:r>
    </w:p>
    <w:p w14:paraId="6BAADD3F" w14:textId="77777777" w:rsidR="00D81C48" w:rsidRPr="00510DAD" w:rsidRDefault="00D81C48" w:rsidP="00D81C48">
      <w:pPr>
        <w:pStyle w:val="ListParagraph"/>
        <w:numPr>
          <w:ilvl w:val="0"/>
          <w:numId w:val="15"/>
        </w:numPr>
        <w:ind w:right="720"/>
        <w:rPr>
          <w:color w:val="000000"/>
        </w:rPr>
      </w:pPr>
      <w:r w:rsidRPr="00510DAD">
        <w:rPr>
          <w:color w:val="000000"/>
        </w:rPr>
        <w:t xml:space="preserve">Return the drone to the </w:t>
      </w:r>
      <w:proofErr w:type="spellStart"/>
      <w:r w:rsidRPr="00510DAD">
        <w:rPr>
          <w:color w:val="000000"/>
        </w:rPr>
        <w:t>Skydio</w:t>
      </w:r>
      <w:proofErr w:type="spellEnd"/>
      <w:r w:rsidRPr="00510DAD">
        <w:rPr>
          <w:color w:val="000000"/>
        </w:rPr>
        <w:t xml:space="preserve"> Dock for X10 </w:t>
      </w:r>
    </w:p>
    <w:p w14:paraId="14F6B9F1" w14:textId="77777777" w:rsidR="00D81C48" w:rsidRPr="00510DAD" w:rsidRDefault="00D81C48" w:rsidP="00D81C48">
      <w:pPr>
        <w:pStyle w:val="ListParagraph"/>
        <w:numPr>
          <w:ilvl w:val="0"/>
          <w:numId w:val="15"/>
        </w:numPr>
        <w:ind w:right="720"/>
        <w:rPr>
          <w:color w:val="000000"/>
        </w:rPr>
      </w:pPr>
      <w:r w:rsidRPr="00510DAD">
        <w:rPr>
          <w:color w:val="000000"/>
        </w:rPr>
        <w:t xml:space="preserve">Upload the video to the </w:t>
      </w:r>
      <w:proofErr w:type="spellStart"/>
      <w:r w:rsidRPr="00510DAD">
        <w:rPr>
          <w:color w:val="000000"/>
        </w:rPr>
        <w:t>Skydio</w:t>
      </w:r>
      <w:proofErr w:type="spellEnd"/>
      <w:r w:rsidRPr="00510DAD">
        <w:rPr>
          <w:color w:val="000000"/>
        </w:rPr>
        <w:t xml:space="preserve"> Cloud via </w:t>
      </w:r>
      <w:proofErr w:type="spellStart"/>
      <w:r w:rsidRPr="00510DAD">
        <w:rPr>
          <w:color w:val="000000"/>
        </w:rPr>
        <w:t>SatComms</w:t>
      </w:r>
      <w:proofErr w:type="spellEnd"/>
    </w:p>
    <w:p w14:paraId="5848165C" w14:textId="77777777" w:rsidR="00D81C48" w:rsidRPr="00510DAD" w:rsidRDefault="00D81C48" w:rsidP="00D81C48">
      <w:pPr>
        <w:pStyle w:val="ListParagraph"/>
        <w:numPr>
          <w:ilvl w:val="0"/>
          <w:numId w:val="15"/>
        </w:numPr>
        <w:ind w:right="720"/>
        <w:rPr>
          <w:color w:val="000000"/>
        </w:rPr>
      </w:pPr>
      <w:r w:rsidRPr="00510DAD">
        <w:rPr>
          <w:color w:val="000000"/>
        </w:rPr>
        <w:t xml:space="preserve">Download the video from the </w:t>
      </w:r>
      <w:proofErr w:type="spellStart"/>
      <w:r w:rsidRPr="00510DAD">
        <w:rPr>
          <w:color w:val="000000"/>
        </w:rPr>
        <w:t>Skydio</w:t>
      </w:r>
      <w:proofErr w:type="spellEnd"/>
      <w:r w:rsidRPr="00510DAD">
        <w:rPr>
          <w:color w:val="000000"/>
        </w:rPr>
        <w:t xml:space="preserve"> Cloud from </w:t>
      </w:r>
      <w:proofErr w:type="spellStart"/>
      <w:r w:rsidRPr="00510DAD">
        <w:rPr>
          <w:color w:val="000000"/>
        </w:rPr>
        <w:t>SatComms</w:t>
      </w:r>
      <w:proofErr w:type="spellEnd"/>
    </w:p>
    <w:p w14:paraId="608EB005" w14:textId="77777777" w:rsidR="00D81C48" w:rsidRPr="00510DAD" w:rsidRDefault="00D81C48" w:rsidP="00D81C48">
      <w:pPr>
        <w:pStyle w:val="ListParagraph"/>
        <w:numPr>
          <w:ilvl w:val="0"/>
          <w:numId w:val="15"/>
        </w:numPr>
        <w:ind w:right="720"/>
        <w:rPr>
          <w:color w:val="000000"/>
        </w:rPr>
      </w:pPr>
      <w:r w:rsidRPr="00510DAD">
        <w:rPr>
          <w:color w:val="000000"/>
        </w:rPr>
        <w:t>Process the video using various IV algorithms to compute surface velocities and discharge</w:t>
      </w:r>
    </w:p>
    <w:p w14:paraId="5D039F88" w14:textId="77777777" w:rsidR="00D81C48" w:rsidRPr="00510DAD" w:rsidRDefault="00D81C48" w:rsidP="00D81C48">
      <w:pPr>
        <w:pStyle w:val="ListParagraph"/>
        <w:numPr>
          <w:ilvl w:val="0"/>
          <w:numId w:val="15"/>
        </w:numPr>
        <w:ind w:right="720"/>
        <w:rPr>
          <w:color w:val="000000"/>
        </w:rPr>
      </w:pPr>
      <w:r w:rsidRPr="00510DAD">
        <w:rPr>
          <w:color w:val="000000"/>
        </w:rPr>
        <w:t>Compare the IV-derived surface velocities and discharge to standard methods</w:t>
      </w:r>
    </w:p>
    <w:p w14:paraId="1B85DC31" w14:textId="63714FB8" w:rsidR="00EC642C" w:rsidRPr="00510DAD" w:rsidRDefault="00D81C48" w:rsidP="00700883">
      <w:pPr>
        <w:pStyle w:val="ListParagraph"/>
        <w:numPr>
          <w:ilvl w:val="0"/>
          <w:numId w:val="15"/>
        </w:numPr>
        <w:ind w:right="720"/>
        <w:rPr>
          <w:color w:val="000000"/>
        </w:rPr>
      </w:pPr>
      <w:r w:rsidRPr="00510DAD">
        <w:rPr>
          <w:color w:val="000000"/>
        </w:rPr>
        <w:t>Publish findings in a peer-reviewed journal article and USGS Data Release to document the operation, accuracy, and limitations of the IV-derived surface velocities and discharge</w:t>
      </w:r>
    </w:p>
    <w:p w14:paraId="795D11F3" w14:textId="77777777" w:rsidR="007B132F" w:rsidRPr="00871C50" w:rsidRDefault="007B132F" w:rsidP="00AA220B">
      <w:pPr>
        <w:widowControl w:val="0"/>
        <w:rPr>
          <w:rFonts w:eastAsia="TimesNewRoman"/>
          <w:lang w:eastAsia="ar-SA"/>
        </w:rPr>
      </w:pPr>
      <w:r w:rsidRPr="00871C50">
        <w:rPr>
          <w:rFonts w:eastAsia="TimesNewRoman"/>
          <w:lang w:eastAsia="ar-SA"/>
        </w:rPr>
        <w:tab/>
      </w:r>
    </w:p>
    <w:p w14:paraId="0286826E" w14:textId="77777777" w:rsidR="007F068E" w:rsidRPr="00871C50" w:rsidRDefault="007F068E" w:rsidP="007F068E">
      <w:pPr>
        <w:rPr>
          <w:b/>
          <w:bCs/>
          <w:u w:val="single"/>
        </w:rPr>
      </w:pPr>
      <w:r w:rsidRPr="00871C50">
        <w:rPr>
          <w:b/>
          <w:bCs/>
          <w:u w:val="single"/>
        </w:rPr>
        <w:t>Award information</w:t>
      </w:r>
    </w:p>
    <w:p w14:paraId="0CD9B582" w14:textId="77777777" w:rsidR="008F28CF" w:rsidRDefault="008F28CF" w:rsidP="008F28CF">
      <w:pPr>
        <w:rPr>
          <w:iCs/>
          <w:color w:val="000000"/>
        </w:rPr>
      </w:pPr>
    </w:p>
    <w:p w14:paraId="7B270190" w14:textId="1B2245BA" w:rsidR="008F28CF" w:rsidRDefault="008F28CF" w:rsidP="008F28CF">
      <w:pPr>
        <w:rPr>
          <w:iCs/>
          <w:color w:val="000000"/>
        </w:rPr>
      </w:pPr>
      <w:r>
        <w:rPr>
          <w:iCs/>
          <w:color w:val="000000"/>
        </w:rPr>
        <w:t xml:space="preserve">The </w:t>
      </w:r>
      <w:proofErr w:type="gramStart"/>
      <w:r>
        <w:rPr>
          <w:iCs/>
          <w:color w:val="000000"/>
        </w:rPr>
        <w:t>award instrument</w:t>
      </w:r>
      <w:proofErr w:type="gramEnd"/>
      <w:r>
        <w:rPr>
          <w:iCs/>
          <w:color w:val="000000"/>
        </w:rPr>
        <w:t xml:space="preserve"> for this project is a cooperative agreement. </w:t>
      </w:r>
    </w:p>
    <w:p w14:paraId="12E2A55A" w14:textId="77777777" w:rsidR="00273829" w:rsidRPr="001B330F" w:rsidRDefault="00273829" w:rsidP="0011764A">
      <w:pPr>
        <w:contextualSpacing/>
        <w:rPr>
          <w:rFonts w:eastAsia="Calibri"/>
        </w:rPr>
      </w:pPr>
    </w:p>
    <w:p w14:paraId="35854991" w14:textId="77777777" w:rsidR="00577630" w:rsidRPr="00510DAD" w:rsidRDefault="00577630" w:rsidP="00577630">
      <w:pPr>
        <w:rPr>
          <w:rFonts w:eastAsia="Calibri"/>
        </w:rPr>
      </w:pPr>
      <w:r w:rsidRPr="00510DAD">
        <w:rPr>
          <w:rFonts w:eastAsia="Calibri"/>
        </w:rPr>
        <w:t>It is anticipated that one award will be made for one base year and no more than one year period of operation and maintenance. The total estimated funding for this project is $120,000. Funds will be fully obligated at time of award. The recipient should submit the proposal to reflect the full 2-year project period.</w:t>
      </w:r>
    </w:p>
    <w:p w14:paraId="2085E088" w14:textId="5ED2F1D5" w:rsidR="004148FF" w:rsidRPr="0076596C" w:rsidRDefault="004148FF" w:rsidP="007F068E">
      <w:pPr>
        <w:rPr>
          <w:b/>
          <w:bCs/>
        </w:rPr>
      </w:pPr>
    </w:p>
    <w:p w14:paraId="05BFD1AA" w14:textId="3FC9685D" w:rsidR="00CD2CA5" w:rsidRDefault="007F068E" w:rsidP="007F068E">
      <w:pPr>
        <w:rPr>
          <w:b/>
          <w:u w:val="single"/>
        </w:rPr>
      </w:pPr>
      <w:r w:rsidRPr="000A279C">
        <w:rPr>
          <w:b/>
          <w:u w:val="single"/>
        </w:rPr>
        <w:t>Eligibility Information</w:t>
      </w:r>
    </w:p>
    <w:p w14:paraId="4AE00CF9" w14:textId="77777777" w:rsidR="00DD39E3" w:rsidRPr="00DD39E3" w:rsidRDefault="00DD39E3" w:rsidP="007F068E">
      <w:pPr>
        <w:rPr>
          <w:b/>
          <w:u w:val="single"/>
        </w:rPr>
      </w:pPr>
    </w:p>
    <w:p w14:paraId="2ADB178A" w14:textId="276771CA" w:rsidR="0011764A" w:rsidRPr="0076596C" w:rsidRDefault="0011764A" w:rsidP="0011764A">
      <w:r w:rsidRPr="0076596C">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44273D" w:rsidRPr="00510DAD">
        <w:rPr>
          <w:color w:val="0C3512" w:themeColor="accent3" w:themeShade="80"/>
        </w:rPr>
        <w:t xml:space="preserve">Gulf Coast </w:t>
      </w:r>
      <w:r w:rsidRPr="00510DAD">
        <w:rPr>
          <w:color w:val="0C3512" w:themeColor="accent3" w:themeShade="80"/>
        </w:rPr>
        <w:t>CESU Program.</w:t>
      </w:r>
      <w:r w:rsidRPr="00DE4096">
        <w:rPr>
          <w:color w:val="0C3512" w:themeColor="accent3" w:themeShade="80"/>
        </w:rPr>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8B197A" w14:textId="403ED898" w:rsidR="00ED4F10" w:rsidRDefault="00ED4F10" w:rsidP="00ED4F10">
      <w:r w:rsidRPr="009B1734">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884DA4" w:rsidRPr="00884DA4">
        <w:rPr>
          <w:b/>
          <w:bCs/>
          <w:color w:val="000000" w:themeColor="text1"/>
        </w:rPr>
        <w:t>G26AS00118</w:t>
      </w:r>
      <w:r w:rsidR="00884DA4" w:rsidRPr="00884DA4">
        <w:rPr>
          <w:b/>
          <w:bCs/>
          <w:color w:val="000000" w:themeColor="text1"/>
        </w:rPr>
        <w:t>.</w:t>
      </w:r>
    </w:p>
    <w:p w14:paraId="5F39D5EA" w14:textId="77777777" w:rsidR="00BC107C" w:rsidRDefault="00BC107C" w:rsidP="00ED4F10"/>
    <w:p w14:paraId="3F94A291" w14:textId="36346B46" w:rsidR="005A571D" w:rsidRDefault="00ED4F10" w:rsidP="0011764A">
      <w:r>
        <w:t>Q</w:t>
      </w:r>
      <w:r w:rsidR="0076596C" w:rsidRPr="0076596C">
        <w:t xml:space="preserve">uestions are to be directed to </w:t>
      </w:r>
      <w:r w:rsidR="0076596C">
        <w:t>Grant Specialist</w:t>
      </w:r>
      <w:r w:rsidR="00690553">
        <w:t xml:space="preserve"> </w:t>
      </w:r>
      <w:r w:rsidR="000314A6" w:rsidRPr="000314A6">
        <w:t xml:space="preserve">Katie Calder, </w:t>
      </w:r>
      <w:hyperlink r:id="rId9" w:history="1">
        <w:r w:rsidR="005A571D" w:rsidRPr="006C4C14">
          <w:rPr>
            <w:rStyle w:val="Hyperlink"/>
          </w:rPr>
          <w:t>katherine_calder@ios.doi.gov</w:t>
        </w:r>
      </w:hyperlink>
      <w:r w:rsidR="000314A6" w:rsidRPr="000314A6">
        <w:t>.</w:t>
      </w:r>
    </w:p>
    <w:p w14:paraId="000D4D78" w14:textId="77777777" w:rsidR="004623BE" w:rsidRPr="004623BE" w:rsidRDefault="004623BE" w:rsidP="0011764A"/>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lastRenderedPageBreak/>
        <w:t xml:space="preserve">Proposed </w:t>
      </w:r>
      <w:proofErr w:type="gramStart"/>
      <w:r w:rsidRPr="00884D0B">
        <w:t>project</w:t>
      </w:r>
      <w:proofErr w:type="gramEnd"/>
      <w:r w:rsidRPr="00884D0B">
        <w:t xml:space="preserve"> start date</w:t>
      </w:r>
    </w:p>
    <w:p w14:paraId="2F10AF53" w14:textId="440A18E4"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proofErr w:type="gramStart"/>
      <w:r>
        <w:t>List</w:t>
      </w:r>
      <w:proofErr w:type="gramEnd"/>
      <w:r>
        <w:t xml:space="preserve">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w:t>
      </w:r>
      <w:proofErr w:type="gramStart"/>
      <w:r>
        <w:t>a brief summary</w:t>
      </w:r>
      <w:proofErr w:type="gramEnd"/>
      <w:r>
        <w:t xml:space="preserve">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w:t>
      </w:r>
      <w:proofErr w:type="gramStart"/>
      <w:r>
        <w:t>the work</w:t>
      </w:r>
      <w:proofErr w:type="gramEnd"/>
      <w:r>
        <w:t xml:space="preserve">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w:t>
      </w:r>
      <w:proofErr w:type="gramStart"/>
      <w:r>
        <w:t>fairly detailed</w:t>
      </w:r>
      <w:proofErr w:type="gramEnd"/>
      <w:r>
        <w:t xml:space="preserve">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proofErr w:type="gramStart"/>
      <w:r>
        <w:t>.</w:t>
      </w:r>
      <w:r>
        <w:rPr>
          <w:b/>
          <w:bCs/>
          <w:i/>
          <w:iCs/>
        </w:rPr>
        <w:t xml:space="preserve">  </w:t>
      </w:r>
      <w:r>
        <w:rPr>
          <w:b/>
          <w:bCs/>
        </w:rPr>
        <w:tab/>
      </w:r>
      <w:proofErr w:type="gramEnd"/>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f</w:t>
      </w:r>
      <w:proofErr w:type="gramStart"/>
      <w:r>
        <w:t xml:space="preserve">. </w:t>
      </w:r>
      <w:r>
        <w:tab/>
      </w:r>
      <w:r w:rsidRPr="00F23D60">
        <w:rPr>
          <w:u w:val="single"/>
        </w:rPr>
        <w:t>Legal</w:t>
      </w:r>
      <w:proofErr w:type="gramEnd"/>
      <w:r w:rsidRPr="00F23D60">
        <w:rPr>
          <w:u w:val="single"/>
        </w:rPr>
        <w:t xml:space="preserve"> and Policy-Sensitive aspects</w:t>
      </w:r>
      <w:r w:rsidRPr="00884D0B">
        <w:t xml:space="preserve"> (if applicable)</w:t>
      </w:r>
    </w:p>
    <w:p w14:paraId="2FE632D4" w14:textId="44EB64AD" w:rsidR="00460829" w:rsidRPr="00884D0B" w:rsidRDefault="00460829" w:rsidP="00D26A8E">
      <w:pPr>
        <w:ind w:left="540" w:hanging="450"/>
      </w:pPr>
      <w:r w:rsidRPr="00884D0B">
        <w:t>g</w:t>
      </w:r>
      <w:proofErr w:type="gramStart"/>
      <w:r w:rsidRPr="00884D0B">
        <w:t xml:space="preserve">. </w:t>
      </w:r>
      <w:r w:rsidRPr="00884D0B">
        <w:tab/>
      </w:r>
      <w:r w:rsidRPr="00F23D60">
        <w:rPr>
          <w:u w:val="single"/>
        </w:rPr>
        <w:t>Animal</w:t>
      </w:r>
      <w:proofErr w:type="gramEnd"/>
      <w:r w:rsidRPr="00F23D60">
        <w:rPr>
          <w:u w:val="single"/>
        </w:rPr>
        <w:t xml:space="preserve">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w:t>
      </w:r>
      <w:r w:rsidR="00700582" w:rsidRPr="00884D0B">
        <w:rPr>
          <w:b/>
          <w:bCs/>
          <w:i/>
          <w:iCs/>
        </w:rPr>
        <w:lastRenderedPageBreak/>
        <w:t xml:space="preserve">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 xml:space="preserve">Enter the cost for all tangible property. Include the cost of office, laboratory, computing, and field supplies separately. Provide </w:t>
      </w:r>
      <w:proofErr w:type="gramStart"/>
      <w:r w:rsidR="00690553">
        <w:t>detail</w:t>
      </w:r>
      <w:proofErr w:type="gramEnd"/>
      <w:r w:rsidR="00690553">
        <w:t xml:space="preserve">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w:t>
      </w:r>
      <w:proofErr w:type="gramStart"/>
      <w:r>
        <w:t>Briefly</w:t>
      </w:r>
      <w:proofErr w:type="gramEnd"/>
      <w:r>
        <w:t xml:space="preserve">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lastRenderedPageBreak/>
        <w:t>h</w:t>
      </w:r>
      <w:r w:rsidR="00690553">
        <w:t>.</w:t>
      </w:r>
      <w:r w:rsidR="00690553">
        <w:tab/>
      </w:r>
      <w:r w:rsidR="00690553" w:rsidRPr="00E175E5">
        <w:rPr>
          <w:b/>
          <w:bCs/>
          <w:u w:val="single"/>
        </w:rPr>
        <w:t>Total Direct Charges</w:t>
      </w:r>
      <w:proofErr w:type="gramStart"/>
      <w:r w:rsidR="0081695A">
        <w:rPr>
          <w:u w:val="single"/>
        </w:rPr>
        <w:t>:</w:t>
      </w:r>
      <w:r w:rsidR="0081695A">
        <w:t xml:space="preserve">  </w:t>
      </w:r>
      <w:r w:rsidR="00690553">
        <w:t>Totals</w:t>
      </w:r>
      <w:proofErr w:type="gramEnd"/>
      <w:r w:rsidR="00690553">
        <w:t xml:space="preserve"> for items a - j.</w:t>
      </w:r>
    </w:p>
    <w:p w14:paraId="4575508F" w14:textId="799A6DF8"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proofErr w:type="gramStart"/>
      <w:r w:rsidR="0081695A">
        <w:rPr>
          <w:b/>
          <w:bCs/>
          <w:u w:val="single"/>
        </w:rPr>
        <w:t>:</w:t>
      </w:r>
      <w:r w:rsidR="00690553">
        <w:t xml:space="preserve">  Indirect</w:t>
      </w:r>
      <w:proofErr w:type="gramEnd"/>
      <w:r w:rsidR="00690553">
        <w:t xml:space="preserve">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3FBE9B7D" w14:textId="1DA1E528" w:rsidR="00DB7CD7" w:rsidRDefault="00DB7CD7" w:rsidP="00DB7CD7">
      <w:pPr>
        <w:ind w:left="540"/>
      </w:pPr>
      <w:r>
        <w:rPr>
          <w:i/>
          <w:iCs/>
        </w:rPr>
        <w:t xml:space="preserve"> </w:t>
      </w:r>
      <w:r w:rsidRPr="00663883">
        <w:rPr>
          <w:i/>
          <w:iCs/>
        </w:rPr>
        <w:t xml:space="preserve">*See Note on Indirect Cost Modified Total Direct Cost </w:t>
      </w:r>
      <w:proofErr w:type="gramStart"/>
      <w:r w:rsidRPr="00663883">
        <w:rPr>
          <w:i/>
          <w:iCs/>
        </w:rPr>
        <w:t>base</w:t>
      </w:r>
      <w:proofErr w:type="gramEnd"/>
      <w:r w:rsidRPr="00663883">
        <w:rPr>
          <w:i/>
          <w:iCs/>
        </w:rPr>
        <w:t xml:space="preserve"> below.</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5F2D0E9B" w14:textId="77777777" w:rsidR="00EB15F8" w:rsidRDefault="00EB15F8" w:rsidP="00E175E5">
      <w:pPr>
        <w:ind w:left="540"/>
        <w:rPr>
          <w:b/>
          <w:bCs/>
          <w:i/>
          <w:iCs/>
        </w:rPr>
      </w:pPr>
    </w:p>
    <w:p w14:paraId="20C457E1" w14:textId="77777777" w:rsidR="00EB15F8" w:rsidRPr="00280CB6" w:rsidRDefault="00EB15F8" w:rsidP="00EB15F8">
      <w:pPr>
        <w:ind w:left="360"/>
      </w:pPr>
      <w:r w:rsidRPr="00280CB6">
        <w:t>*For all deviations to the Federal negotiated indirect cost rate, including statutory, regulatory, programmatic, and voluntary, the basis of direct costs against which the indirect cost rate is applied must be:</w:t>
      </w:r>
    </w:p>
    <w:p w14:paraId="276C1786" w14:textId="77777777" w:rsidR="00EB15F8" w:rsidRPr="00280CB6" w:rsidRDefault="00EB15F8" w:rsidP="00EB15F8"/>
    <w:p w14:paraId="78CF3FC6" w14:textId="77777777" w:rsidR="00EB15F8" w:rsidRPr="00280CB6" w:rsidRDefault="00EB15F8" w:rsidP="00EB15F8">
      <w:pPr>
        <w:pStyle w:val="ListParagraph"/>
        <w:numPr>
          <w:ilvl w:val="0"/>
          <w:numId w:val="17"/>
        </w:numPr>
      </w:pPr>
      <w:r w:rsidRPr="00280CB6">
        <w:t>The same base identified in the recipient's negotiated indirect cost rate agreement, if the recipient has a federally negotiated indirect cost rate agreement; or</w:t>
      </w:r>
    </w:p>
    <w:p w14:paraId="41CE95CD" w14:textId="77777777" w:rsidR="00EB15F8" w:rsidRDefault="00EB15F8" w:rsidP="00EB15F8">
      <w:pPr>
        <w:pStyle w:val="ListParagraph"/>
        <w:numPr>
          <w:ilvl w:val="0"/>
          <w:numId w:val="17"/>
        </w:numPr>
      </w:pPr>
      <w:r w:rsidRPr="00280CB6">
        <w:t>The Modified Total Direct Cost (MTDC) base, in cases where the recipient does not have a federally negotiated indirect cost rate agreement or, with prior approval of the awarding bureau or office, when the recipient's federally negotiated indirect cost rate agreement base is only a subset of the MTDC (such as salaries and wages) and the use of the MTDC still results in an overall reduction in the total indirect cost recovered. MTDC is the base defined by </w:t>
      </w:r>
      <w:r w:rsidRPr="001C1C2F">
        <w:t xml:space="preserve">2 CFR 200.1 </w:t>
      </w:r>
      <w:hyperlink r:id="rId10" w:anchor="p-200.1(Modified%20Total%20Direct%20Cost%20(MTDC))" w:history="1">
        <w:r w:rsidRPr="00663883">
          <w:rPr>
            <w:rStyle w:val="Hyperlink"/>
          </w:rPr>
          <w:t>“Modified Total Direct Cost (MTDC).”</w:t>
        </w:r>
      </w:hyperlink>
    </w:p>
    <w:p w14:paraId="45066102" w14:textId="2A8C4582" w:rsidR="00EB15F8" w:rsidRPr="00EB15F8" w:rsidRDefault="00EB15F8" w:rsidP="00EB15F8">
      <w:pPr>
        <w:pStyle w:val="ListParagraph"/>
        <w:numPr>
          <w:ilvl w:val="0"/>
          <w:numId w:val="17"/>
        </w:numPr>
      </w:pPr>
      <w:r>
        <w:t>In c</w:t>
      </w:r>
      <w:r w:rsidRPr="00280CB6">
        <w:t>ases where the recipient does not have a federally negotiated indirect cost rate agreement, DOI will not use a modified rate based upon total direct cost or other base not identified in the federally negotiated indirect cost rate agreement or defined within </w:t>
      </w:r>
      <w:r w:rsidRPr="001C1C2F">
        <w:t xml:space="preserve">2 CFR 200.1 </w:t>
      </w:r>
      <w:hyperlink r:id="rId11" w:anchor="p-200.1(Modified%20Total%20Direct%20Cost%20(MTDC))" w:history="1">
        <w:r w:rsidRPr="00663883">
          <w:rPr>
            <w:rStyle w:val="Hyperlink"/>
          </w:rPr>
          <w:t>“Modified Total Direct Cost (MTDC).”</w:t>
        </w:r>
      </w:hyperlink>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t>as long as</w:t>
      </w:r>
      <w:proofErr w:type="gramEnd"/>
      <w:r>
        <w:t xml:space="preserve">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lastRenderedPageBreak/>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w:t>
      </w:r>
      <w:proofErr w:type="gramStart"/>
      <w:r>
        <w:t>each individual</w:t>
      </w:r>
      <w:proofErr w:type="gramEnd"/>
      <w:r>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w:t>
      </w:r>
      <w:r>
        <w:lastRenderedPageBreak/>
        <w:t xml:space="preserve">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 xml:space="preserve">Individuals are reminded not to submit any personal information in the biographical sketch.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w:t>
      </w:r>
      <w:proofErr w:type="gramStart"/>
      <w:r>
        <w:rPr>
          <w:i/>
          <w:iCs/>
        </w:rPr>
        <w:t>a required</w:t>
      </w:r>
      <w:proofErr w:type="gramEnd"/>
      <w:r>
        <w:rPr>
          <w:i/>
          <w:iCs/>
        </w:rPr>
        <w:t xml:space="preserve">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5D06F980" w14:textId="77777777" w:rsidR="002E2535" w:rsidRDefault="00690553" w:rsidP="00690553">
      <w:r>
        <w:t xml:space="preserve">This document provides instructions on submission of current and pending (other) support information for </w:t>
      </w:r>
      <w:proofErr w:type="gramStart"/>
      <w:r>
        <w:t>each individual</w:t>
      </w:r>
      <w:proofErr w:type="gramEnd"/>
      <w:r>
        <w:t xml:space="preserve">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lastRenderedPageBreak/>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w:t>
      </w:r>
      <w:proofErr w:type="gramStart"/>
      <w:r>
        <w:t>entitled,</w:t>
      </w:r>
      <w:proofErr w:type="gramEnd"/>
      <w:r>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 xml:space="preserve">Individuals are reminded not to submit any personal information in the current and pending (other) support.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w:t>
      </w:r>
      <w:proofErr w:type="gramStart"/>
      <w:r w:rsidR="00E207BD" w:rsidRPr="00E207BD">
        <w:rPr>
          <w:i/>
          <w:iCs/>
        </w:rPr>
        <w:t>a required</w:t>
      </w:r>
      <w:proofErr w:type="gramEnd"/>
      <w:r w:rsidR="00E207BD" w:rsidRPr="00E207BD">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lastRenderedPageBreak/>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2E2535" w:rsidRDefault="00F511CD" w:rsidP="00F511CD">
      <w:pPr>
        <w:rPr>
          <w:i/>
          <w:color w:val="00B050"/>
        </w:rPr>
      </w:pPr>
    </w:p>
    <w:p w14:paraId="7F68BA11" w14:textId="097D82A6" w:rsidR="00F511CD" w:rsidRPr="00B416D9" w:rsidRDefault="00F511CD" w:rsidP="00F511CD">
      <w:pPr>
        <w:rPr>
          <w:b/>
          <w:bCs/>
          <w:iCs/>
          <w:color w:val="0C3512" w:themeColor="accent3" w:themeShade="80"/>
          <w:u w:val="single"/>
        </w:rPr>
      </w:pPr>
      <w:r w:rsidRPr="00B416D9">
        <w:rPr>
          <w:b/>
          <w:bCs/>
          <w:iCs/>
          <w:color w:val="0C3512" w:themeColor="accent3" w:themeShade="80"/>
          <w:u w:val="single"/>
        </w:rPr>
        <w:t>Proposals will be evaluated on the following criteria:</w:t>
      </w:r>
    </w:p>
    <w:p w14:paraId="6FB7111D" w14:textId="77777777" w:rsidR="00F511CD" w:rsidRPr="00B416D9" w:rsidRDefault="00F511CD" w:rsidP="00F511CD">
      <w:pPr>
        <w:rPr>
          <w:iCs/>
          <w:color w:val="0C3512" w:themeColor="accent3" w:themeShade="80"/>
        </w:rPr>
      </w:pPr>
    </w:p>
    <w:p w14:paraId="5D1877F3" w14:textId="4C2AC0F8" w:rsidR="00F511CD" w:rsidRPr="00B416D9" w:rsidRDefault="00F511CD" w:rsidP="00F511CD">
      <w:pPr>
        <w:rPr>
          <w:b/>
          <w:bCs/>
          <w:iCs/>
          <w:color w:val="0C3512" w:themeColor="accent3" w:themeShade="80"/>
        </w:rPr>
      </w:pPr>
      <w:r w:rsidRPr="00B416D9">
        <w:rPr>
          <w:b/>
          <w:bCs/>
          <w:iCs/>
          <w:color w:val="0C3512" w:themeColor="accent3" w:themeShade="80"/>
        </w:rPr>
        <w:t>Purpose, Objectives, and Relevance: (</w:t>
      </w:r>
      <w:r w:rsidR="00F90C69" w:rsidRPr="00B416D9">
        <w:rPr>
          <w:b/>
          <w:bCs/>
          <w:iCs/>
          <w:color w:val="0C3512" w:themeColor="accent3" w:themeShade="80"/>
        </w:rPr>
        <w:t>30</w:t>
      </w:r>
      <w:r w:rsidRPr="00B416D9">
        <w:rPr>
          <w:b/>
          <w:bCs/>
          <w:iCs/>
          <w:color w:val="0C3512" w:themeColor="accent3" w:themeShade="80"/>
        </w:rPr>
        <w:t xml:space="preserve"> points)</w:t>
      </w:r>
    </w:p>
    <w:p w14:paraId="0FF56A2D" w14:textId="115A9A07" w:rsidR="00D1272D" w:rsidRPr="00B416D9" w:rsidRDefault="00D1272D" w:rsidP="00D1272D">
      <w:pPr>
        <w:autoSpaceDE w:val="0"/>
        <w:autoSpaceDN w:val="0"/>
        <w:adjustRightInd w:val="0"/>
        <w:spacing w:line="240" w:lineRule="atLeast"/>
        <w:ind w:left="360"/>
        <w:rPr>
          <w:color w:val="0C3512" w:themeColor="accent3" w:themeShade="80"/>
        </w:rPr>
      </w:pPr>
      <w:r w:rsidRPr="00B416D9">
        <w:rPr>
          <w:rFonts w:ascii="Calibri" w:hAnsi="Calibri"/>
          <w:color w:val="0C3512" w:themeColor="accent3" w:themeShade="80"/>
          <w:sz w:val="22"/>
          <w:szCs w:val="22"/>
        </w:rPr>
        <w:t>(</w:t>
      </w:r>
      <w:r w:rsidRPr="00B416D9">
        <w:rPr>
          <w:color w:val="0C3512" w:themeColor="accent3" w:themeShade="80"/>
        </w:rPr>
        <w:t xml:space="preserve">a) How well does the proposed research clearly address </w:t>
      </w:r>
      <w:r w:rsidR="001877AB" w:rsidRPr="00B416D9">
        <w:rPr>
          <w:color w:val="0C3512" w:themeColor="accent3" w:themeShade="80"/>
        </w:rPr>
        <w:t xml:space="preserve">incorporating </w:t>
      </w:r>
      <w:r w:rsidR="00BC107C" w:rsidRPr="00B416D9">
        <w:rPr>
          <w:color w:val="0C3512" w:themeColor="accent3" w:themeShade="80"/>
        </w:rPr>
        <w:t xml:space="preserve">AI-generated water top widths </w:t>
      </w:r>
      <w:r w:rsidR="001877AB" w:rsidRPr="00B416D9">
        <w:rPr>
          <w:color w:val="0C3512" w:themeColor="accent3" w:themeShade="80"/>
        </w:rPr>
        <w:t xml:space="preserve">while </w:t>
      </w:r>
      <w:r w:rsidRPr="00B416D9">
        <w:rPr>
          <w:color w:val="0C3512" w:themeColor="accent3" w:themeShade="80"/>
        </w:rPr>
        <w:t xml:space="preserve">operating the </w:t>
      </w:r>
      <w:proofErr w:type="spellStart"/>
      <w:r w:rsidRPr="00B416D9">
        <w:rPr>
          <w:color w:val="0C3512" w:themeColor="accent3" w:themeShade="80"/>
        </w:rPr>
        <w:t>Skydio</w:t>
      </w:r>
      <w:proofErr w:type="spellEnd"/>
      <w:r w:rsidRPr="00B416D9">
        <w:rPr>
          <w:color w:val="0C3512" w:themeColor="accent3" w:themeShade="80"/>
        </w:rPr>
        <w:t xml:space="preserve"> Dock for X10 and measuring surface velocities and discharge using IV algorithms?</w:t>
      </w:r>
    </w:p>
    <w:p w14:paraId="6EA8C0CB" w14:textId="6484145B" w:rsidR="00487684" w:rsidRDefault="00D1272D" w:rsidP="009D43A6">
      <w:pPr>
        <w:autoSpaceDE w:val="0"/>
        <w:autoSpaceDN w:val="0"/>
        <w:adjustRightInd w:val="0"/>
        <w:spacing w:line="240" w:lineRule="atLeast"/>
        <w:ind w:left="360"/>
        <w:rPr>
          <w:color w:val="0C3512" w:themeColor="accent3" w:themeShade="80"/>
        </w:rPr>
      </w:pPr>
      <w:r w:rsidRPr="00B416D9">
        <w:rPr>
          <w:color w:val="0C3512" w:themeColor="accent3" w:themeShade="80"/>
        </w:rPr>
        <w:t>(b) How well are the objectives defined, measurable, and realistic for the project’s anticipated timeframe?</w:t>
      </w:r>
    </w:p>
    <w:p w14:paraId="56EC7504" w14:textId="77777777" w:rsidR="00B416D9" w:rsidRPr="00B416D9" w:rsidRDefault="00B416D9" w:rsidP="009D43A6">
      <w:pPr>
        <w:autoSpaceDE w:val="0"/>
        <w:autoSpaceDN w:val="0"/>
        <w:adjustRightInd w:val="0"/>
        <w:spacing w:line="240" w:lineRule="atLeast"/>
        <w:ind w:left="360"/>
        <w:rPr>
          <w:color w:val="0C3512" w:themeColor="accent3" w:themeShade="80"/>
        </w:rPr>
      </w:pPr>
    </w:p>
    <w:p w14:paraId="0CFA0D4F" w14:textId="49134578" w:rsidR="00F511CD" w:rsidRPr="00B416D9" w:rsidRDefault="00F511CD" w:rsidP="00F511CD">
      <w:pPr>
        <w:rPr>
          <w:b/>
          <w:bCs/>
          <w:iCs/>
          <w:color w:val="0C3512" w:themeColor="accent3" w:themeShade="80"/>
        </w:rPr>
      </w:pPr>
      <w:r w:rsidRPr="00B416D9">
        <w:rPr>
          <w:b/>
          <w:bCs/>
          <w:iCs/>
          <w:color w:val="0C3512" w:themeColor="accent3" w:themeShade="80"/>
        </w:rPr>
        <w:t>Technical Approach: (25 points)</w:t>
      </w:r>
    </w:p>
    <w:p w14:paraId="0DD1BF40" w14:textId="77777777" w:rsidR="00AA6563" w:rsidRPr="00B416D9" w:rsidRDefault="00AA6563" w:rsidP="00AA6563">
      <w:pPr>
        <w:autoSpaceDE w:val="0"/>
        <w:autoSpaceDN w:val="0"/>
        <w:adjustRightInd w:val="0"/>
        <w:spacing w:line="240" w:lineRule="atLeast"/>
        <w:ind w:left="360"/>
      </w:pPr>
      <w:r w:rsidRPr="00B416D9">
        <w:lastRenderedPageBreak/>
        <w:t>(a)</w:t>
      </w:r>
      <w:r w:rsidRPr="00B416D9">
        <w:tab/>
        <w:t>How well does the project summary provide a description of the relationship between partners, tasks, milestones, and goals? Are the milestones supported by a schedule that can be accomplished during the period of performance?</w:t>
      </w:r>
    </w:p>
    <w:p w14:paraId="42A2AD6D" w14:textId="1DEFE791" w:rsidR="00AA6563" w:rsidRPr="00B416D9" w:rsidRDefault="00AA6563" w:rsidP="00AA6563">
      <w:pPr>
        <w:autoSpaceDE w:val="0"/>
        <w:autoSpaceDN w:val="0"/>
        <w:adjustRightInd w:val="0"/>
        <w:spacing w:line="240" w:lineRule="atLeast"/>
        <w:ind w:left="360"/>
      </w:pPr>
      <w:proofErr w:type="gramStart"/>
      <w:r w:rsidRPr="00B416D9">
        <w:t>(b)</w:t>
      </w:r>
      <w:r w:rsidRPr="00B416D9">
        <w:tab/>
        <w:t>How well does</w:t>
      </w:r>
      <w:proofErr w:type="gramEnd"/>
      <w:r w:rsidRPr="00B416D9">
        <w:t xml:space="preserve"> the applicant demonstrate </w:t>
      </w:r>
      <w:r w:rsidR="001877AB" w:rsidRPr="00B416D9">
        <w:t xml:space="preserve">AI capacity where </w:t>
      </w:r>
      <w:r w:rsidRPr="00B416D9">
        <w:t>drone</w:t>
      </w:r>
      <w:r w:rsidR="001877AB" w:rsidRPr="00B416D9">
        <w:t xml:space="preserve">-based </w:t>
      </w:r>
      <w:r w:rsidRPr="00B416D9">
        <w:t xml:space="preserve">surface velocities and discharge </w:t>
      </w:r>
      <w:r w:rsidR="001877AB" w:rsidRPr="00B416D9">
        <w:t xml:space="preserve">can be measured </w:t>
      </w:r>
      <w:r w:rsidRPr="00B416D9">
        <w:t>using proven equipment, software, and methodologies?</w:t>
      </w:r>
    </w:p>
    <w:p w14:paraId="469F7519" w14:textId="56B0BAA0" w:rsidR="006F7978" w:rsidRPr="00B416D9" w:rsidRDefault="006F7978" w:rsidP="00AA6563">
      <w:pPr>
        <w:autoSpaceDE w:val="0"/>
        <w:autoSpaceDN w:val="0"/>
        <w:adjustRightInd w:val="0"/>
        <w:spacing w:line="240" w:lineRule="atLeast"/>
        <w:ind w:left="360"/>
      </w:pPr>
      <w:r w:rsidRPr="00B416D9">
        <w:t>(c) Does the applicant have ready access to adequate field</w:t>
      </w:r>
      <w:r w:rsidR="00752724" w:rsidRPr="00B416D9">
        <w:t>-</w:t>
      </w:r>
      <w:r w:rsidRPr="00B416D9">
        <w:t>testing locations at recipient facilities?</w:t>
      </w:r>
    </w:p>
    <w:p w14:paraId="3988EF5D" w14:textId="329CECD4" w:rsidR="00F511CD" w:rsidRPr="00B416D9" w:rsidRDefault="00AA6563" w:rsidP="009D43A6">
      <w:pPr>
        <w:ind w:left="360"/>
      </w:pPr>
      <w:r w:rsidRPr="00B416D9">
        <w:t>(</w:t>
      </w:r>
      <w:r w:rsidR="006F7978" w:rsidRPr="00B416D9">
        <w:t>d</w:t>
      </w:r>
      <w:r w:rsidRPr="00B416D9">
        <w:t>) How well described are the QA/QC procedures to evaluate the accuracy and reliability of the measured surface velocities and discharge and are they adequate?</w:t>
      </w:r>
    </w:p>
    <w:p w14:paraId="09E17B76" w14:textId="0A174EE6" w:rsidR="001877AB" w:rsidRPr="001762BF" w:rsidRDefault="001877AB" w:rsidP="009D43A6">
      <w:pPr>
        <w:ind w:left="360"/>
        <w:rPr>
          <w:highlight w:val="yellow"/>
        </w:rPr>
      </w:pPr>
      <w:r w:rsidRPr="00B416D9">
        <w:t xml:space="preserve">(e) </w:t>
      </w:r>
      <w:r>
        <w:t xml:space="preserve">How well does the proposed research align with </w:t>
      </w:r>
      <w:r w:rsidRPr="00B831C1">
        <w:t>Executive Order 14179 – Removing Barriers to American Leadership in Artificial Intelligence</w:t>
      </w:r>
      <w:r w:rsidR="00A61566">
        <w:t xml:space="preserve"> (January</w:t>
      </w:r>
      <w:r w:rsidR="00BF77B9">
        <w:t xml:space="preserve"> 23, 2025)</w:t>
      </w:r>
      <w:r>
        <w:t xml:space="preserve">, which gives </w:t>
      </w:r>
      <w:r w:rsidRPr="00B831C1">
        <w:t>the USGS NGWOS program authoriz</w:t>
      </w:r>
      <w:r>
        <w:t>ation</w:t>
      </w:r>
      <w:r w:rsidRPr="00B831C1">
        <w:t xml:space="preserve"> and encourage</w:t>
      </w:r>
      <w:r>
        <w:t>ment</w:t>
      </w:r>
      <w:r w:rsidRPr="00B831C1">
        <w:t xml:space="preserve"> to conduct structured pilots of AI-enabled sensing systems that improve safety, performance, and mission delivery</w:t>
      </w:r>
      <w:r>
        <w:t>?</w:t>
      </w:r>
    </w:p>
    <w:p w14:paraId="0B985A86" w14:textId="77777777" w:rsidR="009D43A6" w:rsidRPr="00B416D9" w:rsidRDefault="009D43A6" w:rsidP="00AA6563">
      <w:pPr>
        <w:rPr>
          <w:iCs/>
          <w:color w:val="00B050"/>
        </w:rPr>
      </w:pPr>
    </w:p>
    <w:p w14:paraId="55539A27" w14:textId="77777777" w:rsidR="00F511CD" w:rsidRPr="00B416D9" w:rsidRDefault="00F511CD" w:rsidP="00F511CD">
      <w:pPr>
        <w:rPr>
          <w:b/>
          <w:bCs/>
          <w:iCs/>
          <w:color w:val="0C3512" w:themeColor="accent3" w:themeShade="80"/>
        </w:rPr>
      </w:pPr>
      <w:r w:rsidRPr="00B416D9">
        <w:rPr>
          <w:b/>
          <w:bCs/>
          <w:iCs/>
          <w:color w:val="0C3512" w:themeColor="accent3" w:themeShade="80"/>
        </w:rPr>
        <w:t>Budget Justification and Clarity: (25 points)</w:t>
      </w:r>
    </w:p>
    <w:p w14:paraId="5F58A35B" w14:textId="53FEBAAE" w:rsidR="003B01C3" w:rsidRPr="00B416D9" w:rsidRDefault="003B01C3" w:rsidP="003B01C3">
      <w:pPr>
        <w:autoSpaceDE w:val="0"/>
        <w:autoSpaceDN w:val="0"/>
        <w:adjustRightInd w:val="0"/>
        <w:spacing w:line="240" w:lineRule="atLeast"/>
        <w:ind w:firstLine="360"/>
        <w:rPr>
          <w:color w:val="0C3512" w:themeColor="accent3" w:themeShade="80"/>
        </w:rPr>
      </w:pPr>
      <w:r w:rsidRPr="00B416D9">
        <w:rPr>
          <w:color w:val="0C3512" w:themeColor="accent3" w:themeShade="80"/>
        </w:rPr>
        <w:t>(a)</w:t>
      </w:r>
      <w:r w:rsidRPr="00B416D9">
        <w:rPr>
          <w:color w:val="0C3512" w:themeColor="accent3" w:themeShade="80"/>
        </w:rPr>
        <w:tab/>
        <w:t>The staff is sufficient to accomplish proposed goals.</w:t>
      </w:r>
    </w:p>
    <w:p w14:paraId="667FB432" w14:textId="77777777" w:rsidR="003B01C3" w:rsidRPr="00B416D9" w:rsidRDefault="003B01C3" w:rsidP="003B01C3">
      <w:pPr>
        <w:autoSpaceDE w:val="0"/>
        <w:autoSpaceDN w:val="0"/>
        <w:adjustRightInd w:val="0"/>
        <w:spacing w:line="240" w:lineRule="atLeast"/>
        <w:ind w:left="360"/>
        <w:rPr>
          <w:color w:val="0C3512" w:themeColor="accent3" w:themeShade="80"/>
        </w:rPr>
      </w:pPr>
      <w:r w:rsidRPr="00B416D9">
        <w:rPr>
          <w:color w:val="0C3512" w:themeColor="accent3" w:themeShade="80"/>
        </w:rPr>
        <w:t>(b)</w:t>
      </w:r>
      <w:r w:rsidRPr="00B416D9">
        <w:rPr>
          <w:color w:val="0C3512" w:themeColor="accent3" w:themeShade="80"/>
        </w:rPr>
        <w:tab/>
        <w:t>The budget line items are appropriate, reasonable, and commensurate with the level of effort needed to accomplish project objectives.</w:t>
      </w:r>
    </w:p>
    <w:p w14:paraId="5110DFD0" w14:textId="4C30CFB5" w:rsidR="00030469" w:rsidRPr="006639A6" w:rsidRDefault="00030469" w:rsidP="003B01C3">
      <w:pPr>
        <w:rPr>
          <w:iCs/>
          <w:color w:val="0C3512" w:themeColor="accent3" w:themeShade="80"/>
          <w:highlight w:val="yellow"/>
        </w:rPr>
      </w:pPr>
    </w:p>
    <w:p w14:paraId="76DFE125" w14:textId="4F43A80F" w:rsidR="00F511CD" w:rsidRPr="00B416D9" w:rsidRDefault="00F511CD" w:rsidP="00F511CD">
      <w:pPr>
        <w:rPr>
          <w:b/>
          <w:bCs/>
          <w:iCs/>
          <w:color w:val="0C3512" w:themeColor="accent3" w:themeShade="80"/>
        </w:rPr>
      </w:pPr>
      <w:r w:rsidRPr="00B416D9">
        <w:rPr>
          <w:b/>
          <w:bCs/>
          <w:iCs/>
          <w:color w:val="0C3512" w:themeColor="accent3" w:themeShade="80"/>
        </w:rPr>
        <w:t>Qualifications, Experience, Past Performance: (</w:t>
      </w:r>
      <w:r w:rsidR="00F90C69" w:rsidRPr="00B416D9">
        <w:rPr>
          <w:b/>
          <w:bCs/>
          <w:iCs/>
          <w:color w:val="0C3512" w:themeColor="accent3" w:themeShade="80"/>
        </w:rPr>
        <w:t>20</w:t>
      </w:r>
      <w:r w:rsidRPr="00B416D9">
        <w:rPr>
          <w:b/>
          <w:bCs/>
          <w:iCs/>
          <w:color w:val="0C3512" w:themeColor="accent3" w:themeShade="80"/>
        </w:rPr>
        <w:t xml:space="preserve"> points)</w:t>
      </w:r>
    </w:p>
    <w:p w14:paraId="40C40DEA" w14:textId="77777777" w:rsidR="009D43A6" w:rsidRPr="00B416D9" w:rsidRDefault="009D43A6" w:rsidP="009D43A6">
      <w:pPr>
        <w:numPr>
          <w:ilvl w:val="0"/>
          <w:numId w:val="16"/>
        </w:numPr>
        <w:autoSpaceDE w:val="0"/>
        <w:autoSpaceDN w:val="0"/>
        <w:adjustRightInd w:val="0"/>
        <w:rPr>
          <w:color w:val="000000"/>
        </w:rPr>
      </w:pPr>
      <w:r w:rsidRPr="00B416D9">
        <w:rPr>
          <w:color w:val="0C3512" w:themeColor="accent3" w:themeShade="80"/>
        </w:rPr>
        <w:t xml:space="preserve">How well does the applicant demonstrate </w:t>
      </w:r>
      <w:r w:rsidRPr="00B416D9">
        <w:rPr>
          <w:rStyle w:val="normaltextrun"/>
          <w:color w:val="0C3512" w:themeColor="accent3" w:themeShade="80"/>
          <w:shd w:val="clear" w:color="auto" w:fill="FFFFFF"/>
        </w:rPr>
        <w:t>they can perform research</w:t>
      </w:r>
      <w:r w:rsidRPr="00B416D9">
        <w:rPr>
          <w:color w:val="0C3512" w:themeColor="accent3" w:themeShade="80"/>
        </w:rPr>
        <w:t xml:space="preserve"> in remote drone operations and IV processing and data </w:t>
      </w:r>
      <w:r w:rsidRPr="00B416D9">
        <w:rPr>
          <w:color w:val="000000"/>
        </w:rPr>
        <w:t>analysis?</w:t>
      </w:r>
    </w:p>
    <w:p w14:paraId="7A696AF3" w14:textId="3B0F36FB" w:rsidR="006B2BE6" w:rsidRPr="00B416D9" w:rsidRDefault="006B2BE6" w:rsidP="009D43A6">
      <w:pPr>
        <w:numPr>
          <w:ilvl w:val="0"/>
          <w:numId w:val="16"/>
        </w:numPr>
        <w:autoSpaceDE w:val="0"/>
        <w:autoSpaceDN w:val="0"/>
        <w:adjustRightInd w:val="0"/>
        <w:rPr>
          <w:color w:val="000000"/>
        </w:rPr>
      </w:pPr>
      <w:r w:rsidRPr="00B416D9">
        <w:rPr>
          <w:color w:val="000000"/>
        </w:rPr>
        <w:t>What is applicant’s depth of experience in such research as demonstrated by scientific publications and completed projects in the research area?</w:t>
      </w:r>
    </w:p>
    <w:p w14:paraId="3C56A772" w14:textId="29CBD719" w:rsidR="009D43A6" w:rsidRPr="00B416D9" w:rsidRDefault="009D43A6" w:rsidP="009D43A6">
      <w:pPr>
        <w:autoSpaceDE w:val="0"/>
        <w:autoSpaceDN w:val="0"/>
        <w:adjustRightInd w:val="0"/>
        <w:spacing w:line="240" w:lineRule="atLeast"/>
        <w:ind w:firstLine="360"/>
      </w:pPr>
      <w:r w:rsidRPr="00B416D9">
        <w:t>(</w:t>
      </w:r>
      <w:r w:rsidR="006B2BE6" w:rsidRPr="00B416D9">
        <w:t>c</w:t>
      </w:r>
      <w:r w:rsidRPr="00B416D9">
        <w:t>)</w:t>
      </w:r>
      <w:r w:rsidRPr="00B416D9">
        <w:tab/>
        <w:t>How well does the applicant demonstrate that they can complete the proposed project?</w:t>
      </w:r>
    </w:p>
    <w:p w14:paraId="6362874B" w14:textId="72ED1EE1" w:rsidR="009D43A6" w:rsidRDefault="009D43A6" w:rsidP="009D43A6">
      <w:pPr>
        <w:spacing w:line="240" w:lineRule="atLeast"/>
        <w:ind w:left="360"/>
      </w:pPr>
      <w:r w:rsidRPr="00B416D9">
        <w:t>(</w:t>
      </w:r>
      <w:r w:rsidR="006B2BE6" w:rsidRPr="00B416D9">
        <w:t>d</w:t>
      </w:r>
      <w:r w:rsidRPr="00B416D9">
        <w:t>)</w:t>
      </w:r>
      <w:r w:rsidRPr="00B416D9">
        <w:tab/>
        <w:t>How well does the applicant demonstrate they have applied these methods in field settings?</w:t>
      </w:r>
    </w:p>
    <w:p w14:paraId="3D27663A" w14:textId="785A8586" w:rsidR="006B2BE6" w:rsidRPr="009D43A6" w:rsidRDefault="006B2BE6" w:rsidP="009D43A6">
      <w:pPr>
        <w:spacing w:line="240" w:lineRule="atLeast"/>
        <w:ind w:left="360"/>
      </w:pPr>
      <w:r>
        <w:t xml:space="preserve">(e) </w:t>
      </w:r>
      <w:r w:rsidRPr="006B2BE6">
        <w:t>How well does the applicant’s past and current assistance demonstrate they have completed project goals in a timely manner and with acceptable quality?</w:t>
      </w:r>
    </w:p>
    <w:p w14:paraId="37E2A619" w14:textId="77777777" w:rsidR="00F511CD" w:rsidRPr="00D969E9" w:rsidRDefault="00F511CD" w:rsidP="00F511C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2F540653" w14:textId="77777777" w:rsidR="00451C70" w:rsidRDefault="00451C70"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65C230E5" w14:textId="77777777" w:rsidR="00EB4A31" w:rsidRDefault="00EB4A31" w:rsidP="0001503F">
      <w:pPr>
        <w:rPr>
          <w:iCs/>
          <w:color w:val="000000"/>
        </w:rPr>
      </w:pPr>
    </w:p>
    <w:p w14:paraId="250E1DD2" w14:textId="77777777" w:rsidR="00EB4A31" w:rsidRPr="00D92A44" w:rsidRDefault="00EB4A31" w:rsidP="00EB4A31">
      <w:pPr>
        <w:rPr>
          <w:iCs/>
          <w:color w:val="000000"/>
        </w:rPr>
      </w:pPr>
      <w:r w:rsidRPr="00D92A44">
        <w:rPr>
          <w:b/>
          <w:bCs/>
          <w:i/>
          <w:iCs/>
          <w:color w:val="000000"/>
          <w:u w:val="single"/>
        </w:rPr>
        <w:t>Reporting</w:t>
      </w:r>
      <w:r w:rsidRPr="00D92A44">
        <w:rPr>
          <w:iCs/>
          <w:color w:val="000000"/>
        </w:rPr>
        <w:t> </w:t>
      </w:r>
    </w:p>
    <w:p w14:paraId="299AC879" w14:textId="77777777" w:rsidR="00EB4A31" w:rsidRPr="00D92A44" w:rsidRDefault="00EB4A31" w:rsidP="00EB4A31">
      <w:pPr>
        <w:rPr>
          <w:iCs/>
          <w:color w:val="000000"/>
        </w:rPr>
      </w:pPr>
      <w:r w:rsidRPr="00D92A44">
        <w:rPr>
          <w:iCs/>
          <w:color w:val="000000"/>
        </w:rPr>
        <w:t> </w:t>
      </w:r>
    </w:p>
    <w:p w14:paraId="320992DD" w14:textId="77777777" w:rsidR="00EB4A31" w:rsidRPr="00D92A44" w:rsidRDefault="00EB4A31" w:rsidP="00EB4A31">
      <w:pPr>
        <w:rPr>
          <w:iCs/>
          <w:color w:val="000000"/>
        </w:rPr>
      </w:pPr>
      <w:r w:rsidRPr="00D92A44">
        <w:rPr>
          <w:iCs/>
          <w:color w:val="000000"/>
        </w:rPr>
        <w:t>The recipient’s Notice of Award will detail all reporting requirements, including frequency, due dates, and instructions for requesting extensions. In general, but not limited to, recipients must: </w:t>
      </w:r>
    </w:p>
    <w:p w14:paraId="3453F803" w14:textId="77777777" w:rsidR="00EB4A31" w:rsidRPr="00D92A44" w:rsidRDefault="00EB4A31" w:rsidP="00EB4A31">
      <w:pPr>
        <w:rPr>
          <w:iCs/>
          <w:color w:val="000000"/>
        </w:rPr>
      </w:pPr>
      <w:r w:rsidRPr="00D92A44">
        <w:rPr>
          <w:iCs/>
          <w:color w:val="000000"/>
        </w:rPr>
        <w:t> </w:t>
      </w:r>
    </w:p>
    <w:p w14:paraId="145E48C2" w14:textId="77777777" w:rsidR="00EB4A31" w:rsidRPr="00D92A44" w:rsidRDefault="00EB4A31" w:rsidP="00EB4A31">
      <w:pPr>
        <w:numPr>
          <w:ilvl w:val="0"/>
          <w:numId w:val="19"/>
        </w:numPr>
        <w:rPr>
          <w:iCs/>
          <w:color w:val="000000"/>
        </w:rPr>
      </w:pPr>
      <w:r w:rsidRPr="00D92A44">
        <w:rPr>
          <w:iCs/>
          <w:color w:val="000000"/>
        </w:rPr>
        <w:t>Submit Federal Financial reports and Program Performance reports. </w:t>
      </w:r>
    </w:p>
    <w:p w14:paraId="001A00C3" w14:textId="77777777" w:rsidR="00EB4A31" w:rsidRPr="00D92A44" w:rsidRDefault="00EB4A31" w:rsidP="00EB4A31">
      <w:pPr>
        <w:numPr>
          <w:ilvl w:val="0"/>
          <w:numId w:val="20"/>
        </w:numPr>
        <w:rPr>
          <w:iCs/>
          <w:color w:val="000000"/>
        </w:rPr>
      </w:pPr>
      <w:r w:rsidRPr="00D92A44">
        <w:rPr>
          <w:iCs/>
          <w:color w:val="000000"/>
        </w:rPr>
        <w:t>Use the </w:t>
      </w:r>
      <w:hyperlink r:id="rId12" w:tgtFrame="_blank" w:history="1">
        <w:r w:rsidRPr="00D92A44">
          <w:rPr>
            <w:rStyle w:val="Hyperlink"/>
            <w:iCs/>
          </w:rPr>
          <w:t>Federal Financial Report (SF-425) form</w:t>
        </w:r>
      </w:hyperlink>
      <w:r w:rsidRPr="00D92A44">
        <w:rPr>
          <w:iCs/>
          <w:color w:val="000000"/>
        </w:rPr>
        <w:t> for financial reporting, </w:t>
      </w:r>
    </w:p>
    <w:p w14:paraId="009BFADB" w14:textId="77777777" w:rsidR="00EB4A31" w:rsidRPr="00D92A44" w:rsidRDefault="00EB4A31" w:rsidP="00EB4A31">
      <w:pPr>
        <w:numPr>
          <w:ilvl w:val="0"/>
          <w:numId w:val="21"/>
        </w:numPr>
        <w:rPr>
          <w:iCs/>
          <w:color w:val="000000"/>
        </w:rPr>
      </w:pPr>
      <w:r w:rsidRPr="00D92A44">
        <w:rPr>
          <w:iCs/>
          <w:color w:val="000000"/>
        </w:rPr>
        <w:t>Monitor award activities and report on program performance per </w:t>
      </w:r>
      <w:hyperlink r:id="rId13" w:tgtFrame="_blank" w:history="1">
        <w:r w:rsidRPr="00D92A44">
          <w:rPr>
            <w:rStyle w:val="Hyperlink"/>
            <w:iCs/>
          </w:rPr>
          <w:t>2 CFR 200.329</w:t>
        </w:r>
      </w:hyperlink>
      <w:r w:rsidRPr="00D92A44">
        <w:rPr>
          <w:iCs/>
          <w:color w:val="000000"/>
        </w:rPr>
        <w:t>, </w:t>
      </w:r>
    </w:p>
    <w:p w14:paraId="7AF35802" w14:textId="77777777" w:rsidR="00EB4A31" w:rsidRPr="00D92A44" w:rsidRDefault="00EB4A31" w:rsidP="00EB4A31">
      <w:pPr>
        <w:numPr>
          <w:ilvl w:val="0"/>
          <w:numId w:val="22"/>
        </w:numPr>
        <w:rPr>
          <w:iCs/>
          <w:color w:val="000000"/>
        </w:rPr>
      </w:pPr>
      <w:r w:rsidRPr="00D92A44">
        <w:rPr>
          <w:iCs/>
          <w:color w:val="000000"/>
        </w:rPr>
        <w:t>Promptly notify the awarding program in writing of any issues, delays, or conditions impairing award objectives per </w:t>
      </w:r>
      <w:hyperlink r:id="rId14" w:tgtFrame="_blank" w:history="1">
        <w:r w:rsidRPr="00D92A44">
          <w:rPr>
            <w:rStyle w:val="Hyperlink"/>
            <w:iCs/>
          </w:rPr>
          <w:t>2 CFR 200.329(e)</w:t>
        </w:r>
      </w:hyperlink>
      <w:r w:rsidRPr="00D92A44">
        <w:rPr>
          <w:iCs/>
          <w:color w:val="000000"/>
        </w:rPr>
        <w:t>, </w:t>
      </w:r>
    </w:p>
    <w:p w14:paraId="648432A2" w14:textId="77777777" w:rsidR="00EB4A31" w:rsidRPr="00D92A44" w:rsidRDefault="00EB4A31" w:rsidP="00EB4A31">
      <w:pPr>
        <w:numPr>
          <w:ilvl w:val="0"/>
          <w:numId w:val="23"/>
        </w:numPr>
        <w:rPr>
          <w:iCs/>
          <w:color w:val="000000"/>
        </w:rPr>
      </w:pPr>
      <w:r w:rsidRPr="00D92A44">
        <w:rPr>
          <w:iCs/>
          <w:color w:val="000000"/>
        </w:rPr>
        <w:t>Disclose any conflicts of interest related to their award that arise during the award period per </w:t>
      </w:r>
      <w:hyperlink r:id="rId15" w:tgtFrame="_blank" w:history="1">
        <w:r w:rsidRPr="00D92A44">
          <w:rPr>
            <w:rStyle w:val="Hyperlink"/>
            <w:iCs/>
          </w:rPr>
          <w:t>2 CFR 1402.112</w:t>
        </w:r>
      </w:hyperlink>
      <w:r w:rsidRPr="00D92A44">
        <w:rPr>
          <w:iCs/>
          <w:color w:val="000000"/>
        </w:rPr>
        <w:t>, </w:t>
      </w:r>
    </w:p>
    <w:p w14:paraId="3E975149" w14:textId="77777777" w:rsidR="00EB4A31" w:rsidRPr="00D92A44" w:rsidRDefault="00EB4A31" w:rsidP="00EB4A31">
      <w:pPr>
        <w:numPr>
          <w:ilvl w:val="0"/>
          <w:numId w:val="24"/>
        </w:numPr>
        <w:rPr>
          <w:iCs/>
          <w:color w:val="000000"/>
        </w:rPr>
      </w:pPr>
      <w:r w:rsidRPr="00D92A44">
        <w:rPr>
          <w:iCs/>
          <w:color w:val="000000"/>
        </w:rPr>
        <w:t>Report on the status of real property acquired under the award in which the Federal government retains an interest per </w:t>
      </w:r>
      <w:hyperlink r:id="rId16" w:tgtFrame="_blank" w:history="1">
        <w:r w:rsidRPr="00D92A44">
          <w:rPr>
            <w:rStyle w:val="Hyperlink"/>
            <w:iCs/>
          </w:rPr>
          <w:t>2 CFR 200.330</w:t>
        </w:r>
      </w:hyperlink>
      <w:r w:rsidRPr="00D92A44">
        <w:rPr>
          <w:iCs/>
          <w:color w:val="000000"/>
        </w:rPr>
        <w:t>, and </w:t>
      </w:r>
    </w:p>
    <w:p w14:paraId="4E162E97" w14:textId="77777777" w:rsidR="00EB4A31" w:rsidRPr="00D92A44" w:rsidRDefault="00EB4A31" w:rsidP="00EB4A31">
      <w:pPr>
        <w:numPr>
          <w:ilvl w:val="0"/>
          <w:numId w:val="25"/>
        </w:numPr>
        <w:rPr>
          <w:iCs/>
          <w:color w:val="000000"/>
        </w:rPr>
      </w:pPr>
      <w:r w:rsidRPr="00D92A44">
        <w:rPr>
          <w:iCs/>
          <w:color w:val="000000"/>
        </w:rPr>
        <w:t>Report all violations of Federal criminal law involving fraud, bribery, or gratuity violations potentially affecting the Federal award per </w:t>
      </w:r>
      <w:hyperlink r:id="rId17" w:tgtFrame="_blank" w:history="1">
        <w:r w:rsidRPr="00D92A44">
          <w:rPr>
            <w:rStyle w:val="Hyperlink"/>
            <w:iCs/>
          </w:rPr>
          <w:t>2 CFR 200.113</w:t>
        </w:r>
      </w:hyperlink>
      <w:r w:rsidRPr="00D92A44">
        <w:rPr>
          <w:iCs/>
          <w:color w:val="000000"/>
        </w:rPr>
        <w:t>. </w:t>
      </w:r>
    </w:p>
    <w:p w14:paraId="4406453A" w14:textId="77777777" w:rsidR="00EB4A31" w:rsidRPr="00D92A44" w:rsidRDefault="00EB4A31" w:rsidP="00EB4A31">
      <w:pPr>
        <w:numPr>
          <w:ilvl w:val="0"/>
          <w:numId w:val="26"/>
        </w:numPr>
        <w:rPr>
          <w:iCs/>
          <w:color w:val="000000"/>
        </w:rPr>
      </w:pPr>
      <w:r w:rsidRPr="00D92A44">
        <w:rPr>
          <w:iCs/>
          <w:color w:val="000000"/>
        </w:rPr>
        <w:t>Report any matters related to recipient integrity and performance to SAM.gov per </w:t>
      </w:r>
      <w:hyperlink r:id="rId18" w:anchor="Appendix-XII-to-Part-200" w:tgtFrame="_blank" w:history="1">
        <w:r w:rsidRPr="00D92A44">
          <w:rPr>
            <w:rStyle w:val="Hyperlink"/>
            <w:iCs/>
          </w:rPr>
          <w:t>Appendix XII to 2 CFR 200</w:t>
        </w:r>
      </w:hyperlink>
      <w:r w:rsidRPr="00D92A44">
        <w:rPr>
          <w:iCs/>
          <w:color w:val="000000"/>
        </w:rPr>
        <w:t>. </w:t>
      </w:r>
    </w:p>
    <w:p w14:paraId="3F9A8AE7" w14:textId="77777777" w:rsidR="00EB4A31" w:rsidRPr="00D92A44" w:rsidRDefault="00EB4A31" w:rsidP="00EB4A31">
      <w:pPr>
        <w:numPr>
          <w:ilvl w:val="0"/>
          <w:numId w:val="27"/>
        </w:numPr>
        <w:rPr>
          <w:iCs/>
          <w:color w:val="000000"/>
        </w:rPr>
      </w:pPr>
      <w:r w:rsidRPr="00D92A44">
        <w:rPr>
          <w:iCs/>
          <w:color w:val="000000"/>
        </w:rPr>
        <w:t>If the Federal share of the award is more than $100,000 and the recipient makes or agrees to make any payment using non-appropriated funds for lobbying in connection to the award, disclose those activities using the Disclosure of Lobbying (SF-LLL) form per  </w:t>
      </w:r>
      <w:r w:rsidRPr="00D92A44">
        <w:rPr>
          <w:iCs/>
          <w:color w:val="000000"/>
        </w:rPr>
        <w:br/>
      </w:r>
      <w:hyperlink r:id="rId19" w:tgtFrame="_blank" w:history="1">
        <w:r w:rsidRPr="00D92A44">
          <w:rPr>
            <w:rStyle w:val="Hyperlink"/>
            <w:iCs/>
          </w:rPr>
          <w:t>43 CFR 18.100</w:t>
        </w:r>
      </w:hyperlink>
      <w:r w:rsidRPr="00D92A44">
        <w:rPr>
          <w:iCs/>
          <w:color w:val="000000"/>
        </w:rPr>
        <w:t>. </w:t>
      </w:r>
    </w:p>
    <w:p w14:paraId="26CF88AD" w14:textId="77777777" w:rsidR="00EB4A31" w:rsidRPr="00D92A44" w:rsidRDefault="00EB4A31" w:rsidP="00EB4A31">
      <w:pPr>
        <w:numPr>
          <w:ilvl w:val="0"/>
          <w:numId w:val="28"/>
        </w:numPr>
        <w:rPr>
          <w:iCs/>
          <w:color w:val="000000"/>
        </w:rPr>
      </w:pPr>
      <w:r w:rsidRPr="00D92A44">
        <w:rPr>
          <w:iCs/>
          <w:color w:val="000000"/>
        </w:rPr>
        <w:t>Federal Funding Accountability and Transparency Act of 2006 (FFATA) and 2 CFR 170 require certain recipients to report information on executive compensation, and information on all sub</w:t>
      </w:r>
      <w:r w:rsidRPr="00D92A44">
        <w:rPr>
          <w:iCs/>
          <w:color w:val="000000"/>
        </w:rPr>
        <w:noBreakHyphen/>
        <w:t>awards, subcontracts, and consortiums equal to or over $30,000 to SAM.gov. </w:t>
      </w:r>
    </w:p>
    <w:p w14:paraId="1090FB87" w14:textId="77777777" w:rsidR="00EB4A31" w:rsidRDefault="00EB4A31" w:rsidP="0001503F">
      <w:pPr>
        <w:rPr>
          <w:iCs/>
          <w:color w:val="000000"/>
        </w:rPr>
      </w:pP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25EA6D71" w:rsidR="00347A35" w:rsidRDefault="00347A35" w:rsidP="00AE3356">
      <w:pPr>
        <w:ind w:left="810" w:hanging="450"/>
      </w:pPr>
      <w:r w:rsidRPr="004F0EF8">
        <w:t xml:space="preserve">a) </w:t>
      </w:r>
      <w:r>
        <w:t xml:space="preserve">   </w:t>
      </w:r>
      <w:r w:rsidRPr="004F0EF8">
        <w:t xml:space="preserve">The recipient must submit annual progress reports electronically through </w:t>
      </w:r>
      <w:proofErr w:type="spellStart"/>
      <w:r w:rsidRPr="004F0EF8">
        <w:t>GrantSolutions</w:t>
      </w:r>
      <w:proofErr w:type="spellEnd"/>
      <w:r w:rsidRPr="004F0EF8">
        <w:t xml:space="preserve"> (</w:t>
      </w:r>
      <w:hyperlink r:id="rId20" w:history="1">
        <w:r w:rsidRPr="004F0EF8">
          <w:rPr>
            <w:rStyle w:val="Hyperlink"/>
            <w:rFonts w:eastAsia="Times"/>
          </w:rPr>
          <w:t>https://home.grantsolutions.gov/home/</w:t>
        </w:r>
      </w:hyperlink>
      <w:r w:rsidRPr="004F0EF8">
        <w:t>)</w:t>
      </w:r>
      <w:r w:rsidR="005B16A2">
        <w:t xml:space="preserve"> and e-mailed to the USGS Project officer</w:t>
      </w:r>
      <w:r w:rsidRPr="004F0EF8">
        <w:t xml:space="preserve">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w:t>
      </w:r>
      <w:proofErr w:type="gramStart"/>
      <w:r w:rsidRPr="004F0EF8">
        <w:t>shall</w:t>
      </w:r>
      <w:proofErr w:type="gramEnd"/>
      <w:r w:rsidRPr="004F0EF8">
        <w:t xml:space="preserve">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lastRenderedPageBreak/>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6B666497" w:rsidR="00C536C2" w:rsidRDefault="00C536C2" w:rsidP="00E175E5">
      <w:pPr>
        <w:pStyle w:val="ListParagraph"/>
        <w:numPr>
          <w:ilvl w:val="0"/>
          <w:numId w:val="6"/>
        </w:numPr>
        <w:tabs>
          <w:tab w:val="left" w:pos="810"/>
          <w:tab w:val="left" w:pos="900"/>
          <w:tab w:val="left" w:pos="2430"/>
          <w:tab w:val="left" w:pos="2700"/>
        </w:tabs>
      </w:pPr>
      <w:r>
        <w:t xml:space="preserve">The Recipient must submit the final technical report electronically through </w:t>
      </w:r>
      <w:proofErr w:type="spellStart"/>
      <w:r>
        <w:t>GrantSolutions</w:t>
      </w:r>
      <w:proofErr w:type="spellEnd"/>
      <w:r>
        <w:t xml:space="preserve"> (</w:t>
      </w:r>
      <w:hyperlink r:id="rId21" w:history="1">
        <w:r w:rsidR="005B16A2" w:rsidRPr="00FA02EC">
          <w:rPr>
            <w:rStyle w:val="Hyperlink"/>
          </w:rPr>
          <w:t>https://home.grantsolutions.gov/home/</w:t>
        </w:r>
      </w:hyperlink>
      <w:r>
        <w:t>)</w:t>
      </w:r>
      <w:r w:rsidR="005B16A2">
        <w:t xml:space="preserve"> and e-mail the </w:t>
      </w:r>
      <w:r w:rsidR="00FE42F0">
        <w:t>USGS Project Officer</w:t>
      </w:r>
      <w:r>
        <w:t>.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w:t>
      </w:r>
      <w:proofErr w:type="gramStart"/>
      <w:r>
        <w:t>documents</w:t>
      </w:r>
      <w:proofErr w:type="gramEnd"/>
      <w:r>
        <w:t xml:space="preserve"> and </w:t>
      </w:r>
      <w:proofErr w:type="gramStart"/>
      <w:r>
        <w:t>summarizes</w:t>
      </w:r>
      <w:proofErr w:type="gramEnd"/>
      <w:r>
        <w:t xml:space="preserve"> the results of the entire agreement. The final report shall include tables, graphs, diagrams, sketches, etc., as required to explain the results achieved under the agreement. The report </w:t>
      </w:r>
      <w:proofErr w:type="gramStart"/>
      <w:r>
        <w:t>shall</w:t>
      </w:r>
      <w:proofErr w:type="gramEnd"/>
      <w:r>
        <w:t xml:space="preserve"> also include recommendations and conclusions based upon both the experience and the results obtained.</w:t>
      </w:r>
    </w:p>
    <w:p w14:paraId="145277D3" w14:textId="77777777" w:rsidR="00EB4A31" w:rsidRDefault="00EB4A31" w:rsidP="00EB4A31">
      <w:pPr>
        <w:pStyle w:val="ListParagraph"/>
      </w:pPr>
    </w:p>
    <w:p w14:paraId="1FFBA76B" w14:textId="77777777" w:rsidR="00EB4A31" w:rsidRDefault="00EB4A31" w:rsidP="00EB4A31">
      <w:pPr>
        <w:tabs>
          <w:tab w:val="left" w:pos="810"/>
          <w:tab w:val="left" w:pos="900"/>
          <w:tab w:val="left" w:pos="2430"/>
          <w:tab w:val="left" w:pos="2700"/>
        </w:tabs>
      </w:pPr>
    </w:p>
    <w:p w14:paraId="70293A7D" w14:textId="77777777" w:rsidR="00EB4A31" w:rsidRDefault="00EB4A31" w:rsidP="00EB4A31">
      <w:pPr>
        <w:tabs>
          <w:tab w:val="left" w:pos="810"/>
          <w:tab w:val="left" w:pos="900"/>
          <w:tab w:val="left" w:pos="2430"/>
          <w:tab w:val="left" w:pos="2700"/>
        </w:tabs>
      </w:pP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22"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proofErr w:type="gramStart"/>
      <w:r>
        <w:rPr>
          <w:iCs/>
        </w:rPr>
        <w:t xml:space="preserve">The </w:t>
      </w:r>
      <w:r>
        <w:t>SF</w:t>
      </w:r>
      <w:proofErr w:type="gramEnd"/>
      <w:r>
        <w:t xml:space="preserve"> 425 will be due within 90 </w:t>
      </w:r>
      <w:bookmarkStart w:id="1" w:name="_Hlk164144894"/>
      <w:r>
        <w:t xml:space="preserve">days following the end of the </w:t>
      </w:r>
      <w:r w:rsidRPr="00B46B21">
        <w:rPr>
          <w:shd w:val="clear" w:color="auto" w:fill="FFFFFF"/>
        </w:rPr>
        <w:t xml:space="preserve">annual period or within 90 days following the end of each annual period </w:t>
      </w:r>
      <w:r w:rsidRPr="00B46B21">
        <w:rPr>
          <w:shd w:val="clear" w:color="auto" w:fill="FFFFFF"/>
        </w:rPr>
        <w:lastRenderedPageBreak/>
        <w:t>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 xml:space="preserve">The SF 425 must be submitted electronically through </w:t>
      </w:r>
      <w:proofErr w:type="spellStart"/>
      <w:r>
        <w:t>GrantSolutions</w:t>
      </w:r>
      <w:proofErr w:type="spellEnd"/>
      <w:r>
        <w:t xml:space="preserve"> (</w:t>
      </w:r>
      <w:hyperlink r:id="rId23"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 xml:space="preserve">Recipient will promptly return any unexpended federal cash advances or will complete a final draw from ASAP to obtain any remaining amounts due. Once 120 days </w:t>
      </w:r>
      <w:proofErr w:type="gramStart"/>
      <w:r>
        <w:t>has</w:t>
      </w:r>
      <w:proofErr w:type="gramEnd"/>
      <w:r>
        <w:t xml:space="preserve">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t>since</w:t>
      </w:r>
      <w:proofErr w:type="gramEnd"/>
      <w:r>
        <w:t xml:space="preserv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t>agreement</w:t>
      </w:r>
      <w:proofErr w:type="gramEnd"/>
      <w:r>
        <w:t xml:space="preserve"> completion date. USGS will not accept any revised SF 425 covering additional </w:t>
      </w:r>
      <w:proofErr w:type="gramStart"/>
      <w:r>
        <w:t>expenditures</w:t>
      </w:r>
      <w:proofErr w:type="gramEnd"/>
      <w:r>
        <w:t xml:space="preserve"> after that date and will return any late request for additional payment to the Recipient.</w:t>
      </w:r>
    </w:p>
    <w:p w14:paraId="72082CEB" w14:textId="77777777" w:rsidR="00EB4A31" w:rsidRDefault="00EB4A31" w:rsidP="00E175E5">
      <w:pPr>
        <w:spacing w:after="280"/>
        <w:ind w:left="1440" w:hanging="540"/>
      </w:pP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lastRenderedPageBreak/>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w:t>
      </w:r>
      <w:proofErr w:type="gramStart"/>
      <w:r w:rsidRPr="00D969E9">
        <w:rPr>
          <w:iCs/>
          <w:color w:val="000000"/>
        </w:rPr>
        <w:t>agreement,</w:t>
      </w:r>
      <w:proofErr w:type="gramEnd"/>
      <w:r w:rsidRPr="00D969E9">
        <w:rPr>
          <w:iCs/>
          <w:color w:val="000000"/>
        </w:rPr>
        <w:t xml:space="preserve">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 xml:space="preserve">Publication of the results of any project carried out under this assistance award is authorized in professional </w:t>
      </w:r>
      <w:proofErr w:type="gramStart"/>
      <w:r w:rsidRPr="00D969E9">
        <w:rPr>
          <w:iCs/>
          <w:color w:val="000000"/>
        </w:rPr>
        <w:t>journals,</w:t>
      </w:r>
      <w:proofErr w:type="gramEnd"/>
      <w:r w:rsidRPr="00D969E9">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w:t>
      </w:r>
      <w:proofErr w:type="gramStart"/>
      <w:r w:rsidRPr="00D969E9">
        <w:rPr>
          <w:iCs/>
          <w:color w:val="000000"/>
        </w:rPr>
        <w:t>provided</w:t>
      </w:r>
      <w:proofErr w:type="gramEnd"/>
      <w:r w:rsidRPr="00D969E9">
        <w:rPr>
          <w:iCs/>
          <w:color w:val="000000"/>
        </w:rPr>
        <w:t xml:space="preserve">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 xml:space="preserve">Department of </w:t>
      </w:r>
      <w:proofErr w:type="gramStart"/>
      <w:r w:rsidRPr="00CC5876">
        <w:rPr>
          <w:iCs/>
          <w:color w:val="000000"/>
          <w:u w:val="single"/>
        </w:rPr>
        <w:t>the Interior</w:t>
      </w:r>
      <w:proofErr w:type="gramEnd"/>
      <w:r w:rsidRPr="00CC5876">
        <w:rPr>
          <w:iCs/>
          <w:color w:val="000000"/>
          <w:u w:val="single"/>
        </w:rPr>
        <w:t xml:space="preserve">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6207B6C6" w14:textId="77777777" w:rsidR="00DA76EF" w:rsidRDefault="00DA76EF" w:rsidP="00B817AE">
      <w:pPr>
        <w:shd w:val="clear" w:color="auto" w:fill="FFFFFF" w:themeFill="background1"/>
        <w:ind w:left="900"/>
        <w:rPr>
          <w:color w:val="000000" w:themeColor="text1"/>
        </w:rPr>
      </w:pPr>
    </w:p>
    <w:p w14:paraId="3F199378" w14:textId="77777777" w:rsidR="00DA76EF" w:rsidRDefault="00DA76EF"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24"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and </w:t>
      </w:r>
      <w:proofErr w:type="gramStart"/>
      <w:r>
        <w:t>link</w:t>
      </w:r>
      <w:proofErr w:type="gramEnd"/>
      <w:r>
        <w:t xml:space="preserve"> their banking information to the USGS ALC (14080001), it may take up to 10 days for sub-accounts to be activated and for funds to be authorized </w:t>
      </w:r>
      <w:proofErr w:type="gramStart"/>
      <w:r>
        <w:t>for drawdown</w:t>
      </w:r>
      <w:proofErr w:type="gramEnd"/>
      <w:r>
        <w:t xml:space="preserve">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 xml:space="preserve">Payments may be </w:t>
      </w:r>
      <w:proofErr w:type="gramStart"/>
      <w:r>
        <w:t>drawn</w:t>
      </w:r>
      <w:proofErr w:type="gramEnd"/>
      <w:r>
        <w:t xml:space="preserve">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9B74BFB" w14:textId="77777777" w:rsidR="00FE42F0" w:rsidRDefault="00FE42F0"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lastRenderedPageBreak/>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5"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1166B27E" w14:textId="77777777" w:rsidR="00DA76EF" w:rsidRDefault="00DA76EF"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lastRenderedPageBreak/>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26"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3537ABDE" w14:textId="77777777" w:rsidR="004E2BA3" w:rsidRDefault="004E2BA3" w:rsidP="00F511CD">
      <w:pPr>
        <w:rPr>
          <w:iCs/>
          <w:color w:val="000000"/>
        </w:rPr>
      </w:pPr>
    </w:p>
    <w:p w14:paraId="7C309AB3" w14:textId="77777777" w:rsidR="004E2BA3" w:rsidRPr="0049475F" w:rsidRDefault="004E2BA3" w:rsidP="004E2BA3">
      <w:pPr>
        <w:rPr>
          <w:iCs/>
          <w:color w:val="000000"/>
        </w:rPr>
      </w:pPr>
      <w:r w:rsidRPr="0049475F">
        <w:rPr>
          <w:b/>
          <w:bCs/>
          <w:i/>
          <w:iCs/>
          <w:color w:val="000000"/>
          <w:u w:val="single"/>
        </w:rPr>
        <w:t>Termination Provisions</w:t>
      </w:r>
      <w:r w:rsidRPr="0049475F">
        <w:rPr>
          <w:b/>
          <w:bCs/>
          <w:i/>
          <w:iCs/>
          <w:color w:val="000000"/>
        </w:rPr>
        <w:t>:</w:t>
      </w:r>
      <w:r w:rsidRPr="0049475F">
        <w:rPr>
          <w:iCs/>
          <w:color w:val="000000"/>
        </w:rPr>
        <w:t> </w:t>
      </w:r>
    </w:p>
    <w:p w14:paraId="6FABCC7F" w14:textId="77777777" w:rsidR="004E2BA3" w:rsidRPr="0049475F" w:rsidRDefault="004E2BA3" w:rsidP="004E2BA3">
      <w:pPr>
        <w:rPr>
          <w:iCs/>
          <w:color w:val="000000"/>
        </w:rPr>
      </w:pPr>
      <w:r w:rsidRPr="0049475F">
        <w:rPr>
          <w:iCs/>
          <w:color w:val="000000"/>
        </w:rPr>
        <w:t> </w:t>
      </w:r>
    </w:p>
    <w:p w14:paraId="2CD10D90" w14:textId="77777777" w:rsidR="004E2BA3" w:rsidRPr="0049475F" w:rsidRDefault="004E2BA3" w:rsidP="004E2BA3">
      <w:pPr>
        <w:rPr>
          <w:iCs/>
          <w:color w:val="000000"/>
        </w:rPr>
      </w:pPr>
      <w:r w:rsidRPr="0049475F">
        <w:rPr>
          <w:iCs/>
          <w:color w:val="000000"/>
        </w:rPr>
        <w:t>Per </w:t>
      </w:r>
      <w:hyperlink r:id="rId27" w:tgtFrame="_blank" w:history="1">
        <w:r w:rsidRPr="0049475F">
          <w:rPr>
            <w:rStyle w:val="Hyperlink"/>
            <w:iCs/>
          </w:rPr>
          <w:t>§200.340 Termination</w:t>
        </w:r>
      </w:hyperlink>
      <w:r w:rsidRPr="0049475F">
        <w:rPr>
          <w:iCs/>
          <w:color w:val="000000"/>
        </w:rPr>
        <w:t>, the Federal award may be terminated in whole or in part as follows: </w:t>
      </w:r>
    </w:p>
    <w:p w14:paraId="6B0216AA" w14:textId="77777777" w:rsidR="004E2BA3" w:rsidRPr="0049475F" w:rsidRDefault="004E2BA3" w:rsidP="004E2BA3">
      <w:pPr>
        <w:rPr>
          <w:iCs/>
          <w:color w:val="000000"/>
        </w:rPr>
      </w:pPr>
      <w:r w:rsidRPr="0049475F">
        <w:rPr>
          <w:iCs/>
          <w:color w:val="000000"/>
        </w:rPr>
        <w:t> </w:t>
      </w:r>
    </w:p>
    <w:p w14:paraId="4A2C714B" w14:textId="77777777" w:rsidR="004E2BA3" w:rsidRPr="0049475F" w:rsidRDefault="004E2BA3" w:rsidP="004E2BA3">
      <w:pPr>
        <w:rPr>
          <w:iCs/>
          <w:color w:val="000000"/>
        </w:rPr>
      </w:pPr>
      <w:r w:rsidRPr="0049475F">
        <w:rPr>
          <w:iCs/>
          <w:color w:val="000000"/>
        </w:rPr>
        <w:t>• By the DOI sub-agency or pass-through entity, if the recipient or subrecipient fails to </w:t>
      </w:r>
    </w:p>
    <w:p w14:paraId="260315B3" w14:textId="77777777" w:rsidR="004E2BA3" w:rsidRPr="0049475F" w:rsidRDefault="004E2BA3" w:rsidP="004E2BA3">
      <w:pPr>
        <w:rPr>
          <w:iCs/>
          <w:color w:val="000000"/>
        </w:rPr>
      </w:pPr>
      <w:r w:rsidRPr="0049475F">
        <w:rPr>
          <w:iCs/>
          <w:color w:val="000000"/>
        </w:rPr>
        <w:t>comply with the terms and conditions of the award. </w:t>
      </w:r>
    </w:p>
    <w:p w14:paraId="5F644A7E" w14:textId="77777777" w:rsidR="004E2BA3" w:rsidRPr="0049475F" w:rsidRDefault="004E2BA3" w:rsidP="004E2BA3">
      <w:pPr>
        <w:rPr>
          <w:iCs/>
          <w:color w:val="000000"/>
        </w:rPr>
      </w:pPr>
      <w:r w:rsidRPr="0049475F">
        <w:rPr>
          <w:iCs/>
          <w:color w:val="000000"/>
        </w:rPr>
        <w:t>• By the DOI sub-agency or pass-through entity with the consent of the recipient or </w:t>
      </w:r>
    </w:p>
    <w:p w14:paraId="258AB524" w14:textId="77777777" w:rsidR="004E2BA3" w:rsidRPr="0049475F" w:rsidRDefault="004E2BA3" w:rsidP="004E2BA3">
      <w:pPr>
        <w:rPr>
          <w:iCs/>
          <w:color w:val="000000"/>
        </w:rPr>
      </w:pPr>
      <w:r w:rsidRPr="0049475F">
        <w:rPr>
          <w:iCs/>
          <w:color w:val="000000"/>
        </w:rPr>
        <w:t>subrecipient, in this case, both parties must agree on the termination conditions, </w:t>
      </w:r>
    </w:p>
    <w:p w14:paraId="5553F919" w14:textId="77777777" w:rsidR="004E2BA3" w:rsidRPr="0049475F" w:rsidRDefault="004E2BA3" w:rsidP="004E2BA3">
      <w:pPr>
        <w:rPr>
          <w:iCs/>
          <w:color w:val="000000"/>
        </w:rPr>
      </w:pPr>
      <w:r w:rsidRPr="0049475F">
        <w:rPr>
          <w:iCs/>
          <w:color w:val="000000"/>
        </w:rPr>
        <w:t>including the effective date and, for partial termination, specify which parts will be </w:t>
      </w:r>
    </w:p>
    <w:p w14:paraId="118817D1" w14:textId="77777777" w:rsidR="004E2BA3" w:rsidRPr="0049475F" w:rsidRDefault="004E2BA3" w:rsidP="004E2BA3">
      <w:pPr>
        <w:rPr>
          <w:iCs/>
          <w:color w:val="000000"/>
        </w:rPr>
      </w:pPr>
      <w:r w:rsidRPr="0049475F">
        <w:rPr>
          <w:iCs/>
          <w:color w:val="000000"/>
        </w:rPr>
        <w:t>terminated. </w:t>
      </w:r>
    </w:p>
    <w:p w14:paraId="2D065756" w14:textId="77777777" w:rsidR="004E2BA3" w:rsidRPr="0049475F" w:rsidRDefault="004E2BA3" w:rsidP="004E2BA3">
      <w:pPr>
        <w:rPr>
          <w:iCs/>
          <w:color w:val="000000"/>
        </w:rPr>
      </w:pPr>
      <w:r w:rsidRPr="0049475F">
        <w:rPr>
          <w:iCs/>
          <w:color w:val="000000"/>
        </w:rPr>
        <w:t>• By the recipient or subrecipient by providing written notice to the DOI sub-agency or </w:t>
      </w:r>
    </w:p>
    <w:p w14:paraId="675150BC" w14:textId="77777777" w:rsidR="004E2BA3" w:rsidRPr="0049475F" w:rsidRDefault="004E2BA3" w:rsidP="004E2BA3">
      <w:pPr>
        <w:rPr>
          <w:iCs/>
          <w:color w:val="000000"/>
        </w:rPr>
      </w:pPr>
      <w:r w:rsidRPr="0049475F">
        <w:rPr>
          <w:iCs/>
          <w:color w:val="000000"/>
        </w:rPr>
        <w:t>pass-through entity, stating the reasons for the termination, the effective date, and, for </w:t>
      </w:r>
    </w:p>
    <w:p w14:paraId="35933BFA" w14:textId="77777777" w:rsidR="004E2BA3" w:rsidRPr="0049475F" w:rsidRDefault="004E2BA3" w:rsidP="004E2BA3">
      <w:pPr>
        <w:rPr>
          <w:iCs/>
          <w:color w:val="000000"/>
        </w:rPr>
      </w:pPr>
      <w:r w:rsidRPr="0049475F">
        <w:rPr>
          <w:iCs/>
          <w:color w:val="000000"/>
        </w:rPr>
        <w:t>partial termination, the portion to be terminated. However, if the DOI sub-agency or </w:t>
      </w:r>
    </w:p>
    <w:p w14:paraId="6C70AD13" w14:textId="77777777" w:rsidR="004E2BA3" w:rsidRPr="0049475F" w:rsidRDefault="004E2BA3" w:rsidP="004E2BA3">
      <w:pPr>
        <w:rPr>
          <w:iCs/>
          <w:color w:val="000000"/>
        </w:rPr>
      </w:pPr>
      <w:r w:rsidRPr="0049475F">
        <w:rPr>
          <w:iCs/>
          <w:color w:val="000000"/>
        </w:rPr>
        <w:t>pass-through entity determines that the remaining portion will not achieve the purpose </w:t>
      </w:r>
    </w:p>
    <w:p w14:paraId="39ACA824" w14:textId="77777777" w:rsidR="004E2BA3" w:rsidRPr="0049475F" w:rsidRDefault="004E2BA3" w:rsidP="004E2BA3">
      <w:pPr>
        <w:rPr>
          <w:iCs/>
          <w:color w:val="000000"/>
        </w:rPr>
      </w:pPr>
      <w:r w:rsidRPr="0049475F">
        <w:rPr>
          <w:iCs/>
          <w:color w:val="000000"/>
        </w:rPr>
        <w:t>of the award, they may terminate the entire Federal award. </w:t>
      </w:r>
    </w:p>
    <w:p w14:paraId="2FBB38D5" w14:textId="77777777" w:rsidR="004E2BA3" w:rsidRPr="0049475F" w:rsidRDefault="004E2BA3" w:rsidP="004E2BA3">
      <w:pPr>
        <w:rPr>
          <w:iCs/>
          <w:color w:val="000000"/>
        </w:rPr>
      </w:pPr>
      <w:r w:rsidRPr="0049475F">
        <w:rPr>
          <w:iCs/>
          <w:color w:val="000000"/>
        </w:rPr>
        <w:t>• By the DOI sub-agency or pass-through entity in accordance with the terms of the </w:t>
      </w:r>
    </w:p>
    <w:p w14:paraId="3C800F5B" w14:textId="77777777" w:rsidR="004E2BA3" w:rsidRPr="0049475F" w:rsidRDefault="004E2BA3" w:rsidP="004E2BA3">
      <w:pPr>
        <w:rPr>
          <w:iCs/>
          <w:color w:val="000000"/>
        </w:rPr>
      </w:pPr>
      <w:r w:rsidRPr="0049475F">
        <w:rPr>
          <w:iCs/>
          <w:color w:val="000000"/>
        </w:rPr>
        <w:t xml:space="preserve">Federal award, including, if authorized by law, if the award no longer </w:t>
      </w:r>
      <w:proofErr w:type="gramStart"/>
      <w:r w:rsidRPr="0049475F">
        <w:rPr>
          <w:iCs/>
          <w:color w:val="000000"/>
        </w:rPr>
        <w:t>meets</w:t>
      </w:r>
      <w:proofErr w:type="gramEnd"/>
      <w:r w:rsidRPr="0049475F">
        <w:rPr>
          <w:iCs/>
          <w:color w:val="000000"/>
        </w:rPr>
        <w:t xml:space="preserve"> program </w:t>
      </w:r>
    </w:p>
    <w:p w14:paraId="17D9F6F2" w14:textId="77777777" w:rsidR="004E2BA3" w:rsidRPr="0049475F" w:rsidRDefault="004E2BA3" w:rsidP="004E2BA3">
      <w:pPr>
        <w:rPr>
          <w:iCs/>
          <w:color w:val="000000"/>
        </w:rPr>
      </w:pPr>
      <w:r w:rsidRPr="0049475F">
        <w:rPr>
          <w:iCs/>
          <w:color w:val="000000"/>
        </w:rPr>
        <w:t>goals or DOI priorities. </w:t>
      </w:r>
    </w:p>
    <w:p w14:paraId="49B33CCF" w14:textId="77777777" w:rsidR="004E2BA3" w:rsidRPr="00D969E9" w:rsidRDefault="004E2BA3" w:rsidP="00F511CD">
      <w:pPr>
        <w:rPr>
          <w:iCs/>
          <w:color w:val="000000"/>
        </w:rPr>
      </w:pP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28" w:history="1">
        <w:r w:rsidRPr="007005E8">
          <w:rPr>
            <w:rStyle w:val="Hyperlink"/>
            <w:iCs/>
          </w:rPr>
          <w:t>support@grants.gov</w:t>
        </w:r>
      </w:hyperlink>
      <w:r>
        <w:rPr>
          <w:iCs/>
          <w:color w:val="000000"/>
        </w:rPr>
        <w:t xml:space="preserve"> </w:t>
      </w:r>
    </w:p>
    <w:p w14:paraId="34213BEB" w14:textId="26CE1298"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w:t>
      </w:r>
      <w:r w:rsidR="007D1BB6" w:rsidRPr="007D1BB6">
        <w:rPr>
          <w:iCs/>
          <w:color w:val="000000"/>
        </w:rPr>
        <w:t>nikolas_lushenko@ios.doi.gov</w:t>
      </w:r>
    </w:p>
    <w:p w14:paraId="2B03C2D2" w14:textId="77777777" w:rsidR="00F511CD" w:rsidRPr="00D969E9" w:rsidRDefault="00F511CD" w:rsidP="00F511CD">
      <w:pPr>
        <w:rPr>
          <w:iCs/>
          <w:color w:val="000000"/>
        </w:rPr>
      </w:pPr>
    </w:p>
    <w:p w14:paraId="4A55B354" w14:textId="77777777" w:rsidR="00F511CD" w:rsidRPr="00FE42F0" w:rsidRDefault="00F511CD" w:rsidP="00F511CD">
      <w:pPr>
        <w:rPr>
          <w:iCs/>
          <w:color w:val="0C3512" w:themeColor="accent3" w:themeShade="80"/>
        </w:rPr>
      </w:pPr>
      <w:r w:rsidRPr="00FE42F0">
        <w:rPr>
          <w:iCs/>
          <w:color w:val="0C3512" w:themeColor="accent3" w:themeShade="80"/>
        </w:rPr>
        <w:t>Applicants are strongly urged to submit questions via e-mail to:</w:t>
      </w:r>
    </w:p>
    <w:p w14:paraId="54CD6A77" w14:textId="77777777" w:rsidR="00F511CD" w:rsidRPr="00FE42F0" w:rsidRDefault="00F511CD" w:rsidP="00F511CD">
      <w:pPr>
        <w:rPr>
          <w:iCs/>
          <w:color w:val="0C3512" w:themeColor="accent3" w:themeShade="80"/>
        </w:rPr>
      </w:pPr>
    </w:p>
    <w:p w14:paraId="63E683D0" w14:textId="77777777" w:rsidR="000314A6" w:rsidRPr="00FE42F0" w:rsidRDefault="000314A6" w:rsidP="000314A6">
      <w:pPr>
        <w:rPr>
          <w:iCs/>
          <w:color w:val="0C3512" w:themeColor="accent3" w:themeShade="80"/>
        </w:rPr>
      </w:pPr>
      <w:r w:rsidRPr="00FE42F0">
        <w:rPr>
          <w:iCs/>
          <w:color w:val="0C3512" w:themeColor="accent3" w:themeShade="80"/>
        </w:rPr>
        <w:t>Katie Calder, Grant Specialist</w:t>
      </w:r>
    </w:p>
    <w:p w14:paraId="1D5BB14F" w14:textId="77777777" w:rsidR="000314A6" w:rsidRPr="00FE42F0" w:rsidRDefault="000314A6" w:rsidP="000314A6">
      <w:pPr>
        <w:rPr>
          <w:iCs/>
          <w:color w:val="0C3512" w:themeColor="accent3" w:themeShade="80"/>
        </w:rPr>
      </w:pPr>
      <w:r w:rsidRPr="00FE42F0">
        <w:rPr>
          <w:iCs/>
          <w:color w:val="0C3512" w:themeColor="accent3" w:themeShade="80"/>
        </w:rPr>
        <w:t>U.S. Geological Survey</w:t>
      </w:r>
    </w:p>
    <w:p w14:paraId="61ADE902" w14:textId="77777777" w:rsidR="000314A6" w:rsidRPr="00FE42F0" w:rsidRDefault="000314A6" w:rsidP="000314A6">
      <w:pPr>
        <w:rPr>
          <w:iCs/>
          <w:color w:val="0C3512" w:themeColor="accent3" w:themeShade="80"/>
        </w:rPr>
      </w:pPr>
      <w:r w:rsidRPr="00FE42F0">
        <w:rPr>
          <w:iCs/>
          <w:color w:val="0C3512" w:themeColor="accent3" w:themeShade="80"/>
        </w:rPr>
        <w:t>Acquisitions and Grants Branch</w:t>
      </w:r>
    </w:p>
    <w:p w14:paraId="67D0CC3D" w14:textId="77777777" w:rsidR="000314A6" w:rsidRPr="00FE42F0" w:rsidRDefault="000314A6" w:rsidP="000314A6">
      <w:pPr>
        <w:rPr>
          <w:iCs/>
          <w:color w:val="0C3512" w:themeColor="accent3" w:themeShade="80"/>
        </w:rPr>
      </w:pPr>
      <w:r w:rsidRPr="00FE42F0">
        <w:rPr>
          <w:iCs/>
          <w:color w:val="0C3512" w:themeColor="accent3" w:themeShade="80"/>
        </w:rPr>
        <w:t>12201 Sunrise Valley Drive, MS 205</w:t>
      </w:r>
    </w:p>
    <w:p w14:paraId="50382A2F" w14:textId="77777777" w:rsidR="000314A6" w:rsidRPr="00FE42F0" w:rsidRDefault="000314A6" w:rsidP="000314A6">
      <w:pPr>
        <w:rPr>
          <w:iCs/>
          <w:color w:val="0C3512" w:themeColor="accent3" w:themeShade="80"/>
        </w:rPr>
      </w:pPr>
      <w:r w:rsidRPr="00FE42F0">
        <w:rPr>
          <w:iCs/>
          <w:color w:val="0C3512" w:themeColor="accent3" w:themeShade="80"/>
        </w:rPr>
        <w:lastRenderedPageBreak/>
        <w:t>Reston, VA  20192</w:t>
      </w:r>
    </w:p>
    <w:p w14:paraId="6EA0E762" w14:textId="6BA21BA0" w:rsidR="00B876D2" w:rsidRPr="00FE42F0" w:rsidRDefault="000314A6" w:rsidP="00B876D2">
      <w:pPr>
        <w:rPr>
          <w:iCs/>
          <w:color w:val="0C3512" w:themeColor="accent3" w:themeShade="80"/>
        </w:rPr>
      </w:pPr>
      <w:r w:rsidRPr="00FE42F0">
        <w:rPr>
          <w:iCs/>
          <w:color w:val="0C3512" w:themeColor="accent3" w:themeShade="80"/>
        </w:rPr>
        <w:t xml:space="preserve">E-mail: </w:t>
      </w:r>
      <w:hyperlink r:id="rId29" w:history="1">
        <w:r w:rsidR="00D0179C" w:rsidRPr="006C4C14">
          <w:rPr>
            <w:rStyle w:val="Hyperlink"/>
            <w:iCs/>
          </w:rPr>
          <w:t>katherine_calder@ios.doi.gov</w:t>
        </w:r>
      </w:hyperlink>
      <w:r w:rsidR="00D0179C">
        <w:rPr>
          <w:iCs/>
        </w:rPr>
        <w:br/>
      </w:r>
    </w:p>
    <w:p w14:paraId="2DD99EA0" w14:textId="77777777" w:rsidR="00B876D2" w:rsidRPr="00FE42F0" w:rsidRDefault="00B876D2" w:rsidP="00B876D2">
      <w:pPr>
        <w:rPr>
          <w:iCs/>
          <w:color w:val="0C3512" w:themeColor="accent3" w:themeShade="80"/>
        </w:rPr>
      </w:pPr>
      <w:r w:rsidRPr="00FE42F0">
        <w:rPr>
          <w:iCs/>
          <w:color w:val="0C3512" w:themeColor="accent3" w:themeShade="80"/>
        </w:rPr>
        <w:t>For technical questions concerning the content, goals, and objectives, please contact:</w:t>
      </w:r>
    </w:p>
    <w:p w14:paraId="369B1C93" w14:textId="77777777" w:rsidR="00F511CD" w:rsidRPr="00FE42F0" w:rsidRDefault="00F511CD" w:rsidP="00F511CD">
      <w:pPr>
        <w:rPr>
          <w:iCs/>
          <w:color w:val="0C3512" w:themeColor="accent3" w:themeShade="80"/>
        </w:rPr>
      </w:pPr>
    </w:p>
    <w:p w14:paraId="33A679B1" w14:textId="77777777" w:rsidR="008C6FC9" w:rsidRPr="00FE42F0" w:rsidRDefault="008C6FC9"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FE42F0">
        <w:rPr>
          <w:rStyle w:val="normaltextrun"/>
          <w:color w:val="0C3512" w:themeColor="accent3" w:themeShade="80"/>
        </w:rPr>
        <w:t>John Fulton</w:t>
      </w:r>
    </w:p>
    <w:p w14:paraId="139F074A" w14:textId="77777777" w:rsidR="00DD1597" w:rsidRPr="00FE42F0" w:rsidRDefault="00DD1597" w:rsidP="00DD1597">
      <w:pPr>
        <w:rPr>
          <w:iCs/>
          <w:color w:val="0C3512" w:themeColor="accent3" w:themeShade="80"/>
        </w:rPr>
      </w:pPr>
      <w:r w:rsidRPr="00FE42F0">
        <w:rPr>
          <w:iCs/>
          <w:color w:val="0C3512" w:themeColor="accent3" w:themeShade="80"/>
        </w:rPr>
        <w:t>U.S. Geological Survey</w:t>
      </w:r>
    </w:p>
    <w:p w14:paraId="49AAC92B" w14:textId="77777777" w:rsidR="005E2C20" w:rsidRPr="00FE42F0" w:rsidRDefault="00E32E17" w:rsidP="008C6FC9">
      <w:pPr>
        <w:pStyle w:val="paragraph"/>
        <w:shd w:val="clear" w:color="auto" w:fill="FFFFFF" w:themeFill="background1"/>
        <w:spacing w:before="0" w:beforeAutospacing="0" w:after="0" w:afterAutospacing="0"/>
        <w:textAlignment w:val="baseline"/>
        <w:rPr>
          <w:iCs/>
          <w:color w:val="0C3512" w:themeColor="accent3" w:themeShade="80"/>
        </w:rPr>
      </w:pPr>
      <w:r w:rsidRPr="00FE42F0">
        <w:rPr>
          <w:color w:val="0C3512" w:themeColor="accent3" w:themeShade="80"/>
        </w:rPr>
        <w:t>Colorado Water Science Center</w:t>
      </w:r>
      <w:r w:rsidRPr="00FE42F0">
        <w:rPr>
          <w:iCs/>
          <w:color w:val="0C3512" w:themeColor="accent3" w:themeShade="80"/>
        </w:rPr>
        <w:t xml:space="preserve"> </w:t>
      </w:r>
    </w:p>
    <w:p w14:paraId="0B56E704" w14:textId="732ABD3D" w:rsidR="008C6FC9" w:rsidRPr="00764B3A" w:rsidRDefault="00DD1597"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FE42F0">
        <w:rPr>
          <w:iCs/>
          <w:color w:val="0C3512" w:themeColor="accent3" w:themeShade="80"/>
        </w:rPr>
        <w:t xml:space="preserve">E-mail: </w:t>
      </w:r>
      <w:r w:rsidR="008C6FC9" w:rsidRPr="00764B3A">
        <w:rPr>
          <w:rStyle w:val="normaltextrun"/>
          <w:color w:val="0C3512" w:themeColor="accent3" w:themeShade="80"/>
        </w:rPr>
        <w:t>jwfulton@usgs.gov</w:t>
      </w:r>
    </w:p>
    <w:p w14:paraId="1FE92B0B" w14:textId="77777777" w:rsidR="008C6FC9" w:rsidRPr="00764B3A" w:rsidRDefault="008C6FC9"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p>
    <w:p w14:paraId="4F250D60" w14:textId="79313A0E" w:rsidR="008C6FC9" w:rsidRPr="00764B3A" w:rsidRDefault="008C6FC9"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764B3A">
        <w:rPr>
          <w:rStyle w:val="normaltextrun"/>
          <w:color w:val="0C3512" w:themeColor="accent3" w:themeShade="80"/>
        </w:rPr>
        <w:t>Frank Engel</w:t>
      </w:r>
    </w:p>
    <w:p w14:paraId="5F23DDDD" w14:textId="77777777" w:rsidR="00DD1597" w:rsidRPr="00FE42F0" w:rsidRDefault="00DD1597" w:rsidP="00DD1597">
      <w:pPr>
        <w:rPr>
          <w:iCs/>
          <w:color w:val="0C3512" w:themeColor="accent3" w:themeShade="80"/>
        </w:rPr>
      </w:pPr>
      <w:r w:rsidRPr="00FE42F0">
        <w:rPr>
          <w:iCs/>
          <w:color w:val="0C3512" w:themeColor="accent3" w:themeShade="80"/>
        </w:rPr>
        <w:t>U.S. Geological Survey</w:t>
      </w:r>
    </w:p>
    <w:p w14:paraId="5B7F078C" w14:textId="7BCD65E9" w:rsidR="008C6FC9" w:rsidRPr="00FE42F0" w:rsidRDefault="00471F14"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FE42F0">
        <w:rPr>
          <w:color w:val="0C3512" w:themeColor="accent3" w:themeShade="80"/>
        </w:rPr>
        <w:t>Water Resources Mission Area</w:t>
      </w:r>
      <w:r w:rsidR="008C6FC9" w:rsidRPr="00FE42F0">
        <w:rPr>
          <w:rStyle w:val="normaltextrun"/>
          <w:color w:val="0C3512" w:themeColor="accent3" w:themeShade="80"/>
        </w:rPr>
        <w:t xml:space="preserve"> – Hydrologic Remote Sensing Branch</w:t>
      </w:r>
    </w:p>
    <w:p w14:paraId="33516060" w14:textId="51F97221" w:rsidR="008C6FC9" w:rsidRPr="00FE42F0" w:rsidRDefault="00DD1597"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FE42F0">
        <w:rPr>
          <w:iCs/>
          <w:color w:val="0C3512" w:themeColor="accent3" w:themeShade="80"/>
        </w:rPr>
        <w:t xml:space="preserve">E-mail: </w:t>
      </w:r>
      <w:r w:rsidR="008C6FC9" w:rsidRPr="00FE42F0">
        <w:rPr>
          <w:rStyle w:val="normaltextrun"/>
          <w:color w:val="0C3512" w:themeColor="accent3" w:themeShade="80"/>
        </w:rPr>
        <w:t>fengel@usgs.gov</w:t>
      </w:r>
    </w:p>
    <w:p w14:paraId="53EB0689" w14:textId="77777777" w:rsidR="008C6FC9" w:rsidRPr="00FE42F0" w:rsidRDefault="008C6FC9"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p>
    <w:p w14:paraId="7A66906E" w14:textId="77777777" w:rsidR="008C6FC9" w:rsidRPr="00FE42F0" w:rsidRDefault="008C6FC9" w:rsidP="008C6FC9">
      <w:pPr>
        <w:pStyle w:val="paragraph"/>
        <w:shd w:val="clear" w:color="auto" w:fill="FFFFFF" w:themeFill="background1"/>
        <w:spacing w:before="0" w:beforeAutospacing="0" w:after="0" w:afterAutospacing="0"/>
        <w:textAlignment w:val="baseline"/>
        <w:rPr>
          <w:color w:val="0C3512" w:themeColor="accent3" w:themeShade="80"/>
        </w:rPr>
      </w:pPr>
      <w:r w:rsidRPr="00FE42F0">
        <w:rPr>
          <w:rStyle w:val="normaltextrun"/>
          <w:color w:val="0C3512" w:themeColor="accent3" w:themeShade="80"/>
        </w:rPr>
        <w:t>Mike Kohn</w:t>
      </w:r>
    </w:p>
    <w:p w14:paraId="0582BC08" w14:textId="77777777" w:rsidR="00DD1597" w:rsidRPr="00FE42F0" w:rsidRDefault="00DD1597" w:rsidP="00DD1597">
      <w:pPr>
        <w:rPr>
          <w:iCs/>
          <w:color w:val="0C3512" w:themeColor="accent3" w:themeShade="80"/>
        </w:rPr>
      </w:pPr>
      <w:r w:rsidRPr="00FE42F0">
        <w:rPr>
          <w:iCs/>
          <w:color w:val="0C3512" w:themeColor="accent3" w:themeShade="80"/>
        </w:rPr>
        <w:t>U.S. Geological Survey</w:t>
      </w:r>
    </w:p>
    <w:p w14:paraId="4BBFC3EC" w14:textId="1810DB3A" w:rsidR="008C6FC9" w:rsidRPr="00FE42F0" w:rsidRDefault="008C4E68" w:rsidP="008C6FC9">
      <w:pPr>
        <w:pStyle w:val="paragraph"/>
        <w:shd w:val="clear" w:color="auto" w:fill="FFFFFF" w:themeFill="background1"/>
        <w:spacing w:before="0" w:beforeAutospacing="0" w:after="0" w:afterAutospacing="0"/>
        <w:textAlignment w:val="baseline"/>
        <w:rPr>
          <w:color w:val="0C3512" w:themeColor="accent3" w:themeShade="80"/>
        </w:rPr>
      </w:pPr>
      <w:r w:rsidRPr="00FE42F0">
        <w:rPr>
          <w:color w:val="0C3512" w:themeColor="accent3" w:themeShade="80"/>
        </w:rPr>
        <w:t>Colorado Water Science Center</w:t>
      </w:r>
    </w:p>
    <w:p w14:paraId="16CC073C" w14:textId="699C3740" w:rsidR="008C6FC9" w:rsidRPr="00FE42F0" w:rsidRDefault="00DD1597" w:rsidP="008C6FC9">
      <w:pPr>
        <w:pStyle w:val="paragraph"/>
        <w:shd w:val="clear" w:color="auto" w:fill="FFFFFF" w:themeFill="background1"/>
        <w:spacing w:before="0" w:beforeAutospacing="0" w:after="0" w:afterAutospacing="0"/>
        <w:textAlignment w:val="baseline"/>
        <w:rPr>
          <w:color w:val="0C3512" w:themeColor="accent3" w:themeShade="80"/>
        </w:rPr>
      </w:pPr>
      <w:r w:rsidRPr="00FE42F0">
        <w:rPr>
          <w:iCs/>
          <w:color w:val="0C3512" w:themeColor="accent3" w:themeShade="80"/>
        </w:rPr>
        <w:t xml:space="preserve">E-mail: </w:t>
      </w:r>
      <w:r w:rsidR="008C6FC9" w:rsidRPr="00FE42F0">
        <w:rPr>
          <w:rStyle w:val="normaltextrun"/>
          <w:color w:val="0C3512" w:themeColor="accent3" w:themeShade="80"/>
        </w:rPr>
        <w:t>mkohn@usgs.gov</w:t>
      </w:r>
      <w:r w:rsidR="008C6FC9" w:rsidRPr="00FE42F0">
        <w:rPr>
          <w:rStyle w:val="eop"/>
          <w:color w:val="0C3512" w:themeColor="accent3" w:themeShade="80"/>
        </w:rPr>
        <w:t> </w:t>
      </w:r>
    </w:p>
    <w:p w14:paraId="2C3E3BC0" w14:textId="77777777" w:rsidR="008C6FC9" w:rsidRPr="00FE42F0" w:rsidRDefault="008C6FC9" w:rsidP="008C6FC9">
      <w:pPr>
        <w:pStyle w:val="paragraph"/>
        <w:shd w:val="clear" w:color="auto" w:fill="FFFFFF" w:themeFill="background1"/>
        <w:spacing w:before="0" w:beforeAutospacing="0" w:after="0" w:afterAutospacing="0"/>
        <w:textAlignment w:val="baseline"/>
        <w:rPr>
          <w:color w:val="0C3512" w:themeColor="accent3" w:themeShade="80"/>
        </w:rPr>
      </w:pPr>
    </w:p>
    <w:p w14:paraId="6A86FC01" w14:textId="77777777" w:rsidR="008C6FC9" w:rsidRPr="00FE42F0" w:rsidRDefault="008C6FC9" w:rsidP="008C6FC9">
      <w:pPr>
        <w:pStyle w:val="paragraph"/>
        <w:shd w:val="clear" w:color="auto" w:fill="FFFFFF" w:themeFill="background1"/>
        <w:spacing w:before="0" w:beforeAutospacing="0" w:after="0" w:afterAutospacing="0"/>
        <w:textAlignment w:val="baseline"/>
        <w:rPr>
          <w:color w:val="0C3512" w:themeColor="accent3" w:themeShade="80"/>
        </w:rPr>
      </w:pPr>
      <w:r w:rsidRPr="00FE42F0">
        <w:rPr>
          <w:rStyle w:val="normaltextrun"/>
          <w:color w:val="0C3512" w:themeColor="accent3" w:themeShade="80"/>
        </w:rPr>
        <w:t>R. Russell Lotspeich</w:t>
      </w:r>
      <w:r w:rsidRPr="00FE42F0">
        <w:rPr>
          <w:rStyle w:val="eop"/>
          <w:color w:val="0C3512" w:themeColor="accent3" w:themeShade="80"/>
        </w:rPr>
        <w:t> </w:t>
      </w:r>
    </w:p>
    <w:p w14:paraId="52B0E008" w14:textId="77777777" w:rsidR="00DD1597" w:rsidRPr="00FE42F0" w:rsidRDefault="00DD1597" w:rsidP="00DD1597">
      <w:pPr>
        <w:rPr>
          <w:iCs/>
          <w:color w:val="0C3512" w:themeColor="accent3" w:themeShade="80"/>
        </w:rPr>
      </w:pPr>
      <w:r w:rsidRPr="00FE42F0">
        <w:rPr>
          <w:iCs/>
          <w:color w:val="0C3512" w:themeColor="accent3" w:themeShade="80"/>
        </w:rPr>
        <w:t>U.S. Geological Survey</w:t>
      </w:r>
    </w:p>
    <w:p w14:paraId="3116E78D" w14:textId="677EFA6B" w:rsidR="008C6FC9" w:rsidRPr="00FE42F0" w:rsidRDefault="00E44C52" w:rsidP="008C6FC9">
      <w:pPr>
        <w:pStyle w:val="paragraph"/>
        <w:shd w:val="clear" w:color="auto" w:fill="FFFFFF" w:themeFill="background1"/>
        <w:spacing w:before="0" w:beforeAutospacing="0" w:after="0" w:afterAutospacing="0"/>
        <w:textAlignment w:val="baseline"/>
        <w:rPr>
          <w:rStyle w:val="normaltextrun"/>
          <w:color w:val="0C3512" w:themeColor="accent3" w:themeShade="80"/>
        </w:rPr>
      </w:pPr>
      <w:r w:rsidRPr="00FE42F0">
        <w:rPr>
          <w:color w:val="0C3512" w:themeColor="accent3" w:themeShade="80"/>
        </w:rPr>
        <w:t>Hydrologic Networks Branch</w:t>
      </w:r>
      <w:r w:rsidRPr="00FE42F0">
        <w:rPr>
          <w:color w:val="0C3512" w:themeColor="accent3" w:themeShade="80"/>
        </w:rPr>
        <w:br/>
      </w:r>
      <w:r w:rsidR="00DD1597" w:rsidRPr="00FE42F0">
        <w:rPr>
          <w:iCs/>
          <w:color w:val="0C3512" w:themeColor="accent3" w:themeShade="80"/>
        </w:rPr>
        <w:t xml:space="preserve">E-mail: </w:t>
      </w:r>
      <w:r w:rsidR="008C6FC9" w:rsidRPr="00FE42F0">
        <w:rPr>
          <w:color w:val="0C3512" w:themeColor="accent3" w:themeShade="80"/>
        </w:rPr>
        <w:t>rlotspei@usgs.gov</w:t>
      </w:r>
    </w:p>
    <w:p w14:paraId="49D7ECB7" w14:textId="77777777" w:rsidR="00F511CD" w:rsidRPr="00D969E9" w:rsidRDefault="00F511CD" w:rsidP="00F511CD">
      <w:pPr>
        <w:rPr>
          <w:iCs/>
          <w:color w:val="000000"/>
        </w:rPr>
      </w:pP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3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14D9" w14:textId="77777777" w:rsidR="003B3A09" w:rsidRDefault="003B3A09" w:rsidP="00F80EDE">
      <w:r>
        <w:separator/>
      </w:r>
    </w:p>
  </w:endnote>
  <w:endnote w:type="continuationSeparator" w:id="0">
    <w:p w14:paraId="1E1CEA3B" w14:textId="77777777" w:rsidR="003B3A09" w:rsidRDefault="003B3A09" w:rsidP="00F80EDE">
      <w:r>
        <w:continuationSeparator/>
      </w:r>
    </w:p>
  </w:endnote>
  <w:endnote w:type="continuationNotice" w:id="1">
    <w:p w14:paraId="38C66EE0" w14:textId="77777777" w:rsidR="003B3A09" w:rsidRDefault="003B3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Yu Gothic"/>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DAE8" w14:textId="77777777" w:rsidR="003B3A09" w:rsidRDefault="003B3A09" w:rsidP="00F80EDE">
      <w:r>
        <w:separator/>
      </w:r>
    </w:p>
  </w:footnote>
  <w:footnote w:type="continuationSeparator" w:id="0">
    <w:p w14:paraId="751A98FB" w14:textId="77777777" w:rsidR="003B3A09" w:rsidRDefault="003B3A09" w:rsidP="00F80EDE">
      <w:r>
        <w:continuationSeparator/>
      </w:r>
    </w:p>
  </w:footnote>
  <w:footnote w:type="continuationNotice" w:id="1">
    <w:p w14:paraId="795F45E2" w14:textId="77777777" w:rsidR="003B3A09" w:rsidRDefault="003B3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016C8D"/>
    <w:multiLevelType w:val="multilevel"/>
    <w:tmpl w:val="61A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5EF8"/>
    <w:multiLevelType w:val="hybridMultilevel"/>
    <w:tmpl w:val="F51274C0"/>
    <w:lvl w:ilvl="0" w:tplc="5E20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7061A"/>
    <w:multiLevelType w:val="multilevel"/>
    <w:tmpl w:val="632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F2D4B"/>
    <w:multiLevelType w:val="multilevel"/>
    <w:tmpl w:val="985C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32BF7"/>
    <w:multiLevelType w:val="multilevel"/>
    <w:tmpl w:val="984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8D154B"/>
    <w:multiLevelType w:val="multilevel"/>
    <w:tmpl w:val="3EB6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B439E"/>
    <w:multiLevelType w:val="multilevel"/>
    <w:tmpl w:val="A71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F4566"/>
    <w:multiLevelType w:val="multilevel"/>
    <w:tmpl w:val="37D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30A83"/>
    <w:multiLevelType w:val="hybridMultilevel"/>
    <w:tmpl w:val="6936A78E"/>
    <w:lvl w:ilvl="0" w:tplc="304AF7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104D5"/>
    <w:multiLevelType w:val="multilevel"/>
    <w:tmpl w:val="30E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114DA"/>
    <w:multiLevelType w:val="multilevel"/>
    <w:tmpl w:val="69E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6763D6"/>
    <w:multiLevelType w:val="multilevel"/>
    <w:tmpl w:val="8F48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A261249"/>
    <w:multiLevelType w:val="hybridMultilevel"/>
    <w:tmpl w:val="7362D1C4"/>
    <w:lvl w:ilvl="0" w:tplc="E04443A4">
      <w:start w:val="1"/>
      <w:numFmt w:val="decimal"/>
      <w:lvlText w:val="%1."/>
      <w:lvlJc w:val="left"/>
      <w:pPr>
        <w:ind w:left="720" w:hanging="360"/>
      </w:pPr>
    </w:lvl>
    <w:lvl w:ilvl="1" w:tplc="77AA35D2">
      <w:start w:val="1"/>
      <w:numFmt w:val="lowerLetter"/>
      <w:lvlText w:val="%2."/>
      <w:lvlJc w:val="left"/>
      <w:pPr>
        <w:ind w:left="1440" w:hanging="360"/>
      </w:pPr>
    </w:lvl>
    <w:lvl w:ilvl="2" w:tplc="4B0A2E5A">
      <w:start w:val="1"/>
      <w:numFmt w:val="lowerRoman"/>
      <w:lvlText w:val="%3."/>
      <w:lvlJc w:val="right"/>
      <w:pPr>
        <w:ind w:left="2160" w:hanging="180"/>
      </w:pPr>
    </w:lvl>
    <w:lvl w:ilvl="3" w:tplc="AF0A7DD6">
      <w:start w:val="1"/>
      <w:numFmt w:val="decimal"/>
      <w:lvlText w:val="%4."/>
      <w:lvlJc w:val="left"/>
      <w:pPr>
        <w:ind w:left="2880" w:hanging="360"/>
      </w:pPr>
    </w:lvl>
    <w:lvl w:ilvl="4" w:tplc="FD1E3232">
      <w:start w:val="1"/>
      <w:numFmt w:val="lowerLetter"/>
      <w:lvlText w:val="%5."/>
      <w:lvlJc w:val="left"/>
      <w:pPr>
        <w:ind w:left="3600" w:hanging="360"/>
      </w:pPr>
    </w:lvl>
    <w:lvl w:ilvl="5" w:tplc="357AEF0A">
      <w:start w:val="1"/>
      <w:numFmt w:val="lowerRoman"/>
      <w:lvlText w:val="%6."/>
      <w:lvlJc w:val="right"/>
      <w:pPr>
        <w:ind w:left="4320" w:hanging="180"/>
      </w:pPr>
    </w:lvl>
    <w:lvl w:ilvl="6" w:tplc="0F70AC90">
      <w:start w:val="1"/>
      <w:numFmt w:val="decimal"/>
      <w:lvlText w:val="%7."/>
      <w:lvlJc w:val="left"/>
      <w:pPr>
        <w:ind w:left="5040" w:hanging="360"/>
      </w:pPr>
    </w:lvl>
    <w:lvl w:ilvl="7" w:tplc="8DBCEF72">
      <w:start w:val="1"/>
      <w:numFmt w:val="lowerLetter"/>
      <w:lvlText w:val="%8."/>
      <w:lvlJc w:val="left"/>
      <w:pPr>
        <w:ind w:left="5760" w:hanging="360"/>
      </w:pPr>
    </w:lvl>
    <w:lvl w:ilvl="8" w:tplc="908017A6">
      <w:start w:val="1"/>
      <w:numFmt w:val="lowerRoman"/>
      <w:lvlText w:val="%9."/>
      <w:lvlJc w:val="right"/>
      <w:pPr>
        <w:ind w:left="6480" w:hanging="180"/>
      </w:pPr>
    </w:lvl>
  </w:abstractNum>
  <w:abstractNum w:abstractNumId="25"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26"/>
  </w:num>
  <w:num w:numId="2" w16cid:durableId="751316451">
    <w:abstractNumId w:val="11"/>
  </w:num>
  <w:num w:numId="3" w16cid:durableId="898976560">
    <w:abstractNumId w:val="13"/>
  </w:num>
  <w:num w:numId="4" w16cid:durableId="1354265808">
    <w:abstractNumId w:val="3"/>
  </w:num>
  <w:num w:numId="5" w16cid:durableId="1568224288">
    <w:abstractNumId w:val="25"/>
  </w:num>
  <w:num w:numId="6" w16cid:durableId="1567260208">
    <w:abstractNumId w:val="17"/>
  </w:num>
  <w:num w:numId="7" w16cid:durableId="1194415159">
    <w:abstractNumId w:val="0"/>
  </w:num>
  <w:num w:numId="8" w16cid:durableId="856623427">
    <w:abstractNumId w:val="1"/>
  </w:num>
  <w:num w:numId="9" w16cid:durableId="878207328">
    <w:abstractNumId w:val="27"/>
  </w:num>
  <w:num w:numId="10" w16cid:durableId="1521700261">
    <w:abstractNumId w:val="12"/>
  </w:num>
  <w:num w:numId="11" w16cid:durableId="1376931965">
    <w:abstractNumId w:val="7"/>
  </w:num>
  <w:num w:numId="12" w16cid:durableId="1693997713">
    <w:abstractNumId w:val="19"/>
  </w:num>
  <w:num w:numId="13" w16cid:durableId="1172720656">
    <w:abstractNumId w:val="23"/>
  </w:num>
  <w:num w:numId="14" w16cid:durableId="43649415">
    <w:abstractNumId w:val="2"/>
  </w:num>
  <w:num w:numId="15" w16cid:durableId="1879076163">
    <w:abstractNumId w:val="24"/>
  </w:num>
  <w:num w:numId="16" w16cid:durableId="1229654604">
    <w:abstractNumId w:val="5"/>
  </w:num>
  <w:num w:numId="17" w16cid:durableId="265159076">
    <w:abstractNumId w:val="6"/>
  </w:num>
  <w:num w:numId="18" w16cid:durableId="2068070477">
    <w:abstractNumId w:val="18"/>
  </w:num>
  <w:num w:numId="19" w16cid:durableId="1775439470">
    <w:abstractNumId w:val="16"/>
  </w:num>
  <w:num w:numId="20" w16cid:durableId="7684736">
    <w:abstractNumId w:val="15"/>
  </w:num>
  <w:num w:numId="21" w16cid:durableId="1908300721">
    <w:abstractNumId w:val="21"/>
  </w:num>
  <w:num w:numId="22" w16cid:durableId="627587063">
    <w:abstractNumId w:val="20"/>
  </w:num>
  <w:num w:numId="23" w16cid:durableId="1869950143">
    <w:abstractNumId w:val="9"/>
  </w:num>
  <w:num w:numId="24" w16cid:durableId="273947780">
    <w:abstractNumId w:val="22"/>
  </w:num>
  <w:num w:numId="25" w16cid:durableId="127357641">
    <w:abstractNumId w:val="14"/>
  </w:num>
  <w:num w:numId="26" w16cid:durableId="524711503">
    <w:abstractNumId w:val="10"/>
  </w:num>
  <w:num w:numId="27" w16cid:durableId="1790859791">
    <w:abstractNumId w:val="4"/>
  </w:num>
  <w:num w:numId="28" w16cid:durableId="15505333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314A6"/>
    <w:rsid w:val="000423F9"/>
    <w:rsid w:val="0004288C"/>
    <w:rsid w:val="00043044"/>
    <w:rsid w:val="0005092E"/>
    <w:rsid w:val="000525D4"/>
    <w:rsid w:val="00053D68"/>
    <w:rsid w:val="0007357E"/>
    <w:rsid w:val="00073E26"/>
    <w:rsid w:val="000848E3"/>
    <w:rsid w:val="00096DC1"/>
    <w:rsid w:val="0009733A"/>
    <w:rsid w:val="000A279C"/>
    <w:rsid w:val="000A2AB3"/>
    <w:rsid w:val="000A2FD1"/>
    <w:rsid w:val="000B1796"/>
    <w:rsid w:val="000B48F3"/>
    <w:rsid w:val="000C4EA4"/>
    <w:rsid w:val="000D35BC"/>
    <w:rsid w:val="000D50D2"/>
    <w:rsid w:val="000D75EF"/>
    <w:rsid w:val="000E519C"/>
    <w:rsid w:val="000E6799"/>
    <w:rsid w:val="000F52AE"/>
    <w:rsid w:val="000F5A19"/>
    <w:rsid w:val="00102671"/>
    <w:rsid w:val="0010642E"/>
    <w:rsid w:val="00107EDF"/>
    <w:rsid w:val="00111625"/>
    <w:rsid w:val="00111862"/>
    <w:rsid w:val="00116A90"/>
    <w:rsid w:val="0011764A"/>
    <w:rsid w:val="00122088"/>
    <w:rsid w:val="00144290"/>
    <w:rsid w:val="0015281C"/>
    <w:rsid w:val="001566FF"/>
    <w:rsid w:val="00157BBE"/>
    <w:rsid w:val="001672F3"/>
    <w:rsid w:val="001762BF"/>
    <w:rsid w:val="001877AB"/>
    <w:rsid w:val="0019236B"/>
    <w:rsid w:val="0019314B"/>
    <w:rsid w:val="001A5921"/>
    <w:rsid w:val="001B0E7D"/>
    <w:rsid w:val="001B330F"/>
    <w:rsid w:val="001C4BFB"/>
    <w:rsid w:val="001D290A"/>
    <w:rsid w:val="001D364F"/>
    <w:rsid w:val="001D528F"/>
    <w:rsid w:val="001E2182"/>
    <w:rsid w:val="001E374C"/>
    <w:rsid w:val="001E553C"/>
    <w:rsid w:val="001F328F"/>
    <w:rsid w:val="001F47FC"/>
    <w:rsid w:val="001F7022"/>
    <w:rsid w:val="002049FD"/>
    <w:rsid w:val="00206464"/>
    <w:rsid w:val="00207A46"/>
    <w:rsid w:val="00214BE4"/>
    <w:rsid w:val="00217793"/>
    <w:rsid w:val="00235E0E"/>
    <w:rsid w:val="00241039"/>
    <w:rsid w:val="00244EBF"/>
    <w:rsid w:val="00252214"/>
    <w:rsid w:val="00256E8B"/>
    <w:rsid w:val="00257CEA"/>
    <w:rsid w:val="00260AB8"/>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2535"/>
    <w:rsid w:val="002E2B17"/>
    <w:rsid w:val="002E4733"/>
    <w:rsid w:val="002E5FD6"/>
    <w:rsid w:val="002F1536"/>
    <w:rsid w:val="003134D3"/>
    <w:rsid w:val="00315EFE"/>
    <w:rsid w:val="003206AB"/>
    <w:rsid w:val="00324F1F"/>
    <w:rsid w:val="00331FC4"/>
    <w:rsid w:val="003473FB"/>
    <w:rsid w:val="003475F1"/>
    <w:rsid w:val="00347A35"/>
    <w:rsid w:val="003512A5"/>
    <w:rsid w:val="00351B07"/>
    <w:rsid w:val="003564CB"/>
    <w:rsid w:val="00366A8F"/>
    <w:rsid w:val="0036712A"/>
    <w:rsid w:val="00374B10"/>
    <w:rsid w:val="00375CD9"/>
    <w:rsid w:val="003776A5"/>
    <w:rsid w:val="00380771"/>
    <w:rsid w:val="00383189"/>
    <w:rsid w:val="00383A53"/>
    <w:rsid w:val="00383A71"/>
    <w:rsid w:val="0038654D"/>
    <w:rsid w:val="00386E5E"/>
    <w:rsid w:val="003943AB"/>
    <w:rsid w:val="00396590"/>
    <w:rsid w:val="00397DFF"/>
    <w:rsid w:val="003B01C3"/>
    <w:rsid w:val="003B3A09"/>
    <w:rsid w:val="003C30B1"/>
    <w:rsid w:val="003C321B"/>
    <w:rsid w:val="003C44BD"/>
    <w:rsid w:val="003C6E82"/>
    <w:rsid w:val="003D571A"/>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273D"/>
    <w:rsid w:val="00444E56"/>
    <w:rsid w:val="00451C70"/>
    <w:rsid w:val="00460829"/>
    <w:rsid w:val="0046126C"/>
    <w:rsid w:val="00461BAF"/>
    <w:rsid w:val="004623BE"/>
    <w:rsid w:val="00471F14"/>
    <w:rsid w:val="00480DD5"/>
    <w:rsid w:val="00487684"/>
    <w:rsid w:val="004A5402"/>
    <w:rsid w:val="004B0943"/>
    <w:rsid w:val="004B59B0"/>
    <w:rsid w:val="004B5B01"/>
    <w:rsid w:val="004B69F5"/>
    <w:rsid w:val="004B6CD3"/>
    <w:rsid w:val="004C0419"/>
    <w:rsid w:val="004C49AD"/>
    <w:rsid w:val="004C4B91"/>
    <w:rsid w:val="004D0780"/>
    <w:rsid w:val="004E02C4"/>
    <w:rsid w:val="004E15B7"/>
    <w:rsid w:val="004E1F76"/>
    <w:rsid w:val="004E2A63"/>
    <w:rsid w:val="004E2BA3"/>
    <w:rsid w:val="004E673C"/>
    <w:rsid w:val="004F1136"/>
    <w:rsid w:val="00510DAD"/>
    <w:rsid w:val="00512118"/>
    <w:rsid w:val="00513EBA"/>
    <w:rsid w:val="00517C6B"/>
    <w:rsid w:val="00526DDB"/>
    <w:rsid w:val="0053633F"/>
    <w:rsid w:val="00542E2F"/>
    <w:rsid w:val="00555DF9"/>
    <w:rsid w:val="0056548A"/>
    <w:rsid w:val="0056733C"/>
    <w:rsid w:val="00570BCE"/>
    <w:rsid w:val="00575AA3"/>
    <w:rsid w:val="00577630"/>
    <w:rsid w:val="005853C1"/>
    <w:rsid w:val="005A0AD9"/>
    <w:rsid w:val="005A492C"/>
    <w:rsid w:val="005A571D"/>
    <w:rsid w:val="005A7AF2"/>
    <w:rsid w:val="005B0283"/>
    <w:rsid w:val="005B16A2"/>
    <w:rsid w:val="005B3D5A"/>
    <w:rsid w:val="005B6CC1"/>
    <w:rsid w:val="005C035C"/>
    <w:rsid w:val="005C39DF"/>
    <w:rsid w:val="005C7ECA"/>
    <w:rsid w:val="005D0A50"/>
    <w:rsid w:val="005D1EA1"/>
    <w:rsid w:val="005D2F44"/>
    <w:rsid w:val="005D6692"/>
    <w:rsid w:val="005E2801"/>
    <w:rsid w:val="005E2C20"/>
    <w:rsid w:val="005E6F14"/>
    <w:rsid w:val="005F2845"/>
    <w:rsid w:val="005F3444"/>
    <w:rsid w:val="005F3DE9"/>
    <w:rsid w:val="005F5794"/>
    <w:rsid w:val="005F7DF7"/>
    <w:rsid w:val="006028FD"/>
    <w:rsid w:val="006046DE"/>
    <w:rsid w:val="006104CA"/>
    <w:rsid w:val="00610D3F"/>
    <w:rsid w:val="00613407"/>
    <w:rsid w:val="00657A18"/>
    <w:rsid w:val="006639A6"/>
    <w:rsid w:val="0066776D"/>
    <w:rsid w:val="006712A7"/>
    <w:rsid w:val="00690553"/>
    <w:rsid w:val="006908BB"/>
    <w:rsid w:val="006928CD"/>
    <w:rsid w:val="006A2079"/>
    <w:rsid w:val="006B2BE6"/>
    <w:rsid w:val="006B5223"/>
    <w:rsid w:val="006C0ADD"/>
    <w:rsid w:val="006D50E3"/>
    <w:rsid w:val="006E5D99"/>
    <w:rsid w:val="006F0E6E"/>
    <w:rsid w:val="006F66EB"/>
    <w:rsid w:val="006F7978"/>
    <w:rsid w:val="0070057A"/>
    <w:rsid w:val="00700582"/>
    <w:rsid w:val="00700883"/>
    <w:rsid w:val="00702F1C"/>
    <w:rsid w:val="00717A48"/>
    <w:rsid w:val="007225C9"/>
    <w:rsid w:val="007364F8"/>
    <w:rsid w:val="00752724"/>
    <w:rsid w:val="00752FD7"/>
    <w:rsid w:val="00764045"/>
    <w:rsid w:val="00764B3A"/>
    <w:rsid w:val="0076596C"/>
    <w:rsid w:val="00771471"/>
    <w:rsid w:val="007831E5"/>
    <w:rsid w:val="007843B9"/>
    <w:rsid w:val="007A44A1"/>
    <w:rsid w:val="007A52EC"/>
    <w:rsid w:val="007A7934"/>
    <w:rsid w:val="007B132F"/>
    <w:rsid w:val="007B7A8D"/>
    <w:rsid w:val="007C1AE6"/>
    <w:rsid w:val="007D1BB6"/>
    <w:rsid w:val="007D3BD4"/>
    <w:rsid w:val="007D766A"/>
    <w:rsid w:val="007F068E"/>
    <w:rsid w:val="007F6097"/>
    <w:rsid w:val="008060D4"/>
    <w:rsid w:val="00811B7F"/>
    <w:rsid w:val="00812984"/>
    <w:rsid w:val="0081695A"/>
    <w:rsid w:val="008239C3"/>
    <w:rsid w:val="00825C87"/>
    <w:rsid w:val="008312BF"/>
    <w:rsid w:val="008314D2"/>
    <w:rsid w:val="00841151"/>
    <w:rsid w:val="00857B5E"/>
    <w:rsid w:val="0086340F"/>
    <w:rsid w:val="00871C50"/>
    <w:rsid w:val="00875C7C"/>
    <w:rsid w:val="00881111"/>
    <w:rsid w:val="00884A94"/>
    <w:rsid w:val="00884D0B"/>
    <w:rsid w:val="00884DA4"/>
    <w:rsid w:val="00893F30"/>
    <w:rsid w:val="008974DB"/>
    <w:rsid w:val="00897977"/>
    <w:rsid w:val="008C4E68"/>
    <w:rsid w:val="008C6FC9"/>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2C33"/>
    <w:rsid w:val="00923E0F"/>
    <w:rsid w:val="009245E9"/>
    <w:rsid w:val="00932060"/>
    <w:rsid w:val="00937BB1"/>
    <w:rsid w:val="0094388E"/>
    <w:rsid w:val="0094433A"/>
    <w:rsid w:val="00950B1A"/>
    <w:rsid w:val="009609A5"/>
    <w:rsid w:val="0096452B"/>
    <w:rsid w:val="00966C44"/>
    <w:rsid w:val="00970C8D"/>
    <w:rsid w:val="00971AB2"/>
    <w:rsid w:val="00973556"/>
    <w:rsid w:val="0097473D"/>
    <w:rsid w:val="00977FE4"/>
    <w:rsid w:val="00993789"/>
    <w:rsid w:val="00993C45"/>
    <w:rsid w:val="009B4BC3"/>
    <w:rsid w:val="009D3B32"/>
    <w:rsid w:val="009D43A6"/>
    <w:rsid w:val="009D6447"/>
    <w:rsid w:val="009E17A4"/>
    <w:rsid w:val="009F5318"/>
    <w:rsid w:val="00A05289"/>
    <w:rsid w:val="00A1099D"/>
    <w:rsid w:val="00A11F97"/>
    <w:rsid w:val="00A15096"/>
    <w:rsid w:val="00A20EAC"/>
    <w:rsid w:val="00A305F0"/>
    <w:rsid w:val="00A30C33"/>
    <w:rsid w:val="00A37A5F"/>
    <w:rsid w:val="00A4039C"/>
    <w:rsid w:val="00A43D65"/>
    <w:rsid w:val="00A52101"/>
    <w:rsid w:val="00A61566"/>
    <w:rsid w:val="00A865BE"/>
    <w:rsid w:val="00A91091"/>
    <w:rsid w:val="00AA220B"/>
    <w:rsid w:val="00AA3001"/>
    <w:rsid w:val="00AA6563"/>
    <w:rsid w:val="00AA7246"/>
    <w:rsid w:val="00AB1AA6"/>
    <w:rsid w:val="00AB3ABE"/>
    <w:rsid w:val="00AC1BED"/>
    <w:rsid w:val="00AE1875"/>
    <w:rsid w:val="00AE3356"/>
    <w:rsid w:val="00AF7E67"/>
    <w:rsid w:val="00B02C33"/>
    <w:rsid w:val="00B15D9B"/>
    <w:rsid w:val="00B31A4E"/>
    <w:rsid w:val="00B31EEF"/>
    <w:rsid w:val="00B32281"/>
    <w:rsid w:val="00B35F3D"/>
    <w:rsid w:val="00B37E67"/>
    <w:rsid w:val="00B416D9"/>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107C"/>
    <w:rsid w:val="00BC3074"/>
    <w:rsid w:val="00BC37AC"/>
    <w:rsid w:val="00BC6C58"/>
    <w:rsid w:val="00BD5BA3"/>
    <w:rsid w:val="00BD7CEF"/>
    <w:rsid w:val="00BE2383"/>
    <w:rsid w:val="00BE71F4"/>
    <w:rsid w:val="00BE7E01"/>
    <w:rsid w:val="00BF05CB"/>
    <w:rsid w:val="00BF55BA"/>
    <w:rsid w:val="00BF77B9"/>
    <w:rsid w:val="00C01FD7"/>
    <w:rsid w:val="00C03590"/>
    <w:rsid w:val="00C05555"/>
    <w:rsid w:val="00C15D2B"/>
    <w:rsid w:val="00C15E70"/>
    <w:rsid w:val="00C20444"/>
    <w:rsid w:val="00C20F2F"/>
    <w:rsid w:val="00C25255"/>
    <w:rsid w:val="00C2637A"/>
    <w:rsid w:val="00C26417"/>
    <w:rsid w:val="00C321FE"/>
    <w:rsid w:val="00C402DA"/>
    <w:rsid w:val="00C4315C"/>
    <w:rsid w:val="00C46253"/>
    <w:rsid w:val="00C536C2"/>
    <w:rsid w:val="00C65595"/>
    <w:rsid w:val="00C713CE"/>
    <w:rsid w:val="00C7182A"/>
    <w:rsid w:val="00C803BB"/>
    <w:rsid w:val="00C96520"/>
    <w:rsid w:val="00CA5BEB"/>
    <w:rsid w:val="00CB1F95"/>
    <w:rsid w:val="00CC5876"/>
    <w:rsid w:val="00CD2CA5"/>
    <w:rsid w:val="00CD3464"/>
    <w:rsid w:val="00CE7B6E"/>
    <w:rsid w:val="00CF5816"/>
    <w:rsid w:val="00D0179C"/>
    <w:rsid w:val="00D066D8"/>
    <w:rsid w:val="00D073E3"/>
    <w:rsid w:val="00D11845"/>
    <w:rsid w:val="00D1272D"/>
    <w:rsid w:val="00D12AC7"/>
    <w:rsid w:val="00D165AC"/>
    <w:rsid w:val="00D26A8E"/>
    <w:rsid w:val="00D26D3E"/>
    <w:rsid w:val="00D34EB2"/>
    <w:rsid w:val="00D3519F"/>
    <w:rsid w:val="00D40E17"/>
    <w:rsid w:val="00D46BD2"/>
    <w:rsid w:val="00D46D8E"/>
    <w:rsid w:val="00D4759C"/>
    <w:rsid w:val="00D52A71"/>
    <w:rsid w:val="00D56BE1"/>
    <w:rsid w:val="00D571BD"/>
    <w:rsid w:val="00D62D2A"/>
    <w:rsid w:val="00D65504"/>
    <w:rsid w:val="00D66515"/>
    <w:rsid w:val="00D74535"/>
    <w:rsid w:val="00D767FD"/>
    <w:rsid w:val="00D81C48"/>
    <w:rsid w:val="00D8277D"/>
    <w:rsid w:val="00D855F4"/>
    <w:rsid w:val="00D86D57"/>
    <w:rsid w:val="00D969E9"/>
    <w:rsid w:val="00DA2CD7"/>
    <w:rsid w:val="00DA76EF"/>
    <w:rsid w:val="00DB6B9D"/>
    <w:rsid w:val="00DB7000"/>
    <w:rsid w:val="00DB7902"/>
    <w:rsid w:val="00DB7CD7"/>
    <w:rsid w:val="00DC0077"/>
    <w:rsid w:val="00DC0CB9"/>
    <w:rsid w:val="00DC38C2"/>
    <w:rsid w:val="00DC3D3B"/>
    <w:rsid w:val="00DC4EC8"/>
    <w:rsid w:val="00DD0AE2"/>
    <w:rsid w:val="00DD1597"/>
    <w:rsid w:val="00DD1928"/>
    <w:rsid w:val="00DD219A"/>
    <w:rsid w:val="00DD39E3"/>
    <w:rsid w:val="00DD4EE4"/>
    <w:rsid w:val="00DE0A16"/>
    <w:rsid w:val="00DE2D8B"/>
    <w:rsid w:val="00DE4096"/>
    <w:rsid w:val="00DF4686"/>
    <w:rsid w:val="00DF47A4"/>
    <w:rsid w:val="00E005F4"/>
    <w:rsid w:val="00E105CC"/>
    <w:rsid w:val="00E14429"/>
    <w:rsid w:val="00E175E5"/>
    <w:rsid w:val="00E207BD"/>
    <w:rsid w:val="00E32B8A"/>
    <w:rsid w:val="00E32E17"/>
    <w:rsid w:val="00E33609"/>
    <w:rsid w:val="00E4464B"/>
    <w:rsid w:val="00E44C52"/>
    <w:rsid w:val="00E4691D"/>
    <w:rsid w:val="00E46D6B"/>
    <w:rsid w:val="00E568BF"/>
    <w:rsid w:val="00E63101"/>
    <w:rsid w:val="00E67F8F"/>
    <w:rsid w:val="00E75F5F"/>
    <w:rsid w:val="00E76253"/>
    <w:rsid w:val="00E915A9"/>
    <w:rsid w:val="00E9438F"/>
    <w:rsid w:val="00E9748A"/>
    <w:rsid w:val="00EA4200"/>
    <w:rsid w:val="00EB15F8"/>
    <w:rsid w:val="00EB2DD4"/>
    <w:rsid w:val="00EB4A31"/>
    <w:rsid w:val="00EC1157"/>
    <w:rsid w:val="00EC5AA1"/>
    <w:rsid w:val="00EC642C"/>
    <w:rsid w:val="00EC73AA"/>
    <w:rsid w:val="00ED1C54"/>
    <w:rsid w:val="00ED4F10"/>
    <w:rsid w:val="00ED6CA6"/>
    <w:rsid w:val="00EE4B03"/>
    <w:rsid w:val="00EE51ED"/>
    <w:rsid w:val="00EF1958"/>
    <w:rsid w:val="00F007A4"/>
    <w:rsid w:val="00F00977"/>
    <w:rsid w:val="00F01D4E"/>
    <w:rsid w:val="00F025D9"/>
    <w:rsid w:val="00F05C5F"/>
    <w:rsid w:val="00F07829"/>
    <w:rsid w:val="00F12B85"/>
    <w:rsid w:val="00F14A0E"/>
    <w:rsid w:val="00F1544D"/>
    <w:rsid w:val="00F15F2A"/>
    <w:rsid w:val="00F20D20"/>
    <w:rsid w:val="00F23D60"/>
    <w:rsid w:val="00F374B1"/>
    <w:rsid w:val="00F42929"/>
    <w:rsid w:val="00F43ED0"/>
    <w:rsid w:val="00F511CD"/>
    <w:rsid w:val="00F51524"/>
    <w:rsid w:val="00F51AFE"/>
    <w:rsid w:val="00F540C7"/>
    <w:rsid w:val="00F61AB7"/>
    <w:rsid w:val="00F642F0"/>
    <w:rsid w:val="00F67F62"/>
    <w:rsid w:val="00F7247C"/>
    <w:rsid w:val="00F7532F"/>
    <w:rsid w:val="00F8053E"/>
    <w:rsid w:val="00F80EDE"/>
    <w:rsid w:val="00F8668F"/>
    <w:rsid w:val="00F90C69"/>
    <w:rsid w:val="00F915CA"/>
    <w:rsid w:val="00F935CC"/>
    <w:rsid w:val="00FA08CC"/>
    <w:rsid w:val="00FB0063"/>
    <w:rsid w:val="00FB66A6"/>
    <w:rsid w:val="00FD303E"/>
    <w:rsid w:val="00FE02C3"/>
    <w:rsid w:val="00FE42F0"/>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890FC804-FAA5-4E52-85B9-7A8F8093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character" w:customStyle="1" w:styleId="normaltextrun">
    <w:name w:val="normaltextrun"/>
    <w:basedOn w:val="DefaultParagraphFont"/>
    <w:rsid w:val="008C6FC9"/>
  </w:style>
  <w:style w:type="paragraph" w:customStyle="1" w:styleId="paragraph">
    <w:name w:val="paragraph"/>
    <w:basedOn w:val="Normal"/>
    <w:rsid w:val="008C6FC9"/>
    <w:pPr>
      <w:spacing w:before="100" w:beforeAutospacing="1" w:after="100" w:afterAutospacing="1"/>
    </w:pPr>
  </w:style>
  <w:style w:type="character" w:customStyle="1" w:styleId="eop">
    <w:name w:val="eop"/>
    <w:basedOn w:val="DefaultParagraphFont"/>
    <w:rsid w:val="008C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2025/01/removing-barriers-to-american-leadership-in-artificial-intelligence/" TargetMode="External"/><Relationship Id="rId13" Type="http://schemas.openxmlformats.org/officeDocument/2006/relationships/hyperlink" Target="https://www.ecfr.gov/current/title-2/section-200.329"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21" Type="http://schemas.openxmlformats.org/officeDocument/2006/relationships/hyperlink" Target="https://home.grantsolutions.gov/home/" TargetMode="External"/><Relationship Id="rId7" Type="http://schemas.openxmlformats.org/officeDocument/2006/relationships/endnotes" Target="endnotes.xml"/><Relationship Id="rId12" Type="http://schemas.openxmlformats.org/officeDocument/2006/relationships/hyperlink" Target="https://grants.gov/forms/forms-repository/post-award-reporting-forms" TargetMode="External"/><Relationship Id="rId17" Type="http://schemas.openxmlformats.org/officeDocument/2006/relationships/hyperlink" Target="https://www.ecfr.gov/current/title-2/subtitle-A/chapter-II/part-200/subpart-B/section-200.113" TargetMode="External"/><Relationship Id="rId25" Type="http://schemas.openxmlformats.org/officeDocument/2006/relationships/hyperlink" Target="http://www.fgdc.gov"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subpart-D/subject-group-ECFR36520e4111dce32/section-200.330" TargetMode="External"/><Relationship Id="rId20" Type="http://schemas.openxmlformats.org/officeDocument/2006/relationships/hyperlink" Target="https://home.grantsolutions.gov/home/" TargetMode="External"/><Relationship Id="rId29" Type="http://schemas.openxmlformats.org/officeDocument/2006/relationships/hyperlink" Target="mailto:katherine_calder@ios.doi.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part-200/section-200.1" TargetMode="External"/><Relationship Id="rId24" Type="http://schemas.openxmlformats.org/officeDocument/2006/relationships/hyperlink" Target="http://www.asap.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2/subtitle-B/chapter-XIV/part-1402/subpart-B/section-1402.112" TargetMode="External"/><Relationship Id="rId23" Type="http://schemas.openxmlformats.org/officeDocument/2006/relationships/hyperlink" Target="https://home.grantsolutions.gov/home/" TargetMode="External"/><Relationship Id="rId28" Type="http://schemas.openxmlformats.org/officeDocument/2006/relationships/hyperlink" Target="mailto:support@grants.gov" TargetMode="External"/><Relationship Id="rId10" Type="http://schemas.openxmlformats.org/officeDocument/2006/relationships/hyperlink" Target="https://www.ecfr.gov/current/title-2/part-200/section-200.1" TargetMode="External"/><Relationship Id="rId19" Type="http://schemas.openxmlformats.org/officeDocument/2006/relationships/hyperlink" Target="https://www.ecfr.gov/current/title-43/subtitle-A/part-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erine_calder@ios.doi.gov" TargetMode="External"/><Relationship Id="rId14" Type="http://schemas.openxmlformats.org/officeDocument/2006/relationships/hyperlink" Target="https://www.ecfr.gov/current/title-2/section-200.329" TargetMode="External"/><Relationship Id="rId2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7" Type="http://schemas.openxmlformats.org/officeDocument/2006/relationships/hyperlink" Target="https://www.ecfr.gov/current/title-2/subtitle-A/chapter-II/part-200/subpart-D/subject-group-ECFR86b76dde0e1e9dc/section-200.34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11</TotalTime>
  <Pages>18</Pages>
  <Words>7008</Words>
  <Characters>40440</Characters>
  <Application>Microsoft Office Word</Application>
  <DocSecurity>0</DocSecurity>
  <Lines>842</Lines>
  <Paragraphs>348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dc:description/>
  <cp:lastModifiedBy>Calder, Katherine M</cp:lastModifiedBy>
  <cp:revision>14</cp:revision>
  <cp:lastPrinted>2013-06-13T19:28:00Z</cp:lastPrinted>
  <dcterms:created xsi:type="dcterms:W3CDTF">2026-04-29T14:28:00Z</dcterms:created>
  <dcterms:modified xsi:type="dcterms:W3CDTF">2026-04-30T21:22:00Z</dcterms:modified>
</cp:coreProperties>
</file>