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8779F" w:rsidP="49FDB925" w:rsidRDefault="79D4DE68" w14:paraId="70D4005A" w14:textId="7429C259">
      <w:pPr>
        <w:spacing w:after="0" w:line="257" w:lineRule="auto"/>
        <w:ind w:left="360"/>
        <w:jc w:val="center"/>
        <w:rPr>
          <w:rFonts w:ascii="Calibri" w:hAnsi="Calibri" w:eastAsia="Calibri" w:cs="Calibri"/>
          <w:b/>
          <w:bCs/>
        </w:rPr>
      </w:pPr>
      <w:r w:rsidRPr="49FDB925">
        <w:rPr>
          <w:rFonts w:ascii="Calibri" w:hAnsi="Calibri" w:eastAsia="Calibri" w:cs="Calibri"/>
          <w:b/>
          <w:bCs/>
        </w:rPr>
        <w:t>Advancing Strategic Space Partnerships in the Middle East</w:t>
      </w:r>
    </w:p>
    <w:p w:rsidR="00E8779F" w:rsidP="49FDB925" w:rsidRDefault="58FFEA99" w14:paraId="0E446F8C" w14:textId="0E626970">
      <w:pPr>
        <w:spacing w:after="0" w:line="257" w:lineRule="auto"/>
        <w:ind w:left="360"/>
        <w:jc w:val="center"/>
        <w:rPr>
          <w:rFonts w:ascii="Calibri" w:hAnsi="Calibri" w:eastAsia="Calibri" w:cs="Calibri"/>
          <w:b/>
          <w:bCs/>
        </w:rPr>
      </w:pPr>
      <w:r w:rsidRPr="49FDB925">
        <w:rPr>
          <w:rFonts w:ascii="Calibri" w:hAnsi="Calibri" w:eastAsia="Calibri" w:cs="Calibri"/>
          <w:b/>
          <w:bCs/>
        </w:rPr>
        <w:t xml:space="preserve">Funding Opportunity Number: </w:t>
      </w:r>
      <w:r w:rsidRPr="49FDB925" w:rsidR="28F57984">
        <w:rPr>
          <w:rFonts w:ascii="Calibri" w:hAnsi="Calibri" w:eastAsia="Calibri" w:cs="Calibri"/>
          <w:b/>
          <w:bCs/>
        </w:rPr>
        <w:t>DFOP0017462</w:t>
      </w:r>
    </w:p>
    <w:p w:rsidR="00E8779F" w:rsidP="49FDB925" w:rsidRDefault="38740CF7" w14:paraId="262C26AF" w14:textId="70D6692D">
      <w:pPr>
        <w:spacing w:after="0" w:line="257" w:lineRule="auto"/>
        <w:ind w:left="360"/>
        <w:jc w:val="center"/>
        <w:rPr>
          <w:rFonts w:ascii="Calibri" w:hAnsi="Calibri" w:eastAsia="Calibri" w:cs="Calibri"/>
          <w:b/>
          <w:bCs/>
        </w:rPr>
      </w:pPr>
      <w:r w:rsidRPr="49FDB925">
        <w:rPr>
          <w:rFonts w:ascii="Calibri" w:hAnsi="Calibri" w:eastAsia="Calibri" w:cs="Calibri"/>
          <w:b/>
          <w:bCs/>
        </w:rPr>
        <w:t>August 15</w:t>
      </w:r>
      <w:r w:rsidRPr="49FDB925" w:rsidR="58FFEA99">
        <w:rPr>
          <w:rFonts w:ascii="Calibri" w:hAnsi="Calibri" w:eastAsia="Calibri" w:cs="Calibri"/>
          <w:b/>
          <w:bCs/>
        </w:rPr>
        <w:t>, 202</w:t>
      </w:r>
      <w:r w:rsidRPr="49FDB925" w:rsidR="53DBCA49">
        <w:rPr>
          <w:rFonts w:ascii="Calibri" w:hAnsi="Calibri" w:eastAsia="Calibri" w:cs="Calibri"/>
          <w:b/>
          <w:bCs/>
        </w:rPr>
        <w:t>5</w:t>
      </w:r>
    </w:p>
    <w:p w:rsidR="00E8779F" w:rsidP="49FDB925" w:rsidRDefault="58FFEA99" w14:paraId="17E29615" w14:textId="22BF4376">
      <w:pPr>
        <w:spacing w:line="257" w:lineRule="auto"/>
        <w:ind w:left="360"/>
        <w:jc w:val="center"/>
        <w:rPr>
          <w:rFonts w:ascii="Calibri" w:hAnsi="Calibri" w:eastAsia="Calibri" w:cs="Calibri"/>
          <w:b/>
          <w:bCs/>
        </w:rPr>
      </w:pPr>
      <w:r w:rsidRPr="49FDB925">
        <w:rPr>
          <w:rFonts w:ascii="Calibri" w:hAnsi="Calibri" w:eastAsia="Calibri" w:cs="Calibri"/>
          <w:b/>
          <w:bCs/>
        </w:rPr>
        <w:t>NOFO Q&amp;A</w:t>
      </w:r>
    </w:p>
    <w:p w:rsidR="00E8779F" w:rsidP="49FDB925" w:rsidRDefault="58FFEA99" w14:paraId="0C22ED1D" w14:textId="678495F6">
      <w:pPr>
        <w:spacing w:after="0"/>
        <w:rPr>
          <w:rFonts w:ascii="Calibri" w:hAnsi="Calibri" w:eastAsia="Calibri" w:cs="Calibri"/>
          <w:color w:val="000000" w:themeColor="text1"/>
        </w:rPr>
      </w:pPr>
      <w:r w:rsidRPr="49FDB925">
        <w:rPr>
          <w:rFonts w:ascii="Calibri" w:hAnsi="Calibri" w:eastAsia="Calibri" w:cs="Calibri"/>
          <w:i/>
          <w:iCs/>
          <w:color w:val="000000" w:themeColor="text1"/>
        </w:rPr>
        <w:t xml:space="preserve"> </w:t>
      </w:r>
      <w:r w:rsidRPr="49FDB925">
        <w:rPr>
          <w:rFonts w:ascii="Calibri" w:hAnsi="Calibri" w:eastAsia="Calibri" w:cs="Calibri"/>
          <w:color w:val="000000" w:themeColor="text1"/>
        </w:rPr>
        <w:t xml:space="preserve"> </w:t>
      </w:r>
    </w:p>
    <w:p w:rsidR="00E8779F" w:rsidP="49FDB925" w:rsidRDefault="00E8779F" w14:paraId="1766A903" w14:textId="75FFB2BF">
      <w:pPr>
        <w:spacing w:after="0"/>
        <w:rPr>
          <w:rFonts w:ascii="Calibri" w:hAnsi="Calibri" w:eastAsia="Calibri" w:cs="Calibri"/>
          <w:color w:val="000000" w:themeColor="text1"/>
        </w:rPr>
      </w:pPr>
    </w:p>
    <w:p w:rsidR="00E8779F" w:rsidP="49FDB925" w:rsidRDefault="5B2BF63C" w14:paraId="74998CA8" w14:textId="52A1B3FB">
      <w:pPr>
        <w:pStyle w:val="ListParagraph"/>
        <w:numPr>
          <w:ilvl w:val="0"/>
          <w:numId w:val="1"/>
        </w:numPr>
        <w:spacing w:after="0"/>
        <w:rPr>
          <w:rFonts w:ascii="Calibri" w:hAnsi="Calibri" w:eastAsia="Calibri" w:cs="Calibri"/>
          <w:b/>
          <w:bCs/>
          <w:color w:val="000000" w:themeColor="text1"/>
        </w:rPr>
      </w:pPr>
      <w:r w:rsidRPr="0547F87C">
        <w:rPr>
          <w:rFonts w:ascii="Calibri" w:hAnsi="Calibri" w:eastAsia="Calibri" w:cs="Calibri"/>
          <w:b/>
          <w:bCs/>
          <w:color w:val="000000" w:themeColor="text1"/>
        </w:rPr>
        <w:t>Where do I apply for this Opportunity?</w:t>
      </w:r>
    </w:p>
    <w:p w:rsidR="5D81A0A6" w:rsidP="0547F87C" w:rsidRDefault="5D81A0A6" w14:paraId="180A76AF" w14:textId="1608FAA0">
      <w:pPr>
        <w:spacing w:before="240" w:after="240"/>
        <w:rPr>
          <w:rFonts w:ascii="Calibri" w:hAnsi="Calibri" w:eastAsia="Calibri" w:cs="Calibri"/>
          <w:color w:val="000000" w:themeColor="text1"/>
        </w:rPr>
      </w:pPr>
      <w:r w:rsidRPr="0547F87C">
        <w:rPr>
          <w:rFonts w:ascii="Calibri" w:hAnsi="Calibri" w:eastAsia="Calibri" w:cs="Calibri"/>
          <w:color w:val="000000" w:themeColor="text1"/>
        </w:rPr>
        <w:t>Please apply for this opportunity through MyGrants. There is a link in the description of the Grants.gov opportunity, and also could be found here:</w:t>
      </w:r>
      <w:r w:rsidRPr="0547F87C" w:rsidR="6D97CFED">
        <w:rPr>
          <w:rFonts w:ascii="Calibri" w:hAnsi="Calibri" w:eastAsia="Calibri" w:cs="Calibri"/>
          <w:color w:val="000000" w:themeColor="text1"/>
        </w:rPr>
        <w:t xml:space="preserve"> </w:t>
      </w:r>
      <w:hyperlink r:id="rId5">
        <w:r w:rsidRPr="0547F87C" w:rsidR="6D97CFED">
          <w:rPr>
            <w:rStyle w:val="Hyperlink"/>
            <w:rFonts w:ascii="Calibri" w:hAnsi="Calibri" w:eastAsia="Calibri" w:cs="Calibri"/>
          </w:rPr>
          <w:t>https://mygrants.servicenowservices.com/mygrants?id=mygrants_form&amp;table=x_g_usd4_d_grant_funding_opportunity&amp;sys_id=c605c4934736e6904f681864336d4310&amp;view=Default</w:t>
        </w:r>
      </w:hyperlink>
    </w:p>
    <w:p w:rsidR="00E8779F" w:rsidP="49FDB925" w:rsidRDefault="5B2BF63C" w14:paraId="07EA5312" w14:textId="5C24D70C">
      <w:pPr>
        <w:pStyle w:val="ListParagraph"/>
        <w:numPr>
          <w:ilvl w:val="0"/>
          <w:numId w:val="1"/>
        </w:numPr>
        <w:spacing w:after="0"/>
        <w:rPr>
          <w:rFonts w:ascii="Calibri" w:hAnsi="Calibri" w:eastAsia="Calibri" w:cs="Calibri"/>
          <w:b/>
          <w:bCs/>
          <w:color w:val="000000" w:themeColor="text1"/>
        </w:rPr>
      </w:pPr>
      <w:r w:rsidRPr="49FDB925">
        <w:rPr>
          <w:rFonts w:ascii="Calibri" w:hAnsi="Calibri" w:eastAsia="Calibri" w:cs="Calibri"/>
          <w:b/>
          <w:bCs/>
          <w:color w:val="000000" w:themeColor="text1"/>
        </w:rPr>
        <w:t>Where can I find the appendices and templates for this opportunity?</w:t>
      </w:r>
    </w:p>
    <w:p w:rsidR="00E8779F" w:rsidP="49FDB925" w:rsidRDefault="00E8779F" w14:paraId="0CE01A2E" w14:textId="1F9051D8">
      <w:pPr>
        <w:spacing w:after="0"/>
        <w:rPr>
          <w:rFonts w:ascii="Calibri" w:hAnsi="Calibri" w:eastAsia="Calibri" w:cs="Calibri"/>
          <w:color w:val="000000" w:themeColor="text1"/>
        </w:rPr>
      </w:pPr>
    </w:p>
    <w:p w:rsidR="00E8779F" w:rsidP="49FDB925" w:rsidRDefault="6D6FE5F1" w14:paraId="228F4860" w14:textId="7C5E8107">
      <w:pPr>
        <w:spacing w:after="0"/>
        <w:rPr>
          <w:rFonts w:ascii="Calibri" w:hAnsi="Calibri" w:eastAsia="Calibri" w:cs="Calibri"/>
          <w:color w:val="000000" w:themeColor="text1"/>
        </w:rPr>
      </w:pPr>
      <w:r w:rsidRPr="49FDB925">
        <w:rPr>
          <w:rFonts w:ascii="Calibri" w:hAnsi="Calibri" w:eastAsia="Calibri" w:cs="Calibri"/>
          <w:color w:val="000000" w:themeColor="text1"/>
        </w:rPr>
        <w:t xml:space="preserve">The appendices and templates could be found under “related documents” in the opportunity on Grants.gov, or at the above link in MyGrants. </w:t>
      </w:r>
    </w:p>
    <w:p w:rsidR="00E8779F" w:rsidP="49FDB925" w:rsidRDefault="00E8779F" w14:paraId="0721F981" w14:textId="7FD1206B">
      <w:pPr>
        <w:spacing w:after="0"/>
        <w:rPr>
          <w:rFonts w:ascii="Calibri" w:hAnsi="Calibri" w:eastAsia="Calibri" w:cs="Calibri"/>
          <w:b/>
          <w:bCs/>
          <w:color w:val="000000" w:themeColor="text1"/>
        </w:rPr>
      </w:pPr>
    </w:p>
    <w:p w:rsidR="00E8779F" w:rsidP="49FDB925" w:rsidRDefault="0A47C915" w14:paraId="16C16FC3" w14:textId="7D25241B">
      <w:pPr>
        <w:pStyle w:val="ListParagraph"/>
        <w:numPr>
          <w:ilvl w:val="0"/>
          <w:numId w:val="1"/>
        </w:numPr>
        <w:spacing w:after="0"/>
        <w:rPr>
          <w:rFonts w:ascii="Calibri" w:hAnsi="Calibri" w:eastAsia="Calibri" w:cs="Calibri"/>
          <w:b/>
          <w:bCs/>
          <w:color w:val="000000" w:themeColor="text1"/>
        </w:rPr>
      </w:pPr>
      <w:r w:rsidRPr="49FDB925">
        <w:rPr>
          <w:rFonts w:ascii="Calibri" w:hAnsi="Calibri" w:eastAsia="Calibri" w:cs="Calibri"/>
          <w:b/>
          <w:bCs/>
          <w:color w:val="000000" w:themeColor="text1"/>
        </w:rPr>
        <w:t>What is the expected start date for this project?</w:t>
      </w:r>
    </w:p>
    <w:p w:rsidR="00E8779F" w:rsidP="49FDB925" w:rsidRDefault="00E8779F" w14:paraId="1A420E1B" w14:textId="3EBDE6A5">
      <w:pPr>
        <w:spacing w:after="0"/>
        <w:rPr>
          <w:rFonts w:ascii="Calibri" w:hAnsi="Calibri" w:eastAsia="Calibri" w:cs="Calibri"/>
          <w:color w:val="000000" w:themeColor="text1"/>
        </w:rPr>
      </w:pPr>
    </w:p>
    <w:p w:rsidR="00E8779F" w:rsidP="49FDB925" w:rsidRDefault="571EA863" w14:paraId="1D83ACC1" w14:textId="254C9EF7">
      <w:pPr>
        <w:spacing w:after="0"/>
        <w:rPr>
          <w:rFonts w:ascii="Calibri" w:hAnsi="Calibri" w:eastAsia="Calibri" w:cs="Calibri"/>
          <w:color w:val="000000" w:themeColor="text1"/>
        </w:rPr>
      </w:pPr>
      <w:r w:rsidRPr="0547F87C">
        <w:rPr>
          <w:rFonts w:ascii="Calibri" w:hAnsi="Calibri" w:eastAsia="Calibri" w:cs="Calibri"/>
          <w:color w:val="000000" w:themeColor="text1"/>
        </w:rPr>
        <w:t>This would be up to the discretion of the grantee</w:t>
      </w:r>
      <w:r w:rsidRPr="0547F87C" w:rsidR="794DF573">
        <w:rPr>
          <w:rFonts w:ascii="Calibri" w:hAnsi="Calibri" w:eastAsia="Calibri" w:cs="Calibri"/>
          <w:color w:val="000000" w:themeColor="text1"/>
        </w:rPr>
        <w:t xml:space="preserve"> and when the final award agreement could be signed</w:t>
      </w:r>
      <w:r w:rsidRPr="0547F87C">
        <w:rPr>
          <w:rFonts w:ascii="Calibri" w:hAnsi="Calibri" w:eastAsia="Calibri" w:cs="Calibri"/>
          <w:color w:val="000000" w:themeColor="text1"/>
        </w:rPr>
        <w:t>. The earliest the grant could start would be October 1, 2025</w:t>
      </w:r>
      <w:r w:rsidRPr="0547F87C" w:rsidR="4DD507CE">
        <w:rPr>
          <w:rFonts w:ascii="Calibri" w:hAnsi="Calibri" w:eastAsia="Calibri" w:cs="Calibri"/>
          <w:color w:val="000000" w:themeColor="text1"/>
        </w:rPr>
        <w:t>.</w:t>
      </w:r>
    </w:p>
    <w:p w:rsidR="00E8779F" w:rsidP="49FDB925" w:rsidRDefault="00E8779F" w14:paraId="7EEF7CCB" w14:textId="1AE1AD06">
      <w:pPr>
        <w:spacing w:after="0"/>
        <w:rPr>
          <w:rFonts w:ascii="Calibri" w:hAnsi="Calibri" w:eastAsia="Calibri" w:cs="Calibri"/>
          <w:color w:val="000000" w:themeColor="text1"/>
        </w:rPr>
      </w:pPr>
    </w:p>
    <w:p w:rsidR="00E8779F" w:rsidP="69F4E683" w:rsidRDefault="0A47C915" w14:paraId="75B9567A" w14:textId="3A3A23A5">
      <w:pPr>
        <w:pStyle w:val="ListParagraph"/>
        <w:numPr>
          <w:ilvl w:val="0"/>
          <w:numId w:val="1"/>
        </w:numPr>
        <w:spacing w:after="0"/>
        <w:rPr>
          <w:rFonts w:ascii="Calibri" w:hAnsi="Calibri" w:eastAsia="Calibri" w:cs="Calibri"/>
          <w:b/>
          <w:bCs/>
          <w:color w:val="000000" w:themeColor="text1"/>
        </w:rPr>
      </w:pPr>
      <w:r w:rsidRPr="69F4E683">
        <w:rPr>
          <w:rFonts w:ascii="Calibri" w:hAnsi="Calibri" w:eastAsia="Calibri" w:cs="Calibri"/>
          <w:b/>
          <w:bCs/>
          <w:color w:val="000000" w:themeColor="text1"/>
        </w:rPr>
        <w:t>Can you provide a detailed definition of "appropriate protocol and decorum" as it pertains to Recipients of federal funding? Are there specific guidelines or examples that illustrate acceptable behavior in public communications?</w:t>
      </w:r>
    </w:p>
    <w:p w:rsidR="69F4E683" w:rsidP="69F4E683" w:rsidRDefault="69F4E683" w14:paraId="0CF608FD" w14:textId="52E18C0B">
      <w:pPr>
        <w:spacing w:after="0"/>
        <w:rPr>
          <w:rFonts w:ascii="Calibri" w:hAnsi="Calibri" w:eastAsia="Calibri" w:cs="Calibri"/>
          <w:color w:val="000000" w:themeColor="text1"/>
        </w:rPr>
      </w:pPr>
    </w:p>
    <w:p w:rsidR="52AA783E" w:rsidP="69F4E683" w:rsidRDefault="52AA783E" w14:paraId="301F3DB4" w14:textId="0ED0291E">
      <w:pPr>
        <w:spacing w:after="0"/>
        <w:rPr>
          <w:rFonts w:ascii="Calibri" w:hAnsi="Calibri" w:eastAsia="Calibri" w:cs="Calibri"/>
          <w:color w:val="000000" w:themeColor="text1"/>
        </w:rPr>
      </w:pPr>
      <w:r w:rsidRPr="69F4E683">
        <w:rPr>
          <w:rFonts w:ascii="Calibri" w:hAnsi="Calibri" w:eastAsia="Calibri" w:cs="Calibri"/>
          <w:color w:val="000000" w:themeColor="text1"/>
        </w:rPr>
        <w:t>Recipients should uphol</w:t>
      </w:r>
      <w:r w:rsidRPr="69F4E683" w:rsidR="1E66FADB">
        <w:rPr>
          <w:rFonts w:ascii="Calibri" w:hAnsi="Calibri" w:eastAsia="Calibri" w:cs="Calibri"/>
          <w:color w:val="000000" w:themeColor="text1"/>
        </w:rPr>
        <w:t xml:space="preserve">d reasonable standards of conduct, such as not disclosing </w:t>
      </w:r>
      <w:r w:rsidRPr="69F4E683" w:rsidR="062BD2A6">
        <w:rPr>
          <w:rFonts w:ascii="Calibri" w:hAnsi="Calibri" w:eastAsia="Calibri" w:cs="Calibri"/>
          <w:color w:val="000000" w:themeColor="text1"/>
        </w:rPr>
        <w:t>sensitive internal discussions with USG c</w:t>
      </w:r>
      <w:r w:rsidRPr="69F4E683" w:rsidR="27D205D8">
        <w:rPr>
          <w:rFonts w:ascii="Calibri" w:hAnsi="Calibri" w:eastAsia="Calibri" w:cs="Calibri"/>
          <w:color w:val="000000" w:themeColor="text1"/>
        </w:rPr>
        <w:t xml:space="preserve">ollaborators </w:t>
      </w:r>
      <w:r w:rsidRPr="69F4E683" w:rsidR="062BD2A6">
        <w:rPr>
          <w:rFonts w:ascii="Calibri" w:hAnsi="Calibri" w:eastAsia="Calibri" w:cs="Calibri"/>
          <w:color w:val="000000" w:themeColor="text1"/>
        </w:rPr>
        <w:t>or engaging in inappropriate</w:t>
      </w:r>
      <w:r w:rsidRPr="69F4E683" w:rsidR="3BD4BBFE">
        <w:rPr>
          <w:rFonts w:ascii="Calibri" w:hAnsi="Calibri" w:eastAsia="Calibri" w:cs="Calibri"/>
          <w:color w:val="000000" w:themeColor="text1"/>
        </w:rPr>
        <w:t xml:space="preserve"> or offensive</w:t>
      </w:r>
      <w:r w:rsidRPr="69F4E683" w:rsidR="062BD2A6">
        <w:rPr>
          <w:rFonts w:ascii="Calibri" w:hAnsi="Calibri" w:eastAsia="Calibri" w:cs="Calibri"/>
          <w:color w:val="000000" w:themeColor="text1"/>
        </w:rPr>
        <w:t xml:space="preserve"> behavior</w:t>
      </w:r>
      <w:r w:rsidRPr="69F4E683" w:rsidR="2D8DCE1F">
        <w:rPr>
          <w:rFonts w:ascii="Calibri" w:hAnsi="Calibri" w:eastAsia="Calibri" w:cs="Calibri"/>
          <w:color w:val="000000" w:themeColor="text1"/>
        </w:rPr>
        <w:t xml:space="preserve"> in public communications</w:t>
      </w:r>
      <w:r w:rsidRPr="69F4E683" w:rsidR="062BD2A6">
        <w:rPr>
          <w:rFonts w:ascii="Calibri" w:hAnsi="Calibri" w:eastAsia="Calibri" w:cs="Calibri"/>
          <w:color w:val="000000" w:themeColor="text1"/>
        </w:rPr>
        <w:t xml:space="preserve">. </w:t>
      </w:r>
    </w:p>
    <w:p w:rsidR="00E8779F" w:rsidP="0547F87C" w:rsidRDefault="00E8779F" w14:paraId="37887EB8" w14:textId="18A6B72C">
      <w:pPr>
        <w:spacing w:after="0"/>
        <w:rPr>
          <w:rFonts w:ascii="Calibri" w:hAnsi="Calibri" w:eastAsia="Calibri" w:cs="Calibri"/>
          <w:b/>
          <w:bCs/>
          <w:color w:val="000000" w:themeColor="text1"/>
          <w:highlight w:val="yellow"/>
        </w:rPr>
      </w:pPr>
    </w:p>
    <w:p w:rsidR="00E8779F" w:rsidP="69F4E683" w:rsidRDefault="0A47C915" w14:paraId="3445097C" w14:textId="7C28CA4E">
      <w:pPr>
        <w:pStyle w:val="ListParagraph"/>
        <w:numPr>
          <w:ilvl w:val="0"/>
          <w:numId w:val="1"/>
        </w:numPr>
        <w:shd w:val="clear" w:color="auto" w:fill="FFFFFF" w:themeFill="background1"/>
        <w:spacing w:after="0"/>
        <w:rPr>
          <w:rFonts w:ascii="Calibri" w:hAnsi="Calibri" w:eastAsia="Calibri" w:cs="Calibri"/>
          <w:b w:val="1"/>
          <w:bCs w:val="1"/>
          <w:color w:val="000000" w:themeColor="text1"/>
        </w:rPr>
      </w:pPr>
      <w:r w:rsidRPr="6835F407" w:rsidR="0A47C915">
        <w:rPr>
          <w:rFonts w:ascii="Calibri" w:hAnsi="Calibri" w:eastAsia="Calibri" w:cs="Calibri"/>
          <w:b w:val="1"/>
          <w:bCs w:val="1"/>
          <w:color w:val="000000" w:themeColor="text1" w:themeTint="FF" w:themeShade="FF"/>
        </w:rPr>
        <w:t>What constitutes "public communications" in the context of this award? Does this include social media, press releases, publications, and presentations</w:t>
      </w:r>
      <w:r w:rsidRPr="6835F407" w:rsidR="0A47C915">
        <w:rPr>
          <w:rFonts w:ascii="Calibri" w:hAnsi="Calibri" w:eastAsia="Calibri" w:cs="Calibri"/>
          <w:b w:val="1"/>
          <w:bCs w:val="1"/>
          <w:color w:val="000000" w:themeColor="text1" w:themeTint="FF" w:themeShade="FF"/>
        </w:rPr>
        <w:t>?</w:t>
      </w:r>
    </w:p>
    <w:p w:rsidR="69F4E683" w:rsidP="69F4E683" w:rsidRDefault="69F4E683" w14:paraId="7F450C43" w14:textId="6D44BB42">
      <w:pPr>
        <w:shd w:val="clear" w:color="auto" w:fill="FFFFFF" w:themeFill="background1"/>
        <w:spacing w:after="0"/>
        <w:rPr>
          <w:rFonts w:ascii="Calibri" w:hAnsi="Calibri" w:eastAsia="Calibri" w:cs="Calibri"/>
          <w:b/>
          <w:bCs/>
          <w:color w:val="000000" w:themeColor="text1"/>
        </w:rPr>
      </w:pPr>
    </w:p>
    <w:p w:rsidR="00E8779F" w:rsidP="69F4E683" w:rsidRDefault="78F0E691" w14:paraId="3ED234A4" w14:textId="58B72C72">
      <w:pPr>
        <w:shd w:val="clear" w:color="auto" w:fill="FFFFFF" w:themeFill="background1"/>
        <w:spacing w:after="0"/>
        <w:rPr>
          <w:rFonts w:ascii="Calibri" w:hAnsi="Calibri" w:eastAsia="Calibri" w:cs="Calibri"/>
          <w:color w:val="000000" w:themeColor="text1"/>
        </w:rPr>
      </w:pPr>
      <w:r w:rsidRPr="69F4E683">
        <w:rPr>
          <w:rFonts w:ascii="Calibri" w:hAnsi="Calibri" w:eastAsia="Calibri" w:cs="Calibri"/>
          <w:color w:val="000000" w:themeColor="text1"/>
        </w:rPr>
        <w:t xml:space="preserve">Any </w:t>
      </w:r>
      <w:r w:rsidRPr="69F4E683" w:rsidR="105C396F">
        <w:rPr>
          <w:rFonts w:ascii="Calibri" w:hAnsi="Calibri" w:eastAsia="Calibri" w:cs="Calibri"/>
          <w:color w:val="000000" w:themeColor="text1"/>
        </w:rPr>
        <w:t xml:space="preserve">award activities or </w:t>
      </w:r>
      <w:r w:rsidRPr="69F4E683">
        <w:rPr>
          <w:rFonts w:ascii="Calibri" w:hAnsi="Calibri" w:eastAsia="Calibri" w:cs="Calibri"/>
          <w:color w:val="000000" w:themeColor="text1"/>
        </w:rPr>
        <w:t>communication accessible to or intended for public consumption would fall under this category.</w:t>
      </w:r>
    </w:p>
    <w:p w:rsidR="69F4E683" w:rsidP="69F4E683" w:rsidRDefault="69F4E683" w14:paraId="67BF93FA" w14:textId="1A841354">
      <w:pPr>
        <w:shd w:val="clear" w:color="auto" w:fill="FFFFFF" w:themeFill="background1"/>
        <w:spacing w:after="0"/>
        <w:rPr>
          <w:rFonts w:ascii="Calibri" w:hAnsi="Calibri" w:eastAsia="Calibri" w:cs="Calibri"/>
          <w:b/>
          <w:bCs/>
          <w:color w:val="000000" w:themeColor="text1"/>
        </w:rPr>
      </w:pPr>
    </w:p>
    <w:p w:rsidR="00E8779F" w:rsidP="49FDB925" w:rsidRDefault="0A47C915" w14:paraId="6125D9DE" w14:textId="4D21DAF9">
      <w:pPr>
        <w:pStyle w:val="ListParagraph"/>
        <w:numPr>
          <w:ilvl w:val="0"/>
          <w:numId w:val="1"/>
        </w:numPr>
        <w:shd w:val="clear" w:color="auto" w:fill="FFFFFF" w:themeFill="background1"/>
        <w:spacing w:after="0"/>
        <w:rPr>
          <w:rFonts w:ascii="Calibri" w:hAnsi="Calibri" w:eastAsia="Calibri" w:cs="Calibri"/>
          <w:b/>
          <w:bCs/>
          <w:color w:val="000000" w:themeColor="text1"/>
        </w:rPr>
      </w:pPr>
      <w:r w:rsidRPr="49FDB925">
        <w:rPr>
          <w:rFonts w:ascii="Calibri" w:hAnsi="Calibri" w:eastAsia="Calibri" w:cs="Calibri"/>
          <w:b/>
          <w:bCs/>
          <w:color w:val="000000" w:themeColor="text1"/>
        </w:rPr>
        <w:t>How is compliance with this term monitored over the life of the award?</w:t>
      </w:r>
    </w:p>
    <w:p w:rsidR="00E8779F" w:rsidP="49FDB925" w:rsidRDefault="00E8779F" w14:paraId="0B660B90" w14:textId="2A61B258">
      <w:pPr>
        <w:shd w:val="clear" w:color="auto" w:fill="FFFFFF" w:themeFill="background1"/>
        <w:spacing w:after="0"/>
        <w:rPr>
          <w:rFonts w:ascii="Calibri" w:hAnsi="Calibri" w:eastAsia="Calibri" w:cs="Calibri"/>
          <w:color w:val="000000" w:themeColor="text1"/>
        </w:rPr>
      </w:pPr>
    </w:p>
    <w:p w:rsidR="00E8779F" w:rsidP="49FDB925" w:rsidRDefault="0E653380" w14:paraId="556C2F33" w14:textId="506A4C06">
      <w:pPr>
        <w:shd w:val="clear" w:color="auto" w:fill="FFFFFF" w:themeFill="background1"/>
        <w:spacing w:after="0"/>
        <w:rPr>
          <w:rFonts w:ascii="Calibri" w:hAnsi="Calibri" w:eastAsia="Calibri" w:cs="Calibri"/>
          <w:color w:val="000000" w:themeColor="text1"/>
        </w:rPr>
      </w:pPr>
      <w:r w:rsidRPr="6835F407" w:rsidR="0E653380">
        <w:rPr>
          <w:rFonts w:ascii="Calibri" w:hAnsi="Calibri" w:eastAsia="Calibri" w:cs="Calibri"/>
          <w:color w:val="000000" w:themeColor="text1" w:themeTint="FF" w:themeShade="FF"/>
        </w:rPr>
        <w:t xml:space="preserve">Compliance is through quarterly oversight with the grantor through reports, and meetings, in addition to </w:t>
      </w:r>
      <w:r w:rsidRPr="6835F407" w:rsidR="0E653380">
        <w:rPr>
          <w:rFonts w:ascii="Calibri" w:hAnsi="Calibri" w:eastAsia="Calibri" w:cs="Calibri"/>
          <w:color w:val="000000" w:themeColor="text1" w:themeTint="FF" w:themeShade="FF"/>
        </w:rPr>
        <w:t>possible grantor</w:t>
      </w:r>
      <w:r w:rsidRPr="6835F407" w:rsidR="0E653380">
        <w:rPr>
          <w:rFonts w:ascii="Calibri" w:hAnsi="Calibri" w:eastAsia="Calibri" w:cs="Calibri"/>
          <w:color w:val="000000" w:themeColor="text1" w:themeTint="FF" w:themeShade="FF"/>
        </w:rPr>
        <w:t xml:space="preserve"> and/or </w:t>
      </w:r>
      <w:r w:rsidRPr="6835F407" w:rsidR="3B8CAC10">
        <w:rPr>
          <w:rFonts w:ascii="Calibri" w:hAnsi="Calibri" w:eastAsia="Calibri" w:cs="Calibri"/>
          <w:color w:val="000000" w:themeColor="text1" w:themeTint="FF" w:themeShade="FF"/>
        </w:rPr>
        <w:t>third-party</w:t>
      </w:r>
      <w:r w:rsidRPr="6835F407" w:rsidR="0E653380">
        <w:rPr>
          <w:rFonts w:ascii="Calibri" w:hAnsi="Calibri" w:eastAsia="Calibri" w:cs="Calibri"/>
          <w:color w:val="000000" w:themeColor="text1" w:themeTint="FF" w:themeShade="FF"/>
        </w:rPr>
        <w:t xml:space="preserve"> site visits</w:t>
      </w:r>
      <w:r w:rsidRPr="6835F407" w:rsidR="649F545F">
        <w:rPr>
          <w:rFonts w:ascii="Calibri" w:hAnsi="Calibri" w:eastAsia="Calibri" w:cs="Calibri"/>
          <w:color w:val="000000" w:themeColor="text1" w:themeTint="FF" w:themeShade="FF"/>
        </w:rPr>
        <w:t xml:space="preserve"> and review of program materials</w:t>
      </w:r>
      <w:r w:rsidRPr="6835F407" w:rsidR="61F42023">
        <w:rPr>
          <w:rFonts w:ascii="Calibri" w:hAnsi="Calibri" w:eastAsia="Calibri" w:cs="Calibri"/>
          <w:color w:val="000000" w:themeColor="text1" w:themeTint="FF" w:themeShade="FF"/>
        </w:rPr>
        <w:t xml:space="preserve"> or attendance at award activities</w:t>
      </w:r>
      <w:r w:rsidRPr="6835F407" w:rsidR="0E653380">
        <w:rPr>
          <w:rFonts w:ascii="Calibri" w:hAnsi="Calibri" w:eastAsia="Calibri" w:cs="Calibri"/>
          <w:color w:val="000000" w:themeColor="text1" w:themeTint="FF" w:themeShade="FF"/>
        </w:rPr>
        <w:t xml:space="preserve">. </w:t>
      </w:r>
    </w:p>
    <w:p w:rsidR="00E8779F" w:rsidP="49FDB925" w:rsidRDefault="00E8779F" w14:paraId="61EA740F" w14:textId="53CD78B7">
      <w:pPr>
        <w:shd w:val="clear" w:color="auto" w:fill="FFFFFF" w:themeFill="background1"/>
        <w:spacing w:after="0"/>
        <w:rPr>
          <w:rFonts w:ascii="Calibri" w:hAnsi="Calibri" w:eastAsia="Calibri" w:cs="Calibri"/>
          <w:color w:val="000000" w:themeColor="text1"/>
        </w:rPr>
      </w:pPr>
    </w:p>
    <w:p w:rsidR="00E8779F" w:rsidP="49FDB925" w:rsidRDefault="0A47C915" w14:paraId="4F2A5FAC" w14:textId="3256B7FC">
      <w:pPr>
        <w:pStyle w:val="ListParagraph"/>
        <w:numPr>
          <w:ilvl w:val="0"/>
          <w:numId w:val="1"/>
        </w:numPr>
        <w:spacing w:after="0"/>
        <w:rPr>
          <w:rFonts w:ascii="Calibri" w:hAnsi="Calibri" w:eastAsia="Calibri" w:cs="Calibri"/>
          <w:b/>
          <w:bCs/>
          <w:color w:val="000000" w:themeColor="text1"/>
        </w:rPr>
      </w:pPr>
      <w:r w:rsidRPr="49FDB925">
        <w:rPr>
          <w:rFonts w:ascii="Calibri" w:hAnsi="Calibri" w:eastAsia="Calibri" w:cs="Calibri"/>
          <w:b/>
          <w:bCs/>
          <w:color w:val="000000" w:themeColor="text1"/>
        </w:rPr>
        <w:t>“Recognizing that “for-profit” organizations are able to participate in this Opportunity, but the State Department prohibits profit for commercial organizations, would a “for-profit” or a “not-for-profit” Prime Awardee be allowed to bid and pay its subcontractor(s)/Sub Awardee(s) profit under the Grant?”</w:t>
      </w:r>
    </w:p>
    <w:p w:rsidR="00E8779F" w:rsidP="49FDB925" w:rsidRDefault="00E8779F" w14:paraId="3C4421A4" w14:textId="63A2D8FC">
      <w:pPr>
        <w:spacing w:after="0"/>
        <w:rPr>
          <w:rFonts w:ascii="Calibri" w:hAnsi="Calibri" w:eastAsia="Calibri" w:cs="Calibri"/>
          <w:color w:val="000000" w:themeColor="text1"/>
        </w:rPr>
      </w:pPr>
    </w:p>
    <w:p w:rsidR="00E8779F" w:rsidP="49FDB925" w:rsidRDefault="5B00E13A" w14:paraId="39E87BDE" w14:textId="480863E7">
      <w:pPr>
        <w:spacing w:after="0"/>
        <w:rPr>
          <w:rFonts w:ascii="Calibri" w:hAnsi="Calibri" w:eastAsia="Calibri" w:cs="Calibri"/>
          <w:color w:val="000000" w:themeColor="text1"/>
        </w:rPr>
      </w:pPr>
      <w:r w:rsidRPr="49FDB925">
        <w:rPr>
          <w:rFonts w:ascii="Calibri" w:hAnsi="Calibri" w:eastAsia="Calibri" w:cs="Calibri"/>
          <w:color w:val="000000" w:themeColor="text1"/>
        </w:rPr>
        <w:t xml:space="preserve">There should be no profit derived from this opportunity. The prime organization is allowed to pay subcontractors or sub awardees for work done on the project. </w:t>
      </w:r>
    </w:p>
    <w:p w:rsidR="00E8779F" w:rsidP="49FDB925" w:rsidRDefault="5B00E13A" w14:paraId="563B7E27" w14:textId="5FCEBE6E">
      <w:pPr>
        <w:spacing w:before="240" w:after="240"/>
        <w:rPr>
          <w:rFonts w:ascii="Calibri" w:hAnsi="Calibri" w:eastAsia="Calibri" w:cs="Calibri"/>
          <w:b/>
          <w:bCs/>
          <w:color w:val="000000" w:themeColor="text1"/>
        </w:rPr>
      </w:pPr>
      <w:r w:rsidRPr="49FDB925">
        <w:rPr>
          <w:rFonts w:ascii="Calibri" w:hAnsi="Calibri" w:eastAsia="Calibri" w:cs="Calibri"/>
          <w:b/>
          <w:bCs/>
          <w:color w:val="000000" w:themeColor="text1"/>
        </w:rPr>
        <w:t xml:space="preserve">8. </w:t>
      </w:r>
      <w:r w:rsidRPr="49FDB925" w:rsidR="3D73BDCF">
        <w:rPr>
          <w:rFonts w:ascii="Calibri" w:hAnsi="Calibri" w:eastAsia="Calibri" w:cs="Calibri"/>
          <w:b/>
          <w:bCs/>
          <w:color w:val="000000" w:themeColor="text1"/>
        </w:rPr>
        <w:t>Could DOS please provide information on expected training participants, senior officials and technical specialists from national space agencies, diplomats, university researchers and students, private‑sector space entrepreneurs, legal experts, policy advisors, or a combination of these groups?</w:t>
      </w:r>
    </w:p>
    <w:p w:rsidR="00E8779F" w:rsidP="49FDB925" w:rsidRDefault="0C0B39AF" w14:paraId="2F5C7DC5" w14:textId="2CE23915">
      <w:pPr>
        <w:spacing w:before="240" w:after="240"/>
        <w:rPr>
          <w:rFonts w:ascii="Calibri" w:hAnsi="Calibri" w:eastAsia="Calibri" w:cs="Calibri"/>
          <w:color w:val="000000" w:themeColor="text1"/>
        </w:rPr>
      </w:pPr>
      <w:r w:rsidRPr="49FDB925">
        <w:rPr>
          <w:rFonts w:ascii="Calibri" w:hAnsi="Calibri" w:eastAsia="Calibri" w:cs="Calibri"/>
          <w:color w:val="000000" w:themeColor="text1"/>
        </w:rPr>
        <w:t xml:space="preserve">The expected participants </w:t>
      </w:r>
      <w:r w:rsidRPr="49FDB925" w:rsidR="50E728BB">
        <w:rPr>
          <w:rFonts w:ascii="Calibri" w:hAnsi="Calibri" w:eastAsia="Calibri" w:cs="Calibri"/>
          <w:color w:val="000000" w:themeColor="text1"/>
        </w:rPr>
        <w:t>could</w:t>
      </w:r>
      <w:r w:rsidRPr="49FDB925">
        <w:rPr>
          <w:rFonts w:ascii="Calibri" w:hAnsi="Calibri" w:eastAsia="Calibri" w:cs="Calibri"/>
          <w:color w:val="000000" w:themeColor="text1"/>
        </w:rPr>
        <w:t xml:space="preserve"> be any single </w:t>
      </w:r>
      <w:r w:rsidRPr="49FDB925" w:rsidR="0A0388A7">
        <w:rPr>
          <w:rFonts w:ascii="Calibri" w:hAnsi="Calibri" w:eastAsia="Calibri" w:cs="Calibri"/>
          <w:color w:val="000000" w:themeColor="text1"/>
        </w:rPr>
        <w:t xml:space="preserve">group </w:t>
      </w:r>
      <w:r w:rsidRPr="49FDB925">
        <w:rPr>
          <w:rFonts w:ascii="Calibri" w:hAnsi="Calibri" w:eastAsia="Calibri" w:cs="Calibri"/>
          <w:color w:val="000000" w:themeColor="text1"/>
        </w:rPr>
        <w:t xml:space="preserve">or combination of these groups. </w:t>
      </w:r>
    </w:p>
    <w:p w:rsidR="00E8779F" w:rsidP="2B78CB85" w:rsidRDefault="7F53CAD7" w14:paraId="19BDD3CA" w14:textId="79FF5FB8">
      <w:pPr>
        <w:spacing w:before="240" w:after="240"/>
        <w:rPr>
          <w:rFonts w:ascii="Calibri" w:hAnsi="Calibri" w:eastAsia="Calibri" w:cs="Calibri"/>
          <w:b/>
          <w:bCs/>
          <w:color w:val="000000" w:themeColor="text1"/>
        </w:rPr>
      </w:pPr>
      <w:r w:rsidRPr="2B78CB85">
        <w:rPr>
          <w:rFonts w:ascii="Calibri" w:hAnsi="Calibri" w:eastAsia="Calibri" w:cs="Calibri"/>
          <w:b/>
          <w:bCs/>
          <w:color w:val="000000" w:themeColor="text1"/>
        </w:rPr>
        <w:t>9</w:t>
      </w:r>
      <w:r w:rsidRPr="2B78CB85" w:rsidR="3D73BDCF">
        <w:rPr>
          <w:rFonts w:ascii="Calibri" w:hAnsi="Calibri" w:eastAsia="Calibri" w:cs="Calibri"/>
          <w:b/>
          <w:bCs/>
          <w:color w:val="000000" w:themeColor="text1"/>
        </w:rPr>
        <w:t>. Approximately how many classes are expected to be conducted in each country, and what is the anticipated number of participants per class?</w:t>
      </w:r>
    </w:p>
    <w:p w:rsidR="00E8779F" w:rsidP="49FDB925" w:rsidRDefault="375A4B2F" w14:paraId="17D0380A" w14:textId="51EB1695">
      <w:pPr>
        <w:spacing w:before="240" w:after="240"/>
        <w:rPr>
          <w:rFonts w:ascii="Calibri" w:hAnsi="Calibri" w:eastAsia="Calibri" w:cs="Calibri"/>
          <w:color w:val="000000" w:themeColor="text1"/>
        </w:rPr>
      </w:pPr>
      <w:r w:rsidRPr="49FDB925">
        <w:rPr>
          <w:rFonts w:ascii="Calibri" w:hAnsi="Calibri" w:eastAsia="Calibri" w:cs="Calibri"/>
          <w:color w:val="000000" w:themeColor="text1"/>
        </w:rPr>
        <w:t xml:space="preserve">This would be up to the specific program and program design from the grantee. </w:t>
      </w:r>
    </w:p>
    <w:p w:rsidR="00E8779F" w:rsidP="2B78CB85" w:rsidRDefault="33166E6E" w14:paraId="63CF5FC5" w14:textId="4C353E36">
      <w:pPr>
        <w:spacing w:before="240" w:after="240"/>
        <w:rPr>
          <w:rFonts w:ascii="Calibri" w:hAnsi="Calibri" w:eastAsia="Calibri" w:cs="Calibri"/>
          <w:b/>
          <w:bCs/>
          <w:color w:val="000000" w:themeColor="text1"/>
        </w:rPr>
      </w:pPr>
      <w:r w:rsidRPr="2B78CB85">
        <w:rPr>
          <w:rFonts w:ascii="Calibri" w:hAnsi="Calibri" w:eastAsia="Calibri" w:cs="Calibri"/>
          <w:b/>
          <w:bCs/>
          <w:color w:val="000000" w:themeColor="text1"/>
        </w:rPr>
        <w:t>10</w:t>
      </w:r>
      <w:r w:rsidRPr="2B78CB85" w:rsidR="3D73BDCF">
        <w:rPr>
          <w:rFonts w:ascii="Calibri" w:hAnsi="Calibri" w:eastAsia="Calibri" w:cs="Calibri"/>
          <w:b/>
          <w:bCs/>
          <w:color w:val="000000" w:themeColor="text1"/>
        </w:rPr>
        <w:t>. Could DOS please provide information on the sharing agreements in place with each country, including the level of classification that can be shared?</w:t>
      </w:r>
    </w:p>
    <w:p w:rsidR="00E8779F" w:rsidP="49FDB925" w:rsidRDefault="103F718B" w14:paraId="7297686A" w14:textId="14B8104F">
      <w:pPr>
        <w:spacing w:before="240" w:after="240"/>
        <w:rPr>
          <w:rFonts w:ascii="Calibri" w:hAnsi="Calibri" w:eastAsia="Calibri" w:cs="Calibri"/>
          <w:color w:val="000000" w:themeColor="text1"/>
        </w:rPr>
      </w:pPr>
      <w:r w:rsidRPr="49FDB925">
        <w:rPr>
          <w:rFonts w:ascii="Calibri" w:hAnsi="Calibri" w:eastAsia="Calibri" w:cs="Calibri"/>
          <w:color w:val="000000" w:themeColor="text1"/>
        </w:rPr>
        <w:t xml:space="preserve">There are no sharing agreements in this award. This entire award is unclassified. </w:t>
      </w:r>
    </w:p>
    <w:p w:rsidR="00E8779F" w:rsidP="2B78CB85" w:rsidRDefault="65011704" w14:paraId="07307F22" w14:textId="7549C88B">
      <w:pPr>
        <w:spacing w:before="240" w:after="240"/>
        <w:rPr>
          <w:rFonts w:ascii="Calibri" w:hAnsi="Calibri" w:eastAsia="Calibri" w:cs="Calibri"/>
          <w:b/>
          <w:bCs/>
          <w:color w:val="000000" w:themeColor="text1"/>
        </w:rPr>
      </w:pPr>
      <w:r w:rsidRPr="0547F87C">
        <w:rPr>
          <w:rFonts w:ascii="Calibri" w:hAnsi="Calibri" w:eastAsia="Calibri" w:cs="Calibri"/>
          <w:b/>
          <w:bCs/>
          <w:color w:val="000000" w:themeColor="text1"/>
        </w:rPr>
        <w:t>11</w:t>
      </w:r>
      <w:r w:rsidRPr="0547F87C" w:rsidR="3D73BDCF">
        <w:rPr>
          <w:rFonts w:ascii="Calibri" w:hAnsi="Calibri" w:eastAsia="Calibri" w:cs="Calibri"/>
          <w:b/>
          <w:bCs/>
          <w:color w:val="000000" w:themeColor="text1"/>
        </w:rPr>
        <w:t>. Page 8, Section D. The guidelines state that “one-time events, such as stand-alone conferences and one-off roundtables” are not allowed. Would an exception be made for high-profile events that significantly advance the program’s objectives?</w:t>
      </w:r>
    </w:p>
    <w:p w:rsidR="00E8779F" w:rsidP="49FDB925" w:rsidRDefault="47FB37BB" w14:paraId="25A6766E" w14:textId="0E241377">
      <w:pPr>
        <w:spacing w:before="240" w:after="240"/>
        <w:rPr>
          <w:rFonts w:ascii="Calibri" w:hAnsi="Calibri" w:eastAsia="Calibri" w:cs="Calibri"/>
          <w:color w:val="000000" w:themeColor="text1"/>
        </w:rPr>
      </w:pPr>
      <w:r w:rsidRPr="49FDB925">
        <w:rPr>
          <w:rFonts w:ascii="Calibri" w:hAnsi="Calibri" w:eastAsia="Calibri" w:cs="Calibri"/>
          <w:color w:val="000000" w:themeColor="text1"/>
        </w:rPr>
        <w:t xml:space="preserve">One-time events can be considered if they are part of a larger project, but cannot be the entire project. </w:t>
      </w:r>
    </w:p>
    <w:p w:rsidR="00E8779F" w:rsidP="0547F87C" w:rsidRDefault="0E95337C" w14:paraId="731297BB" w14:textId="69AA0875">
      <w:pPr>
        <w:spacing w:before="240" w:after="240"/>
        <w:rPr>
          <w:rFonts w:ascii="Calibri" w:hAnsi="Calibri" w:eastAsia="Calibri" w:cs="Calibri"/>
          <w:b/>
          <w:bCs/>
          <w:color w:val="000000" w:themeColor="text1"/>
        </w:rPr>
      </w:pPr>
      <w:r w:rsidRPr="0547F87C">
        <w:rPr>
          <w:rFonts w:ascii="Calibri" w:hAnsi="Calibri" w:eastAsia="Calibri" w:cs="Calibri"/>
          <w:b/>
          <w:bCs/>
          <w:color w:val="000000" w:themeColor="text1"/>
        </w:rPr>
        <w:t>12</w:t>
      </w:r>
      <w:r w:rsidRPr="0547F87C" w:rsidR="3D73BDCF">
        <w:rPr>
          <w:rFonts w:ascii="Calibri" w:hAnsi="Calibri" w:eastAsia="Calibri" w:cs="Calibri"/>
          <w:b/>
          <w:bCs/>
          <w:color w:val="000000" w:themeColor="text1"/>
        </w:rPr>
        <w:t>. On page 9, the NOFO states, "Applicants shall provide a Logic Model and a Theory of Change (ToC)/Program Logic statement," yet on page 13, the Required Documents section states, "Include a logic model as appropriate." Please confirm that a logic model is required.</w:t>
      </w:r>
    </w:p>
    <w:p w:rsidR="00E8779F" w:rsidP="0547F87C" w:rsidRDefault="25DF5F3E" w14:paraId="2E612315" w14:textId="5A2DE006">
      <w:pPr>
        <w:spacing w:before="240" w:after="240"/>
        <w:rPr>
          <w:rFonts w:ascii="Calibri" w:hAnsi="Calibri" w:eastAsia="Calibri" w:cs="Calibri"/>
          <w:color w:val="000000" w:themeColor="text1"/>
        </w:rPr>
      </w:pPr>
      <w:r w:rsidRPr="6835F407" w:rsidR="25DF5F3E">
        <w:rPr>
          <w:rFonts w:ascii="Calibri" w:hAnsi="Calibri" w:eastAsia="Calibri" w:cs="Calibri"/>
          <w:color w:val="000000" w:themeColor="text1" w:themeTint="FF" w:themeShade="FF"/>
        </w:rPr>
        <w:t>Yes</w:t>
      </w:r>
      <w:r w:rsidRPr="6835F407" w:rsidR="675EED15">
        <w:rPr>
          <w:rFonts w:ascii="Calibri" w:hAnsi="Calibri" w:eastAsia="Calibri" w:cs="Calibri"/>
          <w:color w:val="000000" w:themeColor="text1" w:themeTint="FF" w:themeShade="FF"/>
        </w:rPr>
        <w:t xml:space="preserve">, the logic model is </w:t>
      </w:r>
      <w:r w:rsidRPr="6835F407" w:rsidR="675EED15">
        <w:rPr>
          <w:rFonts w:ascii="Calibri" w:hAnsi="Calibri" w:eastAsia="Calibri" w:cs="Calibri"/>
          <w:color w:val="000000" w:themeColor="text1" w:themeTint="FF" w:themeShade="FF"/>
        </w:rPr>
        <w:t>required</w:t>
      </w:r>
      <w:r w:rsidRPr="6835F407" w:rsidR="675EED15">
        <w:rPr>
          <w:rFonts w:ascii="Calibri" w:hAnsi="Calibri" w:eastAsia="Calibri" w:cs="Calibri"/>
          <w:color w:val="000000" w:themeColor="text1" w:themeTint="FF" w:themeShade="FF"/>
        </w:rPr>
        <w:t xml:space="preserve"> and will be evaluated as part of the proposal.</w:t>
      </w:r>
    </w:p>
    <w:p w:rsidR="00E8779F" w:rsidP="0547F87C" w:rsidRDefault="2B7A11C2" w14:paraId="6AA22E04" w14:textId="4F88F69D">
      <w:pPr>
        <w:spacing w:before="240" w:after="240"/>
        <w:rPr>
          <w:rFonts w:ascii="Calibri" w:hAnsi="Calibri" w:eastAsia="Calibri" w:cs="Calibri"/>
          <w:b w:val="1"/>
          <w:bCs w:val="1"/>
          <w:color w:val="000000" w:themeColor="text1"/>
        </w:rPr>
      </w:pPr>
      <w:r w:rsidRPr="6835F407" w:rsidR="2B7A11C2">
        <w:rPr>
          <w:rFonts w:ascii="Calibri" w:hAnsi="Calibri" w:eastAsia="Calibri" w:cs="Calibri"/>
          <w:b w:val="1"/>
          <w:bCs w:val="1"/>
          <w:color w:val="000000" w:themeColor="text1" w:themeTint="FF" w:themeShade="FF"/>
        </w:rPr>
        <w:t>13</w:t>
      </w:r>
      <w:r w:rsidRPr="6835F407" w:rsidR="3D73BDCF">
        <w:rPr>
          <w:rFonts w:ascii="Calibri" w:hAnsi="Calibri" w:eastAsia="Calibri" w:cs="Calibri"/>
          <w:b w:val="1"/>
          <w:bCs w:val="1"/>
          <w:color w:val="000000" w:themeColor="text1" w:themeTint="FF" w:themeShade="FF"/>
        </w:rPr>
        <w:t>. Page 9, Section G references Appendix 3 for the RMP template, yet it is not included as one of the appendices posted with the NOFO. Could DOS please provide a copy?</w:t>
      </w:r>
    </w:p>
    <w:p w:rsidR="5CC9466C" w:rsidP="0547F87C" w:rsidRDefault="0D9DCCFF" w14:paraId="706C1954" w14:textId="26D714A6">
      <w:pPr>
        <w:spacing w:before="240" w:after="240"/>
        <w:rPr>
          <w:rFonts w:ascii="Calibri" w:hAnsi="Calibri" w:eastAsia="Calibri" w:cs="Calibri"/>
          <w:color w:val="000000" w:themeColor="text1"/>
        </w:rPr>
      </w:pPr>
      <w:r w:rsidRPr="5DC68574">
        <w:rPr>
          <w:rFonts w:ascii="Calibri" w:hAnsi="Calibri" w:eastAsia="Calibri" w:cs="Calibri"/>
          <w:color w:val="000000" w:themeColor="text1"/>
        </w:rPr>
        <w:t xml:space="preserve">A copy of the RMP template is now provided. To clarify, use of the template is not required at the proposal stage. </w:t>
      </w:r>
      <w:r w:rsidRPr="5DC68574" w:rsidR="1BBD6631">
        <w:rPr>
          <w:rFonts w:ascii="Calibri" w:hAnsi="Calibri" w:eastAsia="Calibri" w:cs="Calibri"/>
          <w:color w:val="000000" w:themeColor="text1"/>
        </w:rPr>
        <w:t xml:space="preserve">The project narrative must address how activities will be monitored and how the program will be evaluated. Once </w:t>
      </w:r>
      <w:r w:rsidRPr="5DC68574" w:rsidR="6F29E91B">
        <w:rPr>
          <w:rFonts w:ascii="Calibri" w:hAnsi="Calibri" w:eastAsia="Calibri" w:cs="Calibri"/>
          <w:color w:val="000000" w:themeColor="text1"/>
        </w:rPr>
        <w:t xml:space="preserve">an applicant is selected, the RMP based on the template will be required. </w:t>
      </w:r>
    </w:p>
    <w:p w:rsidR="00E8779F" w:rsidP="2B78CB85" w:rsidRDefault="251359A9" w14:paraId="6951B2D4" w14:textId="2B178400">
      <w:pPr>
        <w:spacing w:before="240" w:after="240"/>
        <w:rPr>
          <w:rFonts w:ascii="Calibri" w:hAnsi="Calibri" w:eastAsia="Calibri" w:cs="Calibri"/>
          <w:b/>
          <w:bCs/>
          <w:color w:val="000000" w:themeColor="text1"/>
        </w:rPr>
      </w:pPr>
      <w:r w:rsidRPr="2B78CB85">
        <w:rPr>
          <w:rFonts w:ascii="Calibri" w:hAnsi="Calibri" w:eastAsia="Calibri" w:cs="Calibri"/>
          <w:b/>
          <w:bCs/>
          <w:color w:val="000000" w:themeColor="text1"/>
        </w:rPr>
        <w:t>14</w:t>
      </w:r>
      <w:r w:rsidRPr="2B78CB85" w:rsidR="3D73BDCF">
        <w:rPr>
          <w:rFonts w:ascii="Calibri" w:hAnsi="Calibri" w:eastAsia="Calibri" w:cs="Calibri"/>
          <w:b/>
          <w:bCs/>
          <w:color w:val="000000" w:themeColor="text1"/>
        </w:rPr>
        <w:t>. Page 13, Section A, subsection I, "Required Documents," requests information on all previous grants from the State Department and/or U.S. government agencies. Due to our extensive history and the substantial volume of associated documentation, we respectfully request to provide a consolidated summary in lieu of submitting individual documents for each past grant.</w:t>
      </w:r>
    </w:p>
    <w:p w:rsidR="00E8779F" w:rsidP="49FDB925" w:rsidRDefault="217B1F5A" w14:paraId="1E12F7C7" w14:textId="3A2F6494">
      <w:pPr>
        <w:spacing w:before="240" w:after="240"/>
        <w:rPr>
          <w:rFonts w:ascii="Calibri" w:hAnsi="Calibri" w:eastAsia="Calibri" w:cs="Calibri"/>
          <w:color w:val="000000" w:themeColor="text1"/>
        </w:rPr>
      </w:pPr>
      <w:r w:rsidRPr="49FDB925">
        <w:rPr>
          <w:rFonts w:ascii="Calibri" w:hAnsi="Calibri" w:eastAsia="Calibri" w:cs="Calibri"/>
          <w:color w:val="000000" w:themeColor="text1"/>
        </w:rPr>
        <w:t xml:space="preserve">If your organization has over 10 previous grants with the USG, please list the 10 most recent and/or most applicable to the project. </w:t>
      </w:r>
    </w:p>
    <w:p w:rsidR="00E8779F" w:rsidP="2B78CB85" w:rsidRDefault="2AADA499" w14:paraId="4DF5D6E5" w14:textId="158408BB">
      <w:pPr>
        <w:spacing w:before="240" w:after="240"/>
        <w:rPr>
          <w:rFonts w:ascii="Calibri" w:hAnsi="Calibri" w:eastAsia="Calibri" w:cs="Calibri"/>
          <w:b/>
          <w:bCs/>
          <w:color w:val="000000" w:themeColor="text1"/>
        </w:rPr>
      </w:pPr>
      <w:r w:rsidRPr="2B78CB85">
        <w:rPr>
          <w:rFonts w:ascii="Calibri" w:hAnsi="Calibri" w:eastAsia="Calibri" w:cs="Calibri"/>
          <w:b/>
          <w:bCs/>
          <w:color w:val="000000" w:themeColor="text1"/>
        </w:rPr>
        <w:t>15</w:t>
      </w:r>
      <w:r w:rsidRPr="2B78CB85" w:rsidR="3D73BDCF">
        <w:rPr>
          <w:rFonts w:ascii="Calibri" w:hAnsi="Calibri" w:eastAsia="Calibri" w:cs="Calibri"/>
          <w:b/>
          <w:bCs/>
          <w:color w:val="000000" w:themeColor="text1"/>
        </w:rPr>
        <w:t>. On page 14, the NOFO requires "dates, times, and locations of planned activities and events." Given that these events will depend on stakeholder availability, please confirm if providing the month and country for a particular activity suffices.</w:t>
      </w:r>
    </w:p>
    <w:p w:rsidR="00E8779F" w:rsidP="49FDB925" w:rsidRDefault="0B610F48" w14:paraId="0A7B69ED" w14:textId="47F8EC2D">
      <w:pPr>
        <w:spacing w:before="240" w:after="240"/>
        <w:rPr>
          <w:rFonts w:ascii="Calibri" w:hAnsi="Calibri" w:eastAsia="Calibri" w:cs="Calibri"/>
          <w:color w:val="000000" w:themeColor="text1"/>
        </w:rPr>
      </w:pPr>
      <w:r w:rsidRPr="49FDB925">
        <w:rPr>
          <w:rFonts w:ascii="Calibri" w:hAnsi="Calibri" w:eastAsia="Calibri" w:cs="Calibri"/>
          <w:color w:val="000000" w:themeColor="text1"/>
        </w:rPr>
        <w:t xml:space="preserve">Yes. </w:t>
      </w:r>
    </w:p>
    <w:p w:rsidR="00E8779F" w:rsidP="2B78CB85" w:rsidRDefault="645678DE" w14:paraId="15BC180D" w14:textId="7CFC20E6">
      <w:pPr>
        <w:spacing w:before="240" w:after="240"/>
        <w:rPr>
          <w:rFonts w:ascii="Calibri" w:hAnsi="Calibri" w:eastAsia="Calibri" w:cs="Calibri"/>
          <w:b/>
          <w:bCs/>
          <w:color w:val="000000" w:themeColor="text1"/>
        </w:rPr>
      </w:pPr>
      <w:r w:rsidRPr="2B78CB85">
        <w:rPr>
          <w:rFonts w:ascii="Calibri" w:hAnsi="Calibri" w:eastAsia="Calibri" w:cs="Calibri"/>
          <w:b/>
          <w:bCs/>
          <w:color w:val="000000" w:themeColor="text1"/>
        </w:rPr>
        <w:t>16</w:t>
      </w:r>
      <w:r w:rsidRPr="2B78CB85" w:rsidR="3D73BDCF">
        <w:rPr>
          <w:rFonts w:ascii="Calibri" w:hAnsi="Calibri" w:eastAsia="Calibri" w:cs="Calibri"/>
          <w:b/>
          <w:bCs/>
          <w:color w:val="000000" w:themeColor="text1"/>
        </w:rPr>
        <w:t>. Page 17. May applicants use smaller point font in textboxes, tables, and graphics?</w:t>
      </w:r>
    </w:p>
    <w:p w:rsidR="00E8779F" w:rsidP="49FDB925" w:rsidRDefault="0FD0E2F2" w14:paraId="4848DD5E" w14:textId="5A2C02E7">
      <w:pPr>
        <w:spacing w:before="240" w:after="240"/>
        <w:rPr>
          <w:rFonts w:ascii="Calibri" w:hAnsi="Calibri" w:eastAsia="Calibri" w:cs="Calibri"/>
          <w:color w:val="000000" w:themeColor="text1"/>
        </w:rPr>
      </w:pPr>
      <w:r w:rsidRPr="49FDB925">
        <w:rPr>
          <w:rFonts w:ascii="Calibri" w:hAnsi="Calibri" w:eastAsia="Calibri" w:cs="Calibri"/>
          <w:color w:val="000000" w:themeColor="text1"/>
        </w:rPr>
        <w:t xml:space="preserve">Yes. </w:t>
      </w:r>
    </w:p>
    <w:p w:rsidR="00E8779F" w:rsidP="2B78CB85" w:rsidRDefault="36DAC1CB" w14:paraId="15D5778E" w14:textId="3D3A108E">
      <w:pPr>
        <w:spacing w:before="240" w:after="240"/>
        <w:rPr>
          <w:rFonts w:ascii="Calibri" w:hAnsi="Calibri" w:eastAsia="Calibri" w:cs="Calibri"/>
          <w:b/>
          <w:bCs/>
          <w:color w:val="000000" w:themeColor="text1"/>
        </w:rPr>
      </w:pPr>
      <w:r w:rsidRPr="2B78CB85">
        <w:rPr>
          <w:rFonts w:ascii="Calibri" w:hAnsi="Calibri" w:eastAsia="Calibri" w:cs="Calibri"/>
          <w:b/>
          <w:bCs/>
          <w:color w:val="000000" w:themeColor="text1"/>
        </w:rPr>
        <w:t>17</w:t>
      </w:r>
      <w:r w:rsidRPr="2B78CB85" w:rsidR="3D73BDCF">
        <w:rPr>
          <w:rFonts w:ascii="Calibri" w:hAnsi="Calibri" w:eastAsia="Calibri" w:cs="Calibri"/>
          <w:b/>
          <w:bCs/>
          <w:color w:val="000000" w:themeColor="text1"/>
        </w:rPr>
        <w:t>. Page 17. May applicants include a non-counting cover page, cover letter, table of contents, and list of acronyms and abbreviations?</w:t>
      </w:r>
    </w:p>
    <w:p w:rsidR="00E8779F" w:rsidP="49FDB925" w:rsidRDefault="01AD20AB" w14:paraId="26B6C1FA" w14:textId="45A5F077">
      <w:pPr>
        <w:spacing w:before="240" w:after="240"/>
        <w:rPr>
          <w:rFonts w:ascii="Calibri" w:hAnsi="Calibri" w:eastAsia="Calibri" w:cs="Calibri"/>
          <w:color w:val="000000" w:themeColor="text1"/>
        </w:rPr>
      </w:pPr>
      <w:r w:rsidRPr="49FDB925">
        <w:rPr>
          <w:rFonts w:ascii="Calibri" w:hAnsi="Calibri" w:eastAsia="Calibri" w:cs="Calibri"/>
          <w:color w:val="000000" w:themeColor="text1"/>
        </w:rPr>
        <w:t xml:space="preserve">Yes. </w:t>
      </w:r>
    </w:p>
    <w:p w:rsidR="00E8779F" w:rsidP="2B78CB85" w:rsidRDefault="5E418F28" w14:paraId="07D44358" w14:textId="06D21B08">
      <w:pPr>
        <w:spacing w:before="240" w:after="240"/>
        <w:rPr>
          <w:rFonts w:ascii="Calibri" w:hAnsi="Calibri" w:eastAsia="Calibri" w:cs="Calibri"/>
          <w:b/>
          <w:bCs/>
          <w:color w:val="000000" w:themeColor="text1"/>
        </w:rPr>
      </w:pPr>
      <w:r w:rsidRPr="2B78CB85">
        <w:rPr>
          <w:rFonts w:ascii="Calibri" w:hAnsi="Calibri" w:eastAsia="Calibri" w:cs="Calibri"/>
          <w:b/>
          <w:bCs/>
          <w:color w:val="000000" w:themeColor="text1"/>
        </w:rPr>
        <w:t>18</w:t>
      </w:r>
      <w:r w:rsidRPr="2B78CB85" w:rsidR="3D73BDCF">
        <w:rPr>
          <w:rFonts w:ascii="Calibri" w:hAnsi="Calibri" w:eastAsia="Calibri" w:cs="Calibri"/>
          <w:b/>
          <w:bCs/>
          <w:color w:val="000000" w:themeColor="text1"/>
        </w:rPr>
        <w:t>. Page 20, Section A, Achievable Objectives states: "The applicant includes a final evaluation of the project at the completion of the award." Will the awardee of this grant be expected to conduct the final evaluation or will it be conducted by a third party?</w:t>
      </w:r>
    </w:p>
    <w:p w:rsidR="00E8779F" w:rsidP="49FDB925" w:rsidRDefault="4ED056CF" w14:paraId="3C09D0CA" w14:textId="59EEB972">
      <w:pPr>
        <w:spacing w:before="240" w:after="240"/>
        <w:rPr>
          <w:rFonts w:ascii="Calibri" w:hAnsi="Calibri" w:eastAsia="Calibri" w:cs="Calibri"/>
          <w:color w:val="000000" w:themeColor="text1"/>
        </w:rPr>
      </w:pPr>
      <w:r w:rsidRPr="49FDB925">
        <w:rPr>
          <w:rFonts w:ascii="Calibri" w:hAnsi="Calibri" w:eastAsia="Calibri" w:cs="Calibri"/>
          <w:color w:val="000000" w:themeColor="text1"/>
        </w:rPr>
        <w:t xml:space="preserve">This will be completed by the applicant, but the grantee may be contacted by a Third Party Monitor at any point during the duration of the award. </w:t>
      </w:r>
    </w:p>
    <w:p w:rsidR="00E8779F" w:rsidP="2B78CB85" w:rsidRDefault="3D73BDCF" w14:paraId="4BDF4F4A" w14:textId="69119A4D">
      <w:pPr>
        <w:spacing w:before="240" w:after="240"/>
        <w:rPr>
          <w:rFonts w:ascii="Calibri" w:hAnsi="Calibri" w:eastAsia="Calibri" w:cs="Calibri"/>
          <w:b/>
          <w:bCs/>
          <w:color w:val="000000" w:themeColor="text1"/>
        </w:rPr>
      </w:pPr>
      <w:r w:rsidRPr="2B78CB85">
        <w:rPr>
          <w:rFonts w:ascii="Calibri" w:hAnsi="Calibri" w:eastAsia="Calibri" w:cs="Calibri"/>
          <w:b/>
          <w:bCs/>
          <w:color w:val="000000" w:themeColor="text1"/>
        </w:rPr>
        <w:t>1</w:t>
      </w:r>
      <w:r w:rsidRPr="2B78CB85" w:rsidR="45298E8A">
        <w:rPr>
          <w:rFonts w:ascii="Calibri" w:hAnsi="Calibri" w:eastAsia="Calibri" w:cs="Calibri"/>
          <w:b/>
          <w:bCs/>
          <w:color w:val="000000" w:themeColor="text1"/>
        </w:rPr>
        <w:t>9</w:t>
      </w:r>
      <w:r w:rsidRPr="2B78CB85">
        <w:rPr>
          <w:rFonts w:ascii="Calibri" w:hAnsi="Calibri" w:eastAsia="Calibri" w:cs="Calibri"/>
          <w:b/>
          <w:bCs/>
          <w:color w:val="000000" w:themeColor="text1"/>
        </w:rPr>
        <w:t>. Page 21, Section A. The evaluation criteria for Staff and Position Specifications require "a job description, including hiring criteria, is provided for each open key position." Given that applicants only have 15 pages for the proposal narrative, would DOS consider a) removing this requirement or b) allowing job descriptions to be non-counting annexes?</w:t>
      </w:r>
    </w:p>
    <w:p w:rsidR="00E8779F" w:rsidP="49FDB925" w:rsidRDefault="2AC2EA6B" w14:paraId="743C9405" w14:textId="0EDF0FA1">
      <w:pPr>
        <w:spacing w:before="240" w:after="240"/>
        <w:rPr>
          <w:rFonts w:ascii="Calibri" w:hAnsi="Calibri" w:eastAsia="Calibri" w:cs="Calibri"/>
          <w:color w:val="000000" w:themeColor="text1"/>
        </w:rPr>
      </w:pPr>
      <w:r w:rsidRPr="49FDB925">
        <w:rPr>
          <w:rFonts w:ascii="Calibri" w:hAnsi="Calibri" w:eastAsia="Calibri" w:cs="Calibri"/>
          <w:color w:val="000000" w:themeColor="text1"/>
        </w:rPr>
        <w:t xml:space="preserve">Staff and Position </w:t>
      </w:r>
      <w:r w:rsidRPr="49FDB925" w:rsidR="0BDE985B">
        <w:rPr>
          <w:rFonts w:ascii="Calibri" w:hAnsi="Calibri" w:eastAsia="Calibri" w:cs="Calibri"/>
          <w:color w:val="000000" w:themeColor="text1"/>
        </w:rPr>
        <w:t>Specifications</w:t>
      </w:r>
      <w:r w:rsidRPr="49FDB925">
        <w:rPr>
          <w:rFonts w:ascii="Calibri" w:hAnsi="Calibri" w:eastAsia="Calibri" w:cs="Calibri"/>
          <w:color w:val="000000" w:themeColor="text1"/>
        </w:rPr>
        <w:t xml:space="preserve"> </w:t>
      </w:r>
      <w:r w:rsidRPr="49FDB925" w:rsidR="249B95A3">
        <w:rPr>
          <w:rFonts w:ascii="Calibri" w:hAnsi="Calibri" w:eastAsia="Calibri" w:cs="Calibri"/>
          <w:color w:val="000000" w:themeColor="text1"/>
        </w:rPr>
        <w:t xml:space="preserve">would be considered an annex and do not count in the page limit. </w:t>
      </w:r>
    </w:p>
    <w:p w:rsidR="00E8779F" w:rsidP="2B78CB85" w:rsidRDefault="2692683C" w14:paraId="1D1CB354" w14:textId="624736C6">
      <w:pPr>
        <w:spacing w:before="240" w:after="240"/>
        <w:rPr>
          <w:rFonts w:ascii="Calibri" w:hAnsi="Calibri" w:eastAsia="Calibri" w:cs="Calibri"/>
          <w:b/>
          <w:bCs/>
          <w:color w:val="000000" w:themeColor="text1"/>
        </w:rPr>
      </w:pPr>
      <w:r w:rsidRPr="2B78CB85">
        <w:rPr>
          <w:rFonts w:ascii="Calibri" w:hAnsi="Calibri" w:eastAsia="Calibri" w:cs="Calibri"/>
          <w:b/>
          <w:bCs/>
          <w:color w:val="000000" w:themeColor="text1"/>
        </w:rPr>
        <w:t>20</w:t>
      </w:r>
      <w:r w:rsidRPr="2B78CB85" w:rsidR="3D73BDCF">
        <w:rPr>
          <w:rFonts w:ascii="Calibri" w:hAnsi="Calibri" w:eastAsia="Calibri" w:cs="Calibri"/>
          <w:b/>
          <w:bCs/>
          <w:color w:val="000000" w:themeColor="text1"/>
        </w:rPr>
        <w:t>. Does DOS expect a clearance requirement for any of the proposed staff</w:t>
      </w:r>
    </w:p>
    <w:p w:rsidR="00E8779F" w:rsidP="49FDB925" w:rsidRDefault="135BEBFE" w14:paraId="752F9126" w14:textId="03B9A8A7">
      <w:pPr>
        <w:spacing w:before="240" w:after="240"/>
        <w:rPr>
          <w:rFonts w:ascii="Calibri" w:hAnsi="Calibri" w:eastAsia="Calibri" w:cs="Calibri"/>
          <w:color w:val="000000" w:themeColor="text1"/>
        </w:rPr>
      </w:pPr>
      <w:r w:rsidRPr="49FDB925">
        <w:rPr>
          <w:rFonts w:ascii="Calibri" w:hAnsi="Calibri" w:eastAsia="Calibri" w:cs="Calibri"/>
          <w:color w:val="000000" w:themeColor="text1"/>
        </w:rPr>
        <w:t>This program is unclassified and</w:t>
      </w:r>
      <w:r w:rsidRPr="49FDB925" w:rsidR="635B4FFF">
        <w:rPr>
          <w:rFonts w:ascii="Calibri" w:hAnsi="Calibri" w:eastAsia="Calibri" w:cs="Calibri"/>
          <w:color w:val="000000" w:themeColor="text1"/>
        </w:rPr>
        <w:t xml:space="preserve"> there will be no expectation of clearances for any project staff. Depending on the organization and/or project, staff may be subject to vetting at the Department’s discretion. </w:t>
      </w:r>
    </w:p>
    <w:p w:rsidR="00E8779F" w:rsidP="45CC448F" w:rsidRDefault="6EA7F34F" w14:paraId="0FB6316E" w14:textId="6FB82403">
      <w:pPr>
        <w:spacing w:before="240" w:after="240"/>
        <w:rPr>
          <w:rFonts w:ascii="Calibri" w:hAnsi="Calibri" w:eastAsia="Calibri" w:cs="Calibri"/>
          <w:b w:val="1"/>
          <w:bCs w:val="1"/>
          <w:color w:val="000000" w:themeColor="text1"/>
        </w:rPr>
      </w:pPr>
      <w:r w:rsidRPr="6835F407" w:rsidR="6EA7F34F">
        <w:rPr>
          <w:rFonts w:ascii="Calibri" w:hAnsi="Calibri" w:eastAsia="Calibri" w:cs="Calibri"/>
          <w:b w:val="1"/>
          <w:bCs w:val="1"/>
          <w:color w:val="000000" w:themeColor="text1" w:themeTint="FF" w:themeShade="FF"/>
        </w:rPr>
        <w:t>21</w:t>
      </w:r>
      <w:r w:rsidRPr="6835F407" w:rsidR="1D161727">
        <w:rPr>
          <w:rFonts w:ascii="Calibri" w:hAnsi="Calibri" w:eastAsia="Calibri" w:cs="Calibri"/>
          <w:b w:val="1"/>
          <w:bCs w:val="1"/>
          <w:color w:val="000000" w:themeColor="text1" w:themeTint="FF" w:themeShade="FF"/>
        </w:rPr>
        <w:t xml:space="preserve">. </w:t>
      </w:r>
      <w:r w:rsidRPr="6835F407" w:rsidR="135BEBFE">
        <w:rPr>
          <w:rFonts w:ascii="Calibri" w:hAnsi="Calibri" w:eastAsia="Calibri" w:cs="Calibri"/>
          <w:b w:val="1"/>
          <w:bCs w:val="1"/>
          <w:color w:val="000000" w:themeColor="text1" w:themeTint="FF" w:themeShade="FF"/>
        </w:rPr>
        <w:t>Pa</w:t>
      </w:r>
      <w:r w:rsidRPr="6835F407" w:rsidR="7C767E5B">
        <w:rPr>
          <w:rFonts w:ascii="Calibri" w:hAnsi="Calibri" w:eastAsia="Calibri" w:cs="Calibri"/>
          <w:b w:val="1"/>
          <w:bCs w:val="1"/>
          <w:color w:val="000000" w:themeColor="text1" w:themeTint="FF" w:themeShade="FF"/>
        </w:rPr>
        <w:t xml:space="preserve">ge 6: The program will target space professionals in both public and private sectors from countries including Bahrain, Egypt, Jordan, and Oman to build up a contingent of local space </w:t>
      </w:r>
      <w:r w:rsidRPr="6835F407" w:rsidR="7C767E5B">
        <w:rPr>
          <w:rFonts w:ascii="Calibri" w:hAnsi="Calibri" w:eastAsia="Calibri" w:cs="Calibri"/>
          <w:b w:val="1"/>
          <w:bCs w:val="1"/>
          <w:color w:val="000000" w:themeColor="text1" w:themeTint="FF" w:themeShade="FF"/>
        </w:rPr>
        <w:t>expertise</w:t>
      </w:r>
      <w:r w:rsidRPr="6835F407" w:rsidR="7C767E5B">
        <w:rPr>
          <w:rFonts w:ascii="Calibri" w:hAnsi="Calibri" w:eastAsia="Calibri" w:cs="Calibri"/>
          <w:b w:val="1"/>
          <w:bCs w:val="1"/>
          <w:color w:val="000000" w:themeColor="text1" w:themeTint="FF" w:themeShade="FF"/>
        </w:rPr>
        <w:t xml:space="preserve"> on technical issues, business and commercial opportunities, strategy, and space policy.</w:t>
      </w:r>
      <w:r w:rsidRPr="6835F407" w:rsidR="26069D9C">
        <w:rPr>
          <w:rFonts w:ascii="Calibri" w:hAnsi="Calibri" w:eastAsia="Calibri" w:cs="Calibri"/>
          <w:b w:val="1"/>
          <w:bCs w:val="1"/>
          <w:color w:val="000000" w:themeColor="text1" w:themeTint="FF" w:themeShade="FF"/>
        </w:rPr>
        <w:t xml:space="preserve"> </w:t>
      </w:r>
      <w:r w:rsidRPr="6835F407" w:rsidR="7C767E5B">
        <w:rPr>
          <w:rFonts w:ascii="Calibri" w:hAnsi="Calibri" w:eastAsia="Calibri" w:cs="Calibri"/>
          <w:b w:val="1"/>
          <w:bCs w:val="1"/>
          <w:color w:val="000000" w:themeColor="text1" w:themeTint="FF" w:themeShade="FF"/>
        </w:rPr>
        <w:t xml:space="preserve">Due to the limited available funding, does this statement mean that the implementer </w:t>
      </w:r>
      <w:r w:rsidRPr="6835F407" w:rsidR="7C767E5B">
        <w:rPr>
          <w:rFonts w:ascii="Calibri" w:hAnsi="Calibri" w:eastAsia="Calibri" w:cs="Calibri"/>
          <w:b w:val="1"/>
          <w:bCs w:val="1"/>
          <w:color w:val="000000" w:themeColor="text1" w:themeTint="FF" w:themeShade="FF"/>
        </w:rPr>
        <w:t>has to</w:t>
      </w:r>
      <w:r w:rsidRPr="6835F407" w:rsidR="7C767E5B">
        <w:rPr>
          <w:rFonts w:ascii="Calibri" w:hAnsi="Calibri" w:eastAsia="Calibri" w:cs="Calibri"/>
          <w:b w:val="1"/>
          <w:bCs w:val="1"/>
          <w:color w:val="000000" w:themeColor="text1" w:themeTint="FF" w:themeShade="FF"/>
        </w:rPr>
        <w:t xml:space="preserve"> work in the four specified countries or can it choose to select one or more country from the four to work with.</w:t>
      </w:r>
    </w:p>
    <w:p w:rsidR="7A404633" w:rsidP="45CC448F" w:rsidRDefault="7A404633" w14:paraId="7C586C3A" w14:textId="246C94BB">
      <w:pPr>
        <w:spacing w:before="240" w:after="240"/>
        <w:rPr>
          <w:rFonts w:ascii="Calibri" w:hAnsi="Calibri" w:eastAsia="Calibri" w:cs="Calibri"/>
          <w:color w:val="000000" w:themeColor="text1"/>
        </w:rPr>
      </w:pPr>
      <w:r w:rsidRPr="45CC448F">
        <w:rPr>
          <w:rFonts w:ascii="Calibri" w:hAnsi="Calibri" w:eastAsia="Calibri" w:cs="Calibri"/>
          <w:color w:val="000000" w:themeColor="text1"/>
        </w:rPr>
        <w:t>Proposals should work in all four specified countries.</w:t>
      </w:r>
    </w:p>
    <w:p w:rsidR="00E8779F" w:rsidP="1B205B2A" w:rsidRDefault="2FDB96A5" w14:paraId="04258FB7" w14:textId="58A08AC8">
      <w:pPr>
        <w:spacing w:before="240" w:after="240"/>
        <w:rPr>
          <w:rFonts w:ascii="Calibri" w:hAnsi="Calibri" w:eastAsia="Calibri" w:cs="Calibri"/>
          <w:b/>
          <w:bCs/>
          <w:color w:val="000000" w:themeColor="text1"/>
        </w:rPr>
      </w:pPr>
      <w:r w:rsidRPr="69F4E683">
        <w:rPr>
          <w:rFonts w:ascii="Calibri" w:hAnsi="Calibri" w:eastAsia="Calibri" w:cs="Calibri"/>
          <w:b/>
          <w:bCs/>
          <w:color w:val="000000" w:themeColor="text1"/>
        </w:rPr>
        <w:t>22</w:t>
      </w:r>
      <w:r w:rsidRPr="69F4E683" w:rsidR="1053BFFB">
        <w:rPr>
          <w:rFonts w:ascii="Calibri" w:hAnsi="Calibri" w:eastAsia="Calibri" w:cs="Calibri"/>
          <w:b/>
          <w:bCs/>
          <w:color w:val="000000" w:themeColor="text1"/>
        </w:rPr>
        <w:t xml:space="preserve">. </w:t>
      </w:r>
      <w:r w:rsidRPr="69F4E683" w:rsidR="7C767E5B">
        <w:rPr>
          <w:rFonts w:ascii="Calibri" w:hAnsi="Calibri" w:eastAsia="Calibri" w:cs="Calibri"/>
          <w:b/>
          <w:bCs/>
          <w:color w:val="000000" w:themeColor="text1"/>
        </w:rPr>
        <w:t>Page 7: The implementer will refine program delivery and methods based on the post- program review outcomes and provide a return on investment (ROI) of the program by comparing total program costs with total program benefits.</w:t>
      </w:r>
      <w:r w:rsidRPr="69F4E683" w:rsidR="54100257">
        <w:rPr>
          <w:rFonts w:ascii="Calibri" w:hAnsi="Calibri" w:eastAsia="Calibri" w:cs="Calibri"/>
          <w:b/>
          <w:bCs/>
          <w:color w:val="000000" w:themeColor="text1"/>
        </w:rPr>
        <w:t xml:space="preserve"> </w:t>
      </w:r>
      <w:r w:rsidRPr="69F4E683" w:rsidR="7C767E5B">
        <w:rPr>
          <w:rFonts w:ascii="Calibri" w:hAnsi="Calibri" w:eastAsia="Calibri" w:cs="Calibri"/>
          <w:b/>
          <w:bCs/>
          <w:color w:val="000000" w:themeColor="text1"/>
        </w:rPr>
        <w:t>This means that the ROI exercise will not be presented as part of the proposal but will take place after the program’s expected outcomes are collaboratively designed with the respective assigned DOS contact in each country.</w:t>
      </w:r>
    </w:p>
    <w:p w:rsidR="68DABD3D" w:rsidP="69F4E683" w:rsidRDefault="68DABD3D" w14:paraId="4C56E1AE" w14:textId="72AA13F8">
      <w:pPr>
        <w:spacing w:before="240" w:after="240"/>
        <w:rPr>
          <w:rFonts w:ascii="Calibri" w:hAnsi="Calibri" w:eastAsia="Calibri" w:cs="Calibri"/>
          <w:color w:val="000000" w:themeColor="text1"/>
        </w:rPr>
      </w:pPr>
      <w:r w:rsidRPr="6835F407" w:rsidR="68DABD3D">
        <w:rPr>
          <w:rFonts w:ascii="Calibri" w:hAnsi="Calibri" w:eastAsia="Calibri" w:cs="Calibri"/>
          <w:color w:val="000000" w:themeColor="text1" w:themeTint="FF" w:themeShade="FF"/>
        </w:rPr>
        <w:t>Yes</w:t>
      </w:r>
      <w:r w:rsidRPr="6835F407" w:rsidR="7B260962">
        <w:rPr>
          <w:rFonts w:ascii="Calibri" w:hAnsi="Calibri" w:eastAsia="Calibri" w:cs="Calibri"/>
          <w:color w:val="000000" w:themeColor="text1" w:themeTint="FF" w:themeShade="FF"/>
        </w:rPr>
        <w:t xml:space="preserve">, the ROI analysis will </w:t>
      </w:r>
      <w:r w:rsidRPr="6835F407" w:rsidR="735AA65A">
        <w:rPr>
          <w:rFonts w:ascii="Calibri" w:hAnsi="Calibri" w:eastAsia="Calibri" w:cs="Calibri"/>
          <w:color w:val="000000" w:themeColor="text1" w:themeTint="FF" w:themeShade="FF"/>
        </w:rPr>
        <w:t>take place as part of a post-program review of outcomes.</w:t>
      </w:r>
    </w:p>
    <w:p w:rsidR="00E8779F" w:rsidP="69F4E683" w:rsidRDefault="70D931FC" w14:paraId="7A442879" w14:textId="399D4C23">
      <w:pPr>
        <w:spacing w:before="240" w:after="240"/>
        <w:rPr>
          <w:rFonts w:ascii="Calibri" w:hAnsi="Calibri" w:eastAsia="Calibri" w:cs="Calibri"/>
          <w:b/>
          <w:bCs/>
          <w:color w:val="000000" w:themeColor="text1"/>
        </w:rPr>
      </w:pPr>
      <w:r w:rsidRPr="69F4E683">
        <w:rPr>
          <w:rFonts w:ascii="Calibri" w:hAnsi="Calibri" w:eastAsia="Calibri" w:cs="Calibri"/>
          <w:b/>
          <w:bCs/>
          <w:color w:val="000000" w:themeColor="text1"/>
        </w:rPr>
        <w:t>23</w:t>
      </w:r>
      <w:r w:rsidRPr="69F4E683" w:rsidR="71957111">
        <w:rPr>
          <w:rFonts w:ascii="Calibri" w:hAnsi="Calibri" w:eastAsia="Calibri" w:cs="Calibri"/>
          <w:b/>
          <w:bCs/>
          <w:color w:val="000000" w:themeColor="text1"/>
        </w:rPr>
        <w:t xml:space="preserve">. </w:t>
      </w:r>
      <w:r w:rsidRPr="69F4E683" w:rsidR="7C767E5B">
        <w:rPr>
          <w:rFonts w:ascii="Calibri" w:hAnsi="Calibri" w:eastAsia="Calibri" w:cs="Calibri"/>
          <w:b/>
          <w:bCs/>
          <w:color w:val="000000" w:themeColor="text1"/>
        </w:rPr>
        <w:t>Page 13: I) Required Documents-Federal Assistance Application Forms (SF-424 and SF424a)</w:t>
      </w:r>
      <w:r w:rsidRPr="69F4E683" w:rsidR="4A92F789">
        <w:rPr>
          <w:rFonts w:ascii="Calibri" w:hAnsi="Calibri" w:eastAsia="Calibri" w:cs="Calibri"/>
          <w:b/>
          <w:bCs/>
          <w:color w:val="000000" w:themeColor="text1"/>
        </w:rPr>
        <w:t xml:space="preserve"> </w:t>
      </w:r>
      <w:r w:rsidRPr="69F4E683" w:rsidR="7C767E5B">
        <w:rPr>
          <w:rFonts w:ascii="Calibri" w:hAnsi="Calibri" w:eastAsia="Calibri" w:cs="Calibri"/>
          <w:b/>
          <w:bCs/>
          <w:color w:val="000000" w:themeColor="text1"/>
        </w:rPr>
        <w:t>Form SF-424 is straight forward and contains pertinent information that can be easily filled. Form SF424A, however, includes the same information required in Appendix 1- AC Budget Sample Template and Budget Narrative Guidance, but in a much more complex form asking for “Assistance Listing Number”, “Estimated Unobligated Funds” classified under “Federal and Non-Federal”, and “New or Revised Budget”. It is unclear how these classifications can be made at this stage. Also, the required entries under Non-Federal Resources do not seem to be necessary since no Cost Share is expected, which means that all funds are federal. Assistance is needed to fill this form, or we request that we substitute it with Appendix 1.</w:t>
      </w:r>
    </w:p>
    <w:p w:rsidR="00E8779F" w:rsidP="49FDB925" w:rsidRDefault="03A42DDE" w14:paraId="2EEBE315" w14:textId="677A9C06">
      <w:pPr>
        <w:spacing w:before="240" w:after="240"/>
        <w:rPr>
          <w:rFonts w:ascii="Calibri" w:hAnsi="Calibri" w:eastAsia="Calibri" w:cs="Calibri"/>
          <w:color w:val="000000" w:themeColor="text1"/>
        </w:rPr>
      </w:pPr>
      <w:r w:rsidRPr="49FDB925">
        <w:rPr>
          <w:rFonts w:ascii="Calibri" w:hAnsi="Calibri" w:eastAsia="Calibri" w:cs="Calibri"/>
          <w:color w:val="000000" w:themeColor="text1"/>
        </w:rPr>
        <w:t xml:space="preserve">The SF424A is a federal requirement for any grants made with funds from foreign assistance. If you are unable to fill out portions of the form, or they do not apply to you, you are welcome to leave </w:t>
      </w:r>
      <w:r w:rsidRPr="49FDB925" w:rsidR="0A529CBE">
        <w:rPr>
          <w:rFonts w:ascii="Calibri" w:hAnsi="Calibri" w:eastAsia="Calibri" w:cs="Calibri"/>
          <w:color w:val="000000" w:themeColor="text1"/>
        </w:rPr>
        <w:t xml:space="preserve">portions blank. </w:t>
      </w:r>
    </w:p>
    <w:p w:rsidR="00E8779F" w:rsidP="39151291" w:rsidRDefault="32998023" w14:paraId="10236A28" w14:textId="01773741">
      <w:pPr>
        <w:spacing w:before="240" w:after="240"/>
        <w:rPr>
          <w:rFonts w:ascii="Calibri" w:hAnsi="Calibri" w:eastAsia="Calibri" w:cs="Calibri"/>
          <w:b/>
          <w:bCs/>
          <w:color w:val="000000" w:themeColor="text1"/>
        </w:rPr>
      </w:pPr>
      <w:r w:rsidRPr="39151291">
        <w:rPr>
          <w:rFonts w:ascii="Calibri" w:hAnsi="Calibri" w:eastAsia="Calibri" w:cs="Calibri"/>
          <w:b/>
          <w:bCs/>
          <w:color w:val="000000" w:themeColor="text1"/>
        </w:rPr>
        <w:t>24</w:t>
      </w:r>
      <w:r w:rsidRPr="39151291" w:rsidR="7E547788">
        <w:rPr>
          <w:rFonts w:ascii="Calibri" w:hAnsi="Calibri" w:eastAsia="Calibri" w:cs="Calibri"/>
          <w:b/>
          <w:bCs/>
          <w:color w:val="000000" w:themeColor="text1"/>
        </w:rPr>
        <w:t xml:space="preserve">. </w:t>
      </w:r>
      <w:r w:rsidRPr="39151291" w:rsidR="13858BCD">
        <w:rPr>
          <w:rFonts w:ascii="Calibri" w:hAnsi="Calibri" w:eastAsia="Calibri" w:cs="Calibri"/>
          <w:b/>
          <w:bCs/>
          <w:color w:val="000000" w:themeColor="text1"/>
        </w:rPr>
        <w:t>Different terminologies were used in various sections of the NOFO: Letters of Support, Agreement, Intent and/or Commitment, also once mentioned as “not required” and another as “should include”. Please clarify the type of letters required, who should submit them, and</w:t>
      </w:r>
      <w:r w:rsidRPr="39151291" w:rsidR="24B71A85">
        <w:rPr>
          <w:rFonts w:ascii="Calibri" w:hAnsi="Calibri" w:eastAsia="Calibri" w:cs="Calibri"/>
          <w:b/>
          <w:bCs/>
          <w:color w:val="000000" w:themeColor="text1"/>
        </w:rPr>
        <w:t xml:space="preserve"> </w:t>
      </w:r>
      <w:r w:rsidRPr="39151291" w:rsidR="13858BCD">
        <w:rPr>
          <w:rFonts w:ascii="Calibri" w:hAnsi="Calibri" w:eastAsia="Calibri" w:cs="Calibri"/>
          <w:b/>
          <w:bCs/>
          <w:color w:val="000000" w:themeColor="text1"/>
        </w:rPr>
        <w:t>whether they are required or not. Moreover, subsequent to the issuance of Executive Order “Reevaluating and Realigning U.S. Foreign Aid” on January 20, 2025, government agencies in the Middle East, under direct instructions from their respective security apparatus, have been instructed not to issue any support letters concerning U.S. foreign aid. This situation may change after an actual award is made. This is why, we request that government support letters are not evaluated as part of the proposal, and awardees can be directed to submit such letters upon award and before implementation starts.</w:t>
      </w:r>
    </w:p>
    <w:p w:rsidR="00E8779F" w:rsidP="49FDB925" w:rsidRDefault="62D05292" w14:paraId="04E33113" w14:textId="31B2CABB">
      <w:pPr>
        <w:spacing w:before="240" w:after="240"/>
        <w:rPr>
          <w:rFonts w:ascii="Calibri" w:hAnsi="Calibri" w:eastAsia="Calibri" w:cs="Calibri"/>
          <w:color w:val="000000" w:themeColor="text1"/>
        </w:rPr>
      </w:pPr>
      <w:r w:rsidRPr="6835F407" w:rsidR="62D05292">
        <w:rPr>
          <w:rFonts w:ascii="Calibri" w:hAnsi="Calibri" w:eastAsia="Calibri" w:cs="Calibri"/>
          <w:color w:val="000000" w:themeColor="text1" w:themeTint="FF" w:themeShade="FF"/>
        </w:rPr>
        <w:t xml:space="preserve">Letters of support are supplementary to a proposal and are not </w:t>
      </w:r>
      <w:r w:rsidRPr="6835F407" w:rsidR="62D05292">
        <w:rPr>
          <w:rFonts w:ascii="Calibri" w:hAnsi="Calibri" w:eastAsia="Calibri" w:cs="Calibri"/>
          <w:color w:val="000000" w:themeColor="text1" w:themeTint="FF" w:themeShade="FF"/>
        </w:rPr>
        <w:t>required</w:t>
      </w:r>
      <w:r w:rsidRPr="6835F407" w:rsidR="62D05292">
        <w:rPr>
          <w:rFonts w:ascii="Calibri" w:hAnsi="Calibri" w:eastAsia="Calibri" w:cs="Calibri"/>
          <w:color w:val="000000" w:themeColor="text1" w:themeTint="FF" w:themeShade="FF"/>
        </w:rPr>
        <w:t xml:space="preserve"> nor considered part of the page limit. </w:t>
      </w:r>
      <w:r w:rsidRPr="6835F407" w:rsidR="62D05292">
        <w:rPr>
          <w:rFonts w:ascii="Calibri" w:hAnsi="Calibri" w:eastAsia="Calibri" w:cs="Calibri"/>
          <w:color w:val="000000" w:themeColor="text1" w:themeTint="FF" w:themeShade="FF"/>
        </w:rPr>
        <w:t xml:space="preserve">If you feel a letter of support </w:t>
      </w:r>
      <w:r w:rsidRPr="6835F407" w:rsidR="6E281D7C">
        <w:rPr>
          <w:rFonts w:ascii="Calibri" w:hAnsi="Calibri" w:eastAsia="Calibri" w:cs="Calibri"/>
          <w:color w:val="000000" w:themeColor="text1" w:themeTint="FF" w:themeShade="FF"/>
        </w:rPr>
        <w:t xml:space="preserve">is </w:t>
      </w:r>
      <w:r w:rsidRPr="6835F407" w:rsidR="6E281D7C">
        <w:rPr>
          <w:rFonts w:ascii="Calibri" w:hAnsi="Calibri" w:eastAsia="Calibri" w:cs="Calibri"/>
          <w:color w:val="000000" w:themeColor="text1" w:themeTint="FF" w:themeShade="FF"/>
        </w:rPr>
        <w:t>appropriate for</w:t>
      </w:r>
      <w:r w:rsidRPr="6835F407" w:rsidR="6E281D7C">
        <w:rPr>
          <w:rFonts w:ascii="Calibri" w:hAnsi="Calibri" w:eastAsia="Calibri" w:cs="Calibri"/>
          <w:color w:val="000000" w:themeColor="text1" w:themeTint="FF" w:themeShade="FF"/>
        </w:rPr>
        <w:t xml:space="preserve"> your application</w:t>
      </w:r>
      <w:r w:rsidRPr="6835F407" w:rsidR="62D05292">
        <w:rPr>
          <w:rFonts w:ascii="Calibri" w:hAnsi="Calibri" w:eastAsia="Calibri" w:cs="Calibri"/>
          <w:color w:val="000000" w:themeColor="text1" w:themeTint="FF" w:themeShade="FF"/>
        </w:rPr>
        <w:t xml:space="preserve">, you are welcome to provide one. </w:t>
      </w:r>
      <w:r w:rsidRPr="6835F407" w:rsidR="549DBFC9">
        <w:rPr>
          <w:rFonts w:ascii="Calibri" w:hAnsi="Calibri" w:eastAsia="Calibri" w:cs="Calibri"/>
          <w:color w:val="000000" w:themeColor="text1" w:themeTint="FF" w:themeShade="FF"/>
        </w:rPr>
        <w:t xml:space="preserve">Letter of support can come from any organization and/or individual. </w:t>
      </w:r>
    </w:p>
    <w:p w:rsidR="00E8779F" w:rsidP="45CC448F" w:rsidRDefault="793B1322" w14:paraId="0DD3F461" w14:textId="01CCA1DC">
      <w:pPr>
        <w:spacing w:before="240" w:after="240"/>
        <w:rPr>
          <w:rFonts w:ascii="Calibri" w:hAnsi="Calibri" w:eastAsia="Calibri" w:cs="Calibri"/>
          <w:b w:val="1"/>
          <w:bCs w:val="1"/>
          <w:color w:val="000000" w:themeColor="text1"/>
        </w:rPr>
      </w:pPr>
      <w:r w:rsidRPr="6835F407" w:rsidR="793B1322">
        <w:rPr>
          <w:rFonts w:ascii="Calibri" w:hAnsi="Calibri" w:eastAsia="Calibri" w:cs="Calibri"/>
          <w:b w:val="1"/>
          <w:bCs w:val="1"/>
          <w:color w:val="000000" w:themeColor="text1" w:themeTint="FF" w:themeShade="FF"/>
        </w:rPr>
        <w:t>2</w:t>
      </w:r>
      <w:r w:rsidRPr="6835F407" w:rsidR="1D9D5B12">
        <w:rPr>
          <w:rFonts w:ascii="Calibri" w:hAnsi="Calibri" w:eastAsia="Calibri" w:cs="Calibri"/>
          <w:b w:val="1"/>
          <w:bCs w:val="1"/>
          <w:color w:val="000000" w:themeColor="text1" w:themeTint="FF" w:themeShade="FF"/>
        </w:rPr>
        <w:t>5</w:t>
      </w:r>
      <w:r w:rsidRPr="6835F407" w:rsidR="793B1322">
        <w:rPr>
          <w:rFonts w:ascii="Calibri" w:hAnsi="Calibri" w:eastAsia="Calibri" w:cs="Calibri"/>
          <w:b w:val="1"/>
          <w:bCs w:val="1"/>
          <w:color w:val="000000" w:themeColor="text1" w:themeTint="FF" w:themeShade="FF"/>
        </w:rPr>
        <w:t xml:space="preserve">. </w:t>
      </w:r>
      <w:r w:rsidRPr="6835F407" w:rsidR="7C767E5B">
        <w:rPr>
          <w:rFonts w:ascii="Calibri" w:hAnsi="Calibri" w:eastAsia="Calibri" w:cs="Calibri"/>
          <w:b w:val="1"/>
          <w:bCs w:val="1"/>
          <w:color w:val="000000" w:themeColor="text1" w:themeTint="FF" w:themeShade="FF"/>
        </w:rPr>
        <w:t xml:space="preserve">Page 23: Final awards cannot be made until funds have been appropriated by Congress, </w:t>
      </w:r>
      <w:r w:rsidRPr="6835F407" w:rsidR="7C767E5B">
        <w:rPr>
          <w:rFonts w:ascii="Calibri" w:hAnsi="Calibri" w:eastAsia="Calibri" w:cs="Calibri"/>
          <w:b w:val="1"/>
          <w:bCs w:val="1"/>
          <w:color w:val="000000" w:themeColor="text1" w:themeTint="FF" w:themeShade="FF"/>
        </w:rPr>
        <w:t>allocated</w:t>
      </w:r>
      <w:r w:rsidRPr="6835F407" w:rsidR="7C767E5B">
        <w:rPr>
          <w:rFonts w:ascii="Calibri" w:hAnsi="Calibri" w:eastAsia="Calibri" w:cs="Calibri"/>
          <w:b w:val="1"/>
          <w:bCs w:val="1"/>
          <w:color w:val="000000" w:themeColor="text1" w:themeTint="FF" w:themeShade="FF"/>
        </w:rPr>
        <w:t xml:space="preserve"> and committed through internal bureau procedures. NEA/AC reserves the right to award funding to applicants under this announcement for a period of up to two years after the announcement’s close date.</w:t>
      </w:r>
      <w:r w:rsidRPr="6835F407" w:rsidR="5E7AD3F9">
        <w:rPr>
          <w:rFonts w:ascii="Calibri" w:hAnsi="Calibri" w:eastAsia="Calibri" w:cs="Calibri"/>
          <w:b w:val="1"/>
          <w:bCs w:val="1"/>
          <w:color w:val="000000" w:themeColor="text1" w:themeTint="FF" w:themeShade="FF"/>
        </w:rPr>
        <w:t xml:space="preserve"> </w:t>
      </w:r>
      <w:r w:rsidRPr="6835F407" w:rsidR="7C767E5B">
        <w:rPr>
          <w:rFonts w:ascii="Calibri" w:hAnsi="Calibri" w:eastAsia="Calibri" w:cs="Calibri"/>
          <w:b w:val="1"/>
          <w:bCs w:val="1"/>
          <w:color w:val="000000" w:themeColor="text1" w:themeTint="FF" w:themeShade="FF"/>
        </w:rPr>
        <w:t xml:space="preserve">This is not a common clause seen in </w:t>
      </w:r>
      <w:r w:rsidRPr="6835F407" w:rsidR="7C767E5B">
        <w:rPr>
          <w:rFonts w:ascii="Calibri" w:hAnsi="Calibri" w:eastAsia="Calibri" w:cs="Calibri"/>
          <w:b w:val="1"/>
          <w:bCs w:val="1"/>
          <w:color w:val="000000" w:themeColor="text1" w:themeTint="FF" w:themeShade="FF"/>
        </w:rPr>
        <w:t>previous</w:t>
      </w:r>
      <w:r w:rsidRPr="6835F407" w:rsidR="7C767E5B">
        <w:rPr>
          <w:rFonts w:ascii="Calibri" w:hAnsi="Calibri" w:eastAsia="Calibri" w:cs="Calibri"/>
          <w:b w:val="1"/>
          <w:bCs w:val="1"/>
          <w:color w:val="000000" w:themeColor="text1" w:themeTint="FF" w:themeShade="FF"/>
        </w:rPr>
        <w:t xml:space="preserve"> NOFOs. </w:t>
      </w:r>
      <w:r w:rsidRPr="6835F407" w:rsidR="7C767E5B">
        <w:rPr>
          <w:rFonts w:ascii="Calibri" w:hAnsi="Calibri" w:eastAsia="Calibri" w:cs="Calibri"/>
          <w:b w:val="1"/>
          <w:bCs w:val="1"/>
          <w:color w:val="000000" w:themeColor="text1" w:themeTint="FF" w:themeShade="FF"/>
        </w:rPr>
        <w:t xml:space="preserve">What is the probability of NEA/AC gaining a Congressional appropriation and </w:t>
      </w:r>
      <w:r w:rsidRPr="6835F407" w:rsidR="7C767E5B">
        <w:rPr>
          <w:rFonts w:ascii="Calibri" w:hAnsi="Calibri" w:eastAsia="Calibri" w:cs="Calibri"/>
          <w:b w:val="1"/>
          <w:bCs w:val="1"/>
          <w:color w:val="000000" w:themeColor="text1" w:themeTint="FF" w:themeShade="FF"/>
        </w:rPr>
        <w:t>actually funding</w:t>
      </w:r>
      <w:r w:rsidRPr="6835F407" w:rsidR="7C767E5B">
        <w:rPr>
          <w:rFonts w:ascii="Calibri" w:hAnsi="Calibri" w:eastAsia="Calibri" w:cs="Calibri"/>
          <w:b w:val="1"/>
          <w:bCs w:val="1"/>
          <w:color w:val="000000" w:themeColor="text1" w:themeTint="FF" w:themeShade="FF"/>
        </w:rPr>
        <w:t xml:space="preserve"> this MENA Partnership within the coming year.</w:t>
      </w:r>
    </w:p>
    <w:p w:rsidR="00E8779F" w:rsidP="2B78CB85" w:rsidRDefault="396B582C" w14:paraId="3764E6D3" w14:textId="4442DAD4">
      <w:pPr>
        <w:shd w:val="clear" w:color="auto" w:fill="FFFFFF" w:themeFill="background1"/>
        <w:spacing w:after="0"/>
        <w:rPr>
          <w:rFonts w:ascii="Calibri" w:hAnsi="Calibri" w:eastAsia="Calibri" w:cs="Calibri"/>
          <w:color w:val="000000" w:themeColor="text1"/>
        </w:rPr>
      </w:pPr>
      <w:r w:rsidRPr="45CC448F">
        <w:rPr>
          <w:rFonts w:ascii="Calibri" w:hAnsi="Calibri" w:eastAsia="Calibri" w:cs="Calibri"/>
          <w:color w:val="000000" w:themeColor="text1"/>
        </w:rPr>
        <w:t>All federal awards are contingent upon funding availability and Congressional appropriations</w:t>
      </w:r>
      <w:r w:rsidRPr="45CC448F" w:rsidR="146A117C">
        <w:rPr>
          <w:rFonts w:ascii="Calibri" w:hAnsi="Calibri" w:eastAsia="Calibri" w:cs="Calibri"/>
          <w:color w:val="000000" w:themeColor="text1"/>
        </w:rPr>
        <w:t>.</w:t>
      </w:r>
    </w:p>
    <w:p w:rsidR="45CC448F" w:rsidP="45CC448F" w:rsidRDefault="45CC448F" w14:paraId="2E803B82" w14:textId="0350D344">
      <w:pPr>
        <w:shd w:val="clear" w:color="auto" w:fill="FFFFFF" w:themeFill="background1"/>
        <w:spacing w:after="0"/>
        <w:rPr>
          <w:rFonts w:ascii="Calibri" w:hAnsi="Calibri" w:eastAsia="Calibri" w:cs="Calibri"/>
          <w:color w:val="000000" w:themeColor="text1"/>
        </w:rPr>
      </w:pPr>
    </w:p>
    <w:p w:rsidRPr="00F27DD9" w:rsidR="00E8779F" w:rsidP="2B78CB85" w:rsidRDefault="1ABB5D3D" w14:paraId="393AC6B3" w14:textId="295DA762">
      <w:pPr>
        <w:shd w:val="clear" w:color="auto" w:fill="FFFFFF" w:themeFill="background1"/>
        <w:spacing w:after="0"/>
        <w:rPr>
          <w:rFonts w:ascii="Calibri" w:hAnsi="Calibri" w:eastAsia="Calibri" w:cs="Calibri"/>
          <w:b/>
          <w:bCs/>
          <w:color w:val="000000" w:themeColor="text1"/>
        </w:rPr>
      </w:pPr>
      <w:r w:rsidRPr="00F27DD9">
        <w:rPr>
          <w:rFonts w:ascii="Calibri" w:hAnsi="Calibri" w:eastAsia="Calibri" w:cs="Calibri"/>
          <w:b/>
          <w:bCs/>
          <w:color w:val="000000" w:themeColor="text1"/>
        </w:rPr>
        <w:t xml:space="preserve">26. </w:t>
      </w:r>
      <w:r w:rsidRPr="00F27DD9" w:rsidR="7449FA4C">
        <w:rPr>
          <w:rFonts w:ascii="Calibri" w:hAnsi="Calibri" w:eastAsia="Calibri" w:cs="Calibri"/>
          <w:b/>
          <w:bCs/>
          <w:color w:val="000000" w:themeColor="text1"/>
        </w:rPr>
        <w:t>The RFP states: “The following activities and costs are NOT ALLOWED under this announcement: Travel costs for U.S. Government employees or contractors”. We assume “contractors” in this section is referring to contractors directly supporting existing State Department activities, not contractors that will perform the work under this grant. Correct?</w:t>
      </w:r>
    </w:p>
    <w:p w:rsidR="00E8779F" w:rsidP="49FDB925" w:rsidRDefault="00E8779F" w14:paraId="6DE12DBC" w14:textId="5FF612B0">
      <w:pPr>
        <w:spacing w:after="0"/>
        <w:rPr>
          <w:rFonts w:ascii="Times New Roman" w:hAnsi="Times New Roman" w:eastAsia="Times New Roman" w:cs="Times New Roman"/>
          <w:color w:val="000000" w:themeColor="text1"/>
        </w:rPr>
      </w:pPr>
    </w:p>
    <w:p w:rsidRPr="00F27DD9" w:rsidR="00E8779F" w:rsidP="00F27DD9" w:rsidRDefault="00F27DD9" w14:paraId="2C078E63" w14:textId="2A6DB2FD">
      <w:pPr>
        <w:spacing w:after="0"/>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Correct.</w:t>
      </w:r>
    </w:p>
    <w:sectPr w:rsidRPr="00F27DD9" w:rsidR="00E8779F">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C1EAA"/>
    <w:multiLevelType w:val="hybridMultilevel"/>
    <w:tmpl w:val="BA84DBF2"/>
    <w:lvl w:ilvl="0" w:tplc="8C785782">
      <w:start w:val="1"/>
      <w:numFmt w:val="decimal"/>
      <w:lvlText w:val="%1."/>
      <w:lvlJc w:val="left"/>
      <w:pPr>
        <w:ind w:left="720" w:hanging="360"/>
      </w:pPr>
    </w:lvl>
    <w:lvl w:ilvl="1" w:tplc="A1220518">
      <w:start w:val="1"/>
      <w:numFmt w:val="lowerLetter"/>
      <w:lvlText w:val="%2."/>
      <w:lvlJc w:val="left"/>
      <w:pPr>
        <w:ind w:left="1440" w:hanging="360"/>
      </w:pPr>
    </w:lvl>
    <w:lvl w:ilvl="2" w:tplc="C718804C">
      <w:start w:val="1"/>
      <w:numFmt w:val="lowerRoman"/>
      <w:lvlText w:val="%3."/>
      <w:lvlJc w:val="right"/>
      <w:pPr>
        <w:ind w:left="2160" w:hanging="180"/>
      </w:pPr>
    </w:lvl>
    <w:lvl w:ilvl="3" w:tplc="8196EC5C">
      <w:start w:val="1"/>
      <w:numFmt w:val="decimal"/>
      <w:lvlText w:val="%4."/>
      <w:lvlJc w:val="left"/>
      <w:pPr>
        <w:ind w:left="2880" w:hanging="360"/>
      </w:pPr>
    </w:lvl>
    <w:lvl w:ilvl="4" w:tplc="39E4682A">
      <w:start w:val="1"/>
      <w:numFmt w:val="lowerLetter"/>
      <w:lvlText w:val="%5."/>
      <w:lvlJc w:val="left"/>
      <w:pPr>
        <w:ind w:left="3600" w:hanging="360"/>
      </w:pPr>
    </w:lvl>
    <w:lvl w:ilvl="5" w:tplc="72B4EE56">
      <w:start w:val="1"/>
      <w:numFmt w:val="lowerRoman"/>
      <w:lvlText w:val="%6."/>
      <w:lvlJc w:val="right"/>
      <w:pPr>
        <w:ind w:left="4320" w:hanging="180"/>
      </w:pPr>
    </w:lvl>
    <w:lvl w:ilvl="6" w:tplc="0B02A9DA">
      <w:start w:val="1"/>
      <w:numFmt w:val="decimal"/>
      <w:lvlText w:val="%7."/>
      <w:lvlJc w:val="left"/>
      <w:pPr>
        <w:ind w:left="5040" w:hanging="360"/>
      </w:pPr>
    </w:lvl>
    <w:lvl w:ilvl="7" w:tplc="BDD4FC54">
      <w:start w:val="1"/>
      <w:numFmt w:val="lowerLetter"/>
      <w:lvlText w:val="%8."/>
      <w:lvlJc w:val="left"/>
      <w:pPr>
        <w:ind w:left="5760" w:hanging="360"/>
      </w:pPr>
    </w:lvl>
    <w:lvl w:ilvl="8" w:tplc="A74208A4">
      <w:start w:val="1"/>
      <w:numFmt w:val="lowerRoman"/>
      <w:lvlText w:val="%9."/>
      <w:lvlJc w:val="right"/>
      <w:pPr>
        <w:ind w:left="6480" w:hanging="180"/>
      </w:pPr>
    </w:lvl>
  </w:abstractNum>
  <w:abstractNum w:abstractNumId="1" w15:restartNumberingAfterBreak="0">
    <w:nsid w:val="0D33CAA9"/>
    <w:multiLevelType w:val="hybridMultilevel"/>
    <w:tmpl w:val="8F52D89E"/>
    <w:lvl w:ilvl="0" w:tplc="B5446D80">
      <w:start w:val="1"/>
      <w:numFmt w:val="decimal"/>
      <w:lvlText w:val="8)"/>
      <w:lvlJc w:val="left"/>
      <w:pPr>
        <w:ind w:left="720" w:hanging="360"/>
      </w:pPr>
    </w:lvl>
    <w:lvl w:ilvl="1" w:tplc="22C4FC8A">
      <w:start w:val="1"/>
      <w:numFmt w:val="lowerLetter"/>
      <w:lvlText w:val="%2."/>
      <w:lvlJc w:val="left"/>
      <w:pPr>
        <w:ind w:left="1440" w:hanging="360"/>
      </w:pPr>
    </w:lvl>
    <w:lvl w:ilvl="2" w:tplc="DA208B8A">
      <w:start w:val="1"/>
      <w:numFmt w:val="lowerRoman"/>
      <w:lvlText w:val="%3."/>
      <w:lvlJc w:val="right"/>
      <w:pPr>
        <w:ind w:left="2160" w:hanging="180"/>
      </w:pPr>
    </w:lvl>
    <w:lvl w:ilvl="3" w:tplc="A61E7006">
      <w:start w:val="1"/>
      <w:numFmt w:val="decimal"/>
      <w:lvlText w:val="%4."/>
      <w:lvlJc w:val="left"/>
      <w:pPr>
        <w:ind w:left="2880" w:hanging="360"/>
      </w:pPr>
    </w:lvl>
    <w:lvl w:ilvl="4" w:tplc="126E5A60">
      <w:start w:val="1"/>
      <w:numFmt w:val="lowerLetter"/>
      <w:lvlText w:val="%5."/>
      <w:lvlJc w:val="left"/>
      <w:pPr>
        <w:ind w:left="3600" w:hanging="360"/>
      </w:pPr>
    </w:lvl>
    <w:lvl w:ilvl="5" w:tplc="954E76FA">
      <w:start w:val="1"/>
      <w:numFmt w:val="lowerRoman"/>
      <w:lvlText w:val="%6."/>
      <w:lvlJc w:val="right"/>
      <w:pPr>
        <w:ind w:left="4320" w:hanging="180"/>
      </w:pPr>
    </w:lvl>
    <w:lvl w:ilvl="6" w:tplc="B0121B28">
      <w:start w:val="1"/>
      <w:numFmt w:val="decimal"/>
      <w:lvlText w:val="%7."/>
      <w:lvlJc w:val="left"/>
      <w:pPr>
        <w:ind w:left="5040" w:hanging="360"/>
      </w:pPr>
    </w:lvl>
    <w:lvl w:ilvl="7" w:tplc="177C6C80">
      <w:start w:val="1"/>
      <w:numFmt w:val="lowerLetter"/>
      <w:lvlText w:val="%8."/>
      <w:lvlJc w:val="left"/>
      <w:pPr>
        <w:ind w:left="5760" w:hanging="360"/>
      </w:pPr>
    </w:lvl>
    <w:lvl w:ilvl="8" w:tplc="028040F2">
      <w:start w:val="1"/>
      <w:numFmt w:val="lowerRoman"/>
      <w:lvlText w:val="%9."/>
      <w:lvlJc w:val="right"/>
      <w:pPr>
        <w:ind w:left="6480" w:hanging="180"/>
      </w:pPr>
    </w:lvl>
  </w:abstractNum>
  <w:num w:numId="1" w16cid:durableId="1127746986">
    <w:abstractNumId w:val="0"/>
  </w:num>
  <w:num w:numId="2" w16cid:durableId="335690585">
    <w:abstractNumId w:val="1"/>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8788C88"/>
    <w:rsid w:val="00130EB6"/>
    <w:rsid w:val="0018451F"/>
    <w:rsid w:val="0019036A"/>
    <w:rsid w:val="001926C2"/>
    <w:rsid w:val="002A21B2"/>
    <w:rsid w:val="002F04FB"/>
    <w:rsid w:val="002F12EC"/>
    <w:rsid w:val="002F254C"/>
    <w:rsid w:val="003211C5"/>
    <w:rsid w:val="00353F99"/>
    <w:rsid w:val="0036593B"/>
    <w:rsid w:val="00384D7F"/>
    <w:rsid w:val="003A74D7"/>
    <w:rsid w:val="003CE289"/>
    <w:rsid w:val="003D18B5"/>
    <w:rsid w:val="003D21B1"/>
    <w:rsid w:val="00443930"/>
    <w:rsid w:val="004510A8"/>
    <w:rsid w:val="0045120F"/>
    <w:rsid w:val="00460984"/>
    <w:rsid w:val="004B59E3"/>
    <w:rsid w:val="00521FCF"/>
    <w:rsid w:val="00591159"/>
    <w:rsid w:val="00592BB1"/>
    <w:rsid w:val="00676AB6"/>
    <w:rsid w:val="00694383"/>
    <w:rsid w:val="006B54C8"/>
    <w:rsid w:val="006B6211"/>
    <w:rsid w:val="007164BD"/>
    <w:rsid w:val="00717554"/>
    <w:rsid w:val="007827BA"/>
    <w:rsid w:val="007C5A7A"/>
    <w:rsid w:val="007F2867"/>
    <w:rsid w:val="00853936"/>
    <w:rsid w:val="00887189"/>
    <w:rsid w:val="008F63E1"/>
    <w:rsid w:val="00A0337E"/>
    <w:rsid w:val="00A44083"/>
    <w:rsid w:val="00B27F37"/>
    <w:rsid w:val="00B907D9"/>
    <w:rsid w:val="00B94DCC"/>
    <w:rsid w:val="00C01010"/>
    <w:rsid w:val="00C52ADC"/>
    <w:rsid w:val="00C6644C"/>
    <w:rsid w:val="00D740E6"/>
    <w:rsid w:val="00D922C1"/>
    <w:rsid w:val="00E8779F"/>
    <w:rsid w:val="00EC791E"/>
    <w:rsid w:val="00F123FE"/>
    <w:rsid w:val="00F27DD9"/>
    <w:rsid w:val="00F9735C"/>
    <w:rsid w:val="00FA3FAC"/>
    <w:rsid w:val="00FF1D78"/>
    <w:rsid w:val="01AD20AB"/>
    <w:rsid w:val="02628548"/>
    <w:rsid w:val="036327F1"/>
    <w:rsid w:val="03A42DDE"/>
    <w:rsid w:val="03D16FDB"/>
    <w:rsid w:val="0547F87C"/>
    <w:rsid w:val="062BD2A6"/>
    <w:rsid w:val="0740EB6E"/>
    <w:rsid w:val="07950BEB"/>
    <w:rsid w:val="07BB1FDD"/>
    <w:rsid w:val="09BFAE43"/>
    <w:rsid w:val="0A0388A7"/>
    <w:rsid w:val="0A47C915"/>
    <w:rsid w:val="0A529CBE"/>
    <w:rsid w:val="0B610F48"/>
    <w:rsid w:val="0BDE985B"/>
    <w:rsid w:val="0C0B39AF"/>
    <w:rsid w:val="0C3F6BC9"/>
    <w:rsid w:val="0D7EA79D"/>
    <w:rsid w:val="0D9DCCFF"/>
    <w:rsid w:val="0E3B8BB3"/>
    <w:rsid w:val="0E653380"/>
    <w:rsid w:val="0E95337C"/>
    <w:rsid w:val="0FA025FC"/>
    <w:rsid w:val="0FD0E2F2"/>
    <w:rsid w:val="10131B3F"/>
    <w:rsid w:val="103F718B"/>
    <w:rsid w:val="1053BFFB"/>
    <w:rsid w:val="105C396F"/>
    <w:rsid w:val="11FEB25A"/>
    <w:rsid w:val="122E52C1"/>
    <w:rsid w:val="1241A1BF"/>
    <w:rsid w:val="12BE5544"/>
    <w:rsid w:val="135BEBFE"/>
    <w:rsid w:val="13858BCD"/>
    <w:rsid w:val="1391B232"/>
    <w:rsid w:val="140D1894"/>
    <w:rsid w:val="146A117C"/>
    <w:rsid w:val="1596311D"/>
    <w:rsid w:val="15F3A60C"/>
    <w:rsid w:val="16AF5EBD"/>
    <w:rsid w:val="16D6ED37"/>
    <w:rsid w:val="188F3573"/>
    <w:rsid w:val="1899E1D6"/>
    <w:rsid w:val="1ABB5D3D"/>
    <w:rsid w:val="1B205B2A"/>
    <w:rsid w:val="1BAD6151"/>
    <w:rsid w:val="1BBD6631"/>
    <w:rsid w:val="1BE49B68"/>
    <w:rsid w:val="1C85CAFD"/>
    <w:rsid w:val="1CAAB15A"/>
    <w:rsid w:val="1CB6F815"/>
    <w:rsid w:val="1D161727"/>
    <w:rsid w:val="1D9D5B12"/>
    <w:rsid w:val="1E66FADB"/>
    <w:rsid w:val="1EB1A03A"/>
    <w:rsid w:val="1FB32834"/>
    <w:rsid w:val="217B1F5A"/>
    <w:rsid w:val="223EB13A"/>
    <w:rsid w:val="22EAE224"/>
    <w:rsid w:val="231D425E"/>
    <w:rsid w:val="249B95A3"/>
    <w:rsid w:val="24B71A85"/>
    <w:rsid w:val="251359A9"/>
    <w:rsid w:val="25DF5F3E"/>
    <w:rsid w:val="26069D9C"/>
    <w:rsid w:val="2692683C"/>
    <w:rsid w:val="27A5328F"/>
    <w:rsid w:val="27D205D8"/>
    <w:rsid w:val="28423323"/>
    <w:rsid w:val="28AA35CD"/>
    <w:rsid w:val="28F57984"/>
    <w:rsid w:val="2AADA499"/>
    <w:rsid w:val="2AC2EA6B"/>
    <w:rsid w:val="2B737460"/>
    <w:rsid w:val="2B78CB85"/>
    <w:rsid w:val="2B7A11C2"/>
    <w:rsid w:val="2D3D996E"/>
    <w:rsid w:val="2D8DCE1F"/>
    <w:rsid w:val="2DE27717"/>
    <w:rsid w:val="2FDB96A5"/>
    <w:rsid w:val="309EC353"/>
    <w:rsid w:val="31867D7A"/>
    <w:rsid w:val="319CC3A6"/>
    <w:rsid w:val="32998023"/>
    <w:rsid w:val="33166E6E"/>
    <w:rsid w:val="338B7F76"/>
    <w:rsid w:val="33D0F5FA"/>
    <w:rsid w:val="361E345E"/>
    <w:rsid w:val="36269341"/>
    <w:rsid w:val="36DAC1CB"/>
    <w:rsid w:val="374A551A"/>
    <w:rsid w:val="375A4B2F"/>
    <w:rsid w:val="375D98A6"/>
    <w:rsid w:val="37F8FC64"/>
    <w:rsid w:val="38740CF7"/>
    <w:rsid w:val="3892872D"/>
    <w:rsid w:val="38F61851"/>
    <w:rsid w:val="39151291"/>
    <w:rsid w:val="396B582C"/>
    <w:rsid w:val="3976ED48"/>
    <w:rsid w:val="39F20CD0"/>
    <w:rsid w:val="3B8CAC10"/>
    <w:rsid w:val="3BD4BBFE"/>
    <w:rsid w:val="3BF0D4A8"/>
    <w:rsid w:val="3C30BF5D"/>
    <w:rsid w:val="3C539323"/>
    <w:rsid w:val="3CB8655E"/>
    <w:rsid w:val="3D73BDCF"/>
    <w:rsid w:val="3E29537E"/>
    <w:rsid w:val="3F52E75B"/>
    <w:rsid w:val="3FB02D5A"/>
    <w:rsid w:val="3FF14D0F"/>
    <w:rsid w:val="4070DE53"/>
    <w:rsid w:val="417C1ECF"/>
    <w:rsid w:val="41D59541"/>
    <w:rsid w:val="42057696"/>
    <w:rsid w:val="43D1A890"/>
    <w:rsid w:val="443B3423"/>
    <w:rsid w:val="4499BACE"/>
    <w:rsid w:val="45298E8A"/>
    <w:rsid w:val="457B924B"/>
    <w:rsid w:val="45CC448F"/>
    <w:rsid w:val="46AB4279"/>
    <w:rsid w:val="47FB37BB"/>
    <w:rsid w:val="496D0D68"/>
    <w:rsid w:val="49FDB925"/>
    <w:rsid w:val="4A92F789"/>
    <w:rsid w:val="4AE014AA"/>
    <w:rsid w:val="4B98F842"/>
    <w:rsid w:val="4C471CCA"/>
    <w:rsid w:val="4D6B9619"/>
    <w:rsid w:val="4DD507CE"/>
    <w:rsid w:val="4DE81C12"/>
    <w:rsid w:val="4E132F32"/>
    <w:rsid w:val="4E404658"/>
    <w:rsid w:val="4E51968A"/>
    <w:rsid w:val="4ED056CF"/>
    <w:rsid w:val="50E728BB"/>
    <w:rsid w:val="50F78EB6"/>
    <w:rsid w:val="51C9BF82"/>
    <w:rsid w:val="51D5CFA5"/>
    <w:rsid w:val="51E1AC31"/>
    <w:rsid w:val="528BE7BB"/>
    <w:rsid w:val="52AA783E"/>
    <w:rsid w:val="53C01D15"/>
    <w:rsid w:val="53DBCA49"/>
    <w:rsid w:val="54100257"/>
    <w:rsid w:val="549DBFC9"/>
    <w:rsid w:val="5654F47D"/>
    <w:rsid w:val="5699D317"/>
    <w:rsid w:val="571EA863"/>
    <w:rsid w:val="58FFEA99"/>
    <w:rsid w:val="5966B143"/>
    <w:rsid w:val="5AC60B96"/>
    <w:rsid w:val="5B00E13A"/>
    <w:rsid w:val="5B2BF63C"/>
    <w:rsid w:val="5CBE6885"/>
    <w:rsid w:val="5CC9466C"/>
    <w:rsid w:val="5D81A0A6"/>
    <w:rsid w:val="5DC68574"/>
    <w:rsid w:val="5E418F28"/>
    <w:rsid w:val="5E7AD3F9"/>
    <w:rsid w:val="5F538682"/>
    <w:rsid w:val="5F84C0BB"/>
    <w:rsid w:val="6059CD59"/>
    <w:rsid w:val="617FB7E0"/>
    <w:rsid w:val="61869E44"/>
    <w:rsid w:val="61F42023"/>
    <w:rsid w:val="6287E712"/>
    <w:rsid w:val="62D05292"/>
    <w:rsid w:val="6314DBFD"/>
    <w:rsid w:val="635B4FFF"/>
    <w:rsid w:val="645678DE"/>
    <w:rsid w:val="649F545F"/>
    <w:rsid w:val="65011704"/>
    <w:rsid w:val="653CB51E"/>
    <w:rsid w:val="656DB0A7"/>
    <w:rsid w:val="67212F77"/>
    <w:rsid w:val="675EED15"/>
    <w:rsid w:val="6835F407"/>
    <w:rsid w:val="686DC705"/>
    <w:rsid w:val="689D0A9A"/>
    <w:rsid w:val="68DABD3D"/>
    <w:rsid w:val="69F4E683"/>
    <w:rsid w:val="6B5521EA"/>
    <w:rsid w:val="6C048A38"/>
    <w:rsid w:val="6D6FE5F1"/>
    <w:rsid w:val="6D97CFED"/>
    <w:rsid w:val="6E281D7C"/>
    <w:rsid w:val="6EA7F34F"/>
    <w:rsid w:val="6F29E91B"/>
    <w:rsid w:val="7039F9CE"/>
    <w:rsid w:val="70D931FC"/>
    <w:rsid w:val="7147B410"/>
    <w:rsid w:val="7150CFFE"/>
    <w:rsid w:val="71957111"/>
    <w:rsid w:val="7202E26A"/>
    <w:rsid w:val="7215C7D3"/>
    <w:rsid w:val="735AA65A"/>
    <w:rsid w:val="741B4F58"/>
    <w:rsid w:val="7449FA4C"/>
    <w:rsid w:val="74581EFE"/>
    <w:rsid w:val="757C26E1"/>
    <w:rsid w:val="770066CF"/>
    <w:rsid w:val="782D3B08"/>
    <w:rsid w:val="78788C88"/>
    <w:rsid w:val="78C77055"/>
    <w:rsid w:val="78F0E691"/>
    <w:rsid w:val="793B1322"/>
    <w:rsid w:val="794DF573"/>
    <w:rsid w:val="79D4DE68"/>
    <w:rsid w:val="7A404633"/>
    <w:rsid w:val="7B260962"/>
    <w:rsid w:val="7C767E5B"/>
    <w:rsid w:val="7E547788"/>
    <w:rsid w:val="7EC9892C"/>
    <w:rsid w:val="7F53CAD7"/>
    <w:rsid w:val="7F9831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88C88"/>
  <w15:chartTrackingRefBased/>
  <w15:docId w15:val="{C14056F2-3F5A-4B7A-9965-EE9FC762E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49FDB925"/>
    <w:pPr>
      <w:ind w:left="720"/>
      <w:contextualSpacing/>
    </w:pPr>
  </w:style>
  <w:style w:type="character" w:styleId="Hyperlink">
    <w:name w:val="Hyperlink"/>
    <w:basedOn w:val="DefaultParagraphFont"/>
    <w:uiPriority w:val="99"/>
    <w:unhideWhenUsed/>
    <w:rsid w:val="49FDB925"/>
    <w:rPr>
      <w:color w:val="467886"/>
      <w:u w:val="single"/>
    </w:rPr>
  </w:style>
  <w:style w:type="character" w:styleId="CommentReference">
    <w:name w:val="annotation reference"/>
    <w:basedOn w:val="DefaultParagraphFont"/>
    <w:uiPriority w:val="99"/>
    <w:semiHidden/>
    <w:unhideWhenUsed/>
    <w:rsid w:val="007C5A7A"/>
    <w:rPr>
      <w:sz w:val="16"/>
      <w:szCs w:val="16"/>
    </w:rPr>
  </w:style>
  <w:style w:type="paragraph" w:styleId="CommentText">
    <w:name w:val="annotation text"/>
    <w:basedOn w:val="Normal"/>
    <w:link w:val="CommentTextChar"/>
    <w:uiPriority w:val="99"/>
    <w:unhideWhenUsed/>
    <w:rsid w:val="007C5A7A"/>
    <w:pPr>
      <w:spacing w:line="240" w:lineRule="auto"/>
    </w:pPr>
    <w:rPr>
      <w:sz w:val="20"/>
      <w:szCs w:val="20"/>
    </w:rPr>
  </w:style>
  <w:style w:type="character" w:styleId="CommentTextChar" w:customStyle="1">
    <w:name w:val="Comment Text Char"/>
    <w:basedOn w:val="DefaultParagraphFont"/>
    <w:link w:val="CommentText"/>
    <w:uiPriority w:val="99"/>
    <w:rsid w:val="007C5A7A"/>
    <w:rPr>
      <w:sz w:val="20"/>
      <w:szCs w:val="20"/>
    </w:rPr>
  </w:style>
  <w:style w:type="paragraph" w:styleId="CommentSubject">
    <w:name w:val="annotation subject"/>
    <w:basedOn w:val="CommentText"/>
    <w:next w:val="CommentText"/>
    <w:link w:val="CommentSubjectChar"/>
    <w:uiPriority w:val="99"/>
    <w:semiHidden/>
    <w:unhideWhenUsed/>
    <w:rsid w:val="007C5A7A"/>
    <w:rPr>
      <w:b/>
      <w:bCs/>
    </w:rPr>
  </w:style>
  <w:style w:type="character" w:styleId="CommentSubjectChar" w:customStyle="1">
    <w:name w:val="Comment Subject Char"/>
    <w:basedOn w:val="CommentTextChar"/>
    <w:link w:val="CommentSubject"/>
    <w:uiPriority w:val="99"/>
    <w:semiHidden/>
    <w:rsid w:val="007C5A7A"/>
    <w:rPr>
      <w:b/>
      <w:bCs/>
      <w:sz w:val="20"/>
      <w:szCs w:val="20"/>
    </w:rPr>
  </w:style>
  <w:style w:type="character" w:styleId="Mention">
    <w:name w:val="Mention"/>
    <w:basedOn w:val="DefaultParagraphFont"/>
    <w:uiPriority w:val="99"/>
    <w:unhideWhenUsed/>
    <w:rsid w:val="007C5A7A"/>
    <w:rPr>
      <w:color w:val="2B579A"/>
      <w:shd w:val="clear" w:color="auto" w:fill="E1DFDD"/>
    </w:rPr>
  </w:style>
  <w:style w:type="paragraph" w:styleId="Revision">
    <w:name w:val="Revision"/>
    <w:hidden/>
    <w:uiPriority w:val="99"/>
    <w:semiHidden/>
    <w:rsid w:val="004609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microsoft.com/office/2016/09/relationships/commentsIds" Target="commentsIds.xml" Id="rId8" /><Relationship Type="http://schemas.openxmlformats.org/officeDocument/2006/relationships/settings" Target="settings.xml" Id="rId3" /><Relationship Type="http://schemas.microsoft.com/office/2011/relationships/commentsExtended" Target="commentsExtended.xm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microsoft.com/office/2011/relationships/people" Target="people.xml" Id="rId11" /><Relationship Type="http://schemas.openxmlformats.org/officeDocument/2006/relationships/hyperlink" Target="https://mygrants.servicenowservices.com/mygrants?id=mygrants_form&amp;table=x_g_usd4_d_grant_funding_opportunity&amp;sys_id=c605c4934736e6904f681864336d4310&amp;view=Default" TargetMode="External" Id="rId5" /><Relationship Type="http://schemas.openxmlformats.org/officeDocument/2006/relationships/fontTable" Target="fontTable.xml" Id="rId10" /><Relationship Type="http://schemas.openxmlformats.org/officeDocument/2006/relationships/webSettings" Target="webSettings.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Brouda, Sara</dc:creator>
  <keywords/>
  <dc:description/>
  <lastModifiedBy>Brouda, Sara</lastModifiedBy>
  <revision>17</revision>
  <dcterms:created xsi:type="dcterms:W3CDTF">2025-08-07T16:55:00.0000000Z</dcterms:created>
  <dcterms:modified xsi:type="dcterms:W3CDTF">2025-08-20T21:13:17.4309792Z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665d9ee-429a-4d5f-97cc-cfb56e044a6e_Enabled">
    <vt:lpwstr>true</vt:lpwstr>
  </property>
  <property fmtid="{D5CDD505-2E9C-101B-9397-08002B2CF9AE}" pid="3" name="MSIP_Label_1665d9ee-429a-4d5f-97cc-cfb56e044a6e_SetDate">
    <vt:lpwstr>2025-08-07T16:55:38Z</vt:lpwstr>
  </property>
  <property fmtid="{D5CDD505-2E9C-101B-9397-08002B2CF9AE}" pid="4" name="MSIP_Label_1665d9ee-429a-4d5f-97cc-cfb56e044a6e_Method">
    <vt:lpwstr>Privileged</vt:lpwstr>
  </property>
  <property fmtid="{D5CDD505-2E9C-101B-9397-08002B2CF9AE}" pid="5" name="MSIP_Label_1665d9ee-429a-4d5f-97cc-cfb56e044a6e_Name">
    <vt:lpwstr>1665d9ee-429a-4d5f-97cc-cfb56e044a6e</vt:lpwstr>
  </property>
  <property fmtid="{D5CDD505-2E9C-101B-9397-08002B2CF9AE}" pid="6" name="MSIP_Label_1665d9ee-429a-4d5f-97cc-cfb56e044a6e_SiteId">
    <vt:lpwstr>66cf5074-5afe-48d1-a691-a12b2121f44b</vt:lpwstr>
  </property>
  <property fmtid="{D5CDD505-2E9C-101B-9397-08002B2CF9AE}" pid="7" name="MSIP_Label_1665d9ee-429a-4d5f-97cc-cfb56e044a6e_ActionId">
    <vt:lpwstr>434727ee-8325-4522-a998-5582a5dc7d87</vt:lpwstr>
  </property>
  <property fmtid="{D5CDD505-2E9C-101B-9397-08002B2CF9AE}" pid="8" name="MSIP_Label_1665d9ee-429a-4d5f-97cc-cfb56e044a6e_ContentBits">
    <vt:lpwstr>0</vt:lpwstr>
  </property>
  <property fmtid="{D5CDD505-2E9C-101B-9397-08002B2CF9AE}" pid="9" name="MSIP_Label_1665d9ee-429a-4d5f-97cc-cfb56e044a6e_Tag">
    <vt:lpwstr>10, 0, 1, 2</vt:lpwstr>
  </property>
</Properties>
</file>