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9D65" w14:textId="36D6EAAE" w:rsidR="00642F58" w:rsidRPr="00DC45EE" w:rsidRDefault="00460B0E" w:rsidP="000C0268">
      <w:pPr>
        <w:spacing w:after="160" w:line="259" w:lineRule="auto"/>
        <w:rPr>
          <w:bCs/>
          <w:sz w:val="32"/>
          <w:szCs w:val="32"/>
        </w:rPr>
      </w:pPr>
      <w:r w:rsidRPr="00DC45EE">
        <w:rPr>
          <w:b/>
          <w:bCs/>
          <w:sz w:val="32"/>
          <w:szCs w:val="32"/>
        </w:rPr>
        <w:t>Fiscal Year (FY) 202</w:t>
      </w:r>
      <w:r w:rsidR="00737F39">
        <w:rPr>
          <w:b/>
          <w:bCs/>
          <w:sz w:val="32"/>
          <w:szCs w:val="32"/>
        </w:rPr>
        <w:t>5</w:t>
      </w:r>
      <w:r w:rsidRPr="00DC45EE">
        <w:rPr>
          <w:b/>
          <w:bCs/>
          <w:sz w:val="32"/>
          <w:szCs w:val="32"/>
        </w:rPr>
        <w:t xml:space="preserve"> </w:t>
      </w:r>
      <w:r w:rsidR="00E44245">
        <w:rPr>
          <w:b/>
          <w:bCs/>
          <w:sz w:val="32"/>
          <w:szCs w:val="32"/>
        </w:rPr>
        <w:t xml:space="preserve">Budget </w:t>
      </w:r>
      <w:r w:rsidR="00642F58" w:rsidRPr="00DC45EE">
        <w:rPr>
          <w:b/>
          <w:bCs/>
          <w:sz w:val="32"/>
          <w:szCs w:val="32"/>
        </w:rPr>
        <w:t>Template</w:t>
      </w:r>
    </w:p>
    <w:p w14:paraId="6B3B54E6" w14:textId="2803F857" w:rsidR="00502395" w:rsidRDefault="00E84ACC" w:rsidP="00E44245">
      <w:pPr>
        <w:pStyle w:val="BodyText"/>
        <w:jc w:val="both"/>
        <w:rPr>
          <w:rFonts w:asciiTheme="minorHAnsi" w:hAnsiTheme="minorHAnsi" w:cstheme="minorHAnsi"/>
          <w:sz w:val="22"/>
          <w:szCs w:val="22"/>
        </w:rPr>
      </w:pPr>
      <w:r w:rsidRPr="00DC45EE">
        <w:rPr>
          <w:rFonts w:asciiTheme="minorHAnsi" w:hAnsiTheme="minorHAnsi" w:cstheme="minorHAnsi"/>
          <w:sz w:val="22"/>
          <w:szCs w:val="22"/>
        </w:rPr>
        <w:t xml:space="preserve">The Federal Motor Carrier Safety Administration (FMCSA) </w:t>
      </w:r>
      <w:r w:rsidRPr="00DC45EE">
        <w:rPr>
          <w:rFonts w:asciiTheme="minorHAnsi" w:hAnsiTheme="minorHAnsi" w:cstheme="minorHAnsi"/>
          <w:b/>
          <w:bCs/>
          <w:sz w:val="22"/>
          <w:szCs w:val="22"/>
          <w:u w:val="single"/>
        </w:rPr>
        <w:t>encourages</w:t>
      </w:r>
      <w:r w:rsidRPr="00DC45EE">
        <w:rPr>
          <w:rFonts w:asciiTheme="minorHAnsi" w:hAnsiTheme="minorHAnsi" w:cstheme="minorHAnsi"/>
          <w:sz w:val="22"/>
          <w:szCs w:val="22"/>
        </w:rPr>
        <w:t xml:space="preserve"> the use of this</w:t>
      </w:r>
      <w:r w:rsidR="00E460FF" w:rsidRPr="00DC45EE">
        <w:rPr>
          <w:rFonts w:asciiTheme="minorHAnsi" w:hAnsiTheme="minorHAnsi" w:cstheme="minorHAnsi"/>
          <w:sz w:val="22"/>
          <w:szCs w:val="22"/>
        </w:rPr>
        <w:t xml:space="preserve"> template</w:t>
      </w:r>
      <w:r w:rsidR="00950228" w:rsidRPr="00DC45EE">
        <w:rPr>
          <w:rFonts w:asciiTheme="minorHAnsi" w:hAnsiTheme="minorHAnsi" w:cstheme="minorHAnsi"/>
          <w:sz w:val="22"/>
          <w:szCs w:val="22"/>
        </w:rPr>
        <w:t xml:space="preserve"> </w:t>
      </w:r>
      <w:r w:rsidR="00AD203D" w:rsidRPr="00DC45EE">
        <w:rPr>
          <w:rFonts w:asciiTheme="minorHAnsi" w:hAnsiTheme="minorHAnsi" w:cstheme="minorHAnsi"/>
          <w:sz w:val="22"/>
          <w:szCs w:val="22"/>
        </w:rPr>
        <w:t>by applicants</w:t>
      </w:r>
      <w:r w:rsidR="00B76236" w:rsidRPr="00DC45EE">
        <w:rPr>
          <w:rFonts w:asciiTheme="minorHAnsi" w:hAnsiTheme="minorHAnsi" w:cstheme="minorHAnsi"/>
          <w:sz w:val="22"/>
          <w:szCs w:val="22"/>
        </w:rPr>
        <w:t xml:space="preserve"> </w:t>
      </w:r>
      <w:r w:rsidR="00015FB6" w:rsidRPr="00DC45EE">
        <w:rPr>
          <w:rFonts w:asciiTheme="minorHAnsi" w:hAnsiTheme="minorHAnsi" w:cstheme="minorHAnsi"/>
          <w:sz w:val="22"/>
          <w:szCs w:val="22"/>
        </w:rPr>
        <w:t xml:space="preserve">to aid </w:t>
      </w:r>
      <w:r w:rsidR="00BD5378">
        <w:rPr>
          <w:rFonts w:asciiTheme="minorHAnsi" w:hAnsiTheme="minorHAnsi" w:cstheme="minorHAnsi"/>
          <w:sz w:val="22"/>
          <w:szCs w:val="22"/>
        </w:rPr>
        <w:t>with</w:t>
      </w:r>
      <w:r w:rsidR="00B76236" w:rsidRPr="00DC45EE">
        <w:rPr>
          <w:rFonts w:asciiTheme="minorHAnsi" w:hAnsiTheme="minorHAnsi" w:cstheme="minorHAnsi"/>
          <w:sz w:val="22"/>
          <w:szCs w:val="22"/>
        </w:rPr>
        <w:t xml:space="preserve"> </w:t>
      </w:r>
      <w:r w:rsidRPr="00DC45EE">
        <w:rPr>
          <w:rFonts w:asciiTheme="minorHAnsi" w:hAnsiTheme="minorHAnsi" w:cstheme="minorHAnsi"/>
          <w:sz w:val="22"/>
          <w:szCs w:val="22"/>
        </w:rPr>
        <w:t xml:space="preserve">developing a </w:t>
      </w:r>
      <w:r w:rsidR="00756AAE">
        <w:rPr>
          <w:rFonts w:asciiTheme="minorHAnsi" w:hAnsiTheme="minorHAnsi" w:cstheme="minorHAnsi"/>
          <w:sz w:val="22"/>
          <w:szCs w:val="22"/>
        </w:rPr>
        <w:t>responsive</w:t>
      </w:r>
      <w:r w:rsidR="00756AAE" w:rsidRPr="00DC45EE">
        <w:rPr>
          <w:rFonts w:asciiTheme="minorHAnsi" w:hAnsiTheme="minorHAnsi" w:cstheme="minorHAnsi"/>
          <w:sz w:val="22"/>
          <w:szCs w:val="22"/>
        </w:rPr>
        <w:t xml:space="preserve"> </w:t>
      </w:r>
      <w:r w:rsidR="00756AAE">
        <w:rPr>
          <w:rFonts w:asciiTheme="minorHAnsi" w:hAnsiTheme="minorHAnsi" w:cstheme="minorHAnsi"/>
          <w:sz w:val="22"/>
          <w:szCs w:val="22"/>
        </w:rPr>
        <w:t>budget narrative</w:t>
      </w:r>
      <w:r w:rsidR="00E44245">
        <w:rPr>
          <w:rFonts w:asciiTheme="minorHAnsi" w:hAnsiTheme="minorHAnsi" w:cstheme="minorHAnsi"/>
          <w:sz w:val="22"/>
          <w:szCs w:val="22"/>
        </w:rPr>
        <w:t>.</w:t>
      </w:r>
    </w:p>
    <w:p w14:paraId="152A288B" w14:textId="77777777" w:rsidR="0007734F" w:rsidRDefault="0007734F" w:rsidP="00E44245">
      <w:pPr>
        <w:pStyle w:val="BodyText"/>
        <w:jc w:val="both"/>
        <w:rPr>
          <w:rFonts w:asciiTheme="minorHAnsi" w:hAnsiTheme="minorHAnsi" w:cstheme="minorHAnsi"/>
          <w:b/>
          <w:bCs/>
        </w:rPr>
      </w:pPr>
    </w:p>
    <w:p w14:paraId="3CE3A2E5" w14:textId="16174120" w:rsidR="00AF660A" w:rsidRPr="00502395" w:rsidRDefault="00AF660A" w:rsidP="00E44245">
      <w:pPr>
        <w:pStyle w:val="BodyText"/>
        <w:jc w:val="both"/>
        <w:rPr>
          <w:rFonts w:asciiTheme="minorHAnsi" w:hAnsiTheme="minorHAnsi" w:cstheme="minorHAnsi"/>
          <w:b/>
          <w:bCs/>
        </w:rPr>
      </w:pPr>
      <w:r w:rsidRPr="00502395">
        <w:rPr>
          <w:rFonts w:asciiTheme="minorHAnsi" w:hAnsiTheme="minorHAnsi" w:cstheme="minorHAnsi"/>
          <w:b/>
          <w:bCs/>
        </w:rPr>
        <w:t xml:space="preserve">Budget Narrative </w:t>
      </w:r>
    </w:p>
    <w:p w14:paraId="14080AF8" w14:textId="043E6F79" w:rsidR="00954511" w:rsidRPr="00CE268A" w:rsidRDefault="00CA1E16" w:rsidP="002E45CF">
      <w:pPr>
        <w:pStyle w:val="BodyText"/>
        <w:jc w:val="both"/>
        <w:rPr>
          <w:rFonts w:asciiTheme="minorHAnsi" w:eastAsiaTheme="majorEastAsia" w:hAnsiTheme="minorHAnsi" w:cstheme="minorHAnsi"/>
          <w:b/>
          <w:bCs/>
          <w:sz w:val="22"/>
          <w:szCs w:val="22"/>
        </w:rPr>
      </w:pPr>
      <w:r w:rsidRPr="00CE268A">
        <w:rPr>
          <w:rFonts w:asciiTheme="minorHAnsi" w:eastAsiaTheme="majorEastAsia" w:hAnsiTheme="minorHAnsi" w:cstheme="minorHAnsi"/>
          <w:bCs/>
          <w:sz w:val="22"/>
          <w:szCs w:val="22"/>
        </w:rPr>
        <w:t>Provide</w:t>
      </w:r>
      <w:r w:rsidRPr="00CE268A">
        <w:rPr>
          <w:rFonts w:asciiTheme="minorHAnsi" w:eastAsiaTheme="majorEastAsia" w:hAnsiTheme="minorHAnsi" w:cstheme="minorHAnsi"/>
          <w:b/>
          <w:sz w:val="22"/>
          <w:szCs w:val="22"/>
        </w:rPr>
        <w:t xml:space="preserve"> </w:t>
      </w:r>
      <w:r w:rsidRPr="00CE268A">
        <w:rPr>
          <w:rFonts w:asciiTheme="minorHAnsi" w:eastAsiaTheme="majorEastAsia" w:hAnsiTheme="minorHAnsi" w:cstheme="minorHAnsi"/>
          <w:sz w:val="22"/>
          <w:szCs w:val="22"/>
        </w:rPr>
        <w:t xml:space="preserve">a description of the expenses by budget category which match the application’s SF-424a Budget Category columns for </w:t>
      </w:r>
      <w:r w:rsidRPr="00CE268A">
        <w:rPr>
          <w:rFonts w:asciiTheme="minorHAnsi" w:eastAsiaTheme="majorEastAsia" w:hAnsiTheme="minorHAnsi" w:cstheme="minorHAnsi"/>
          <w:b/>
          <w:bCs/>
          <w:sz w:val="22"/>
          <w:szCs w:val="22"/>
          <w:u w:val="single"/>
        </w:rPr>
        <w:t>each project</w:t>
      </w:r>
      <w:r w:rsidRPr="00CE268A">
        <w:rPr>
          <w:rFonts w:asciiTheme="minorHAnsi" w:eastAsiaTheme="majorEastAsia" w:hAnsiTheme="minorHAnsi" w:cstheme="minorHAnsi"/>
          <w:sz w:val="22"/>
          <w:szCs w:val="22"/>
        </w:rPr>
        <w:t xml:space="preserve">. </w:t>
      </w:r>
      <w:r w:rsidR="002E654D" w:rsidRPr="00CE268A">
        <w:rPr>
          <w:rFonts w:asciiTheme="minorHAnsi" w:eastAsiaTheme="majorEastAsia" w:hAnsiTheme="minorHAnsi" w:cstheme="minorHAnsi"/>
          <w:sz w:val="22"/>
          <w:szCs w:val="22"/>
        </w:rPr>
        <w:t>Narrative m</w:t>
      </w:r>
      <w:r w:rsidRPr="00CE268A">
        <w:rPr>
          <w:rFonts w:asciiTheme="minorHAnsi" w:eastAsiaTheme="majorEastAsia" w:hAnsiTheme="minorHAnsi" w:cstheme="minorHAnsi"/>
          <w:sz w:val="22"/>
          <w:szCs w:val="22"/>
        </w:rPr>
        <w:t xml:space="preserve">ust include a detailed justification for the costs necessary to complete the proposed project. The level of detail should be sufficient for the reviewer to evaluate expenses are necessary, reasonable, </w:t>
      </w:r>
      <w:r w:rsidR="00B97CBD" w:rsidRPr="00CE268A">
        <w:rPr>
          <w:rFonts w:asciiTheme="minorHAnsi" w:eastAsiaTheme="majorEastAsia" w:hAnsiTheme="minorHAnsi" w:cstheme="minorHAnsi"/>
          <w:sz w:val="22"/>
          <w:szCs w:val="22"/>
        </w:rPr>
        <w:t>allowable,</w:t>
      </w:r>
      <w:r w:rsidRPr="00CE268A">
        <w:rPr>
          <w:rFonts w:asciiTheme="minorHAnsi" w:eastAsiaTheme="majorEastAsia" w:hAnsiTheme="minorHAnsi" w:cstheme="minorHAnsi"/>
          <w:sz w:val="22"/>
          <w:szCs w:val="22"/>
        </w:rPr>
        <w:t xml:space="preserve"> and allocable as established by 2 C.F.R. part 200 and FMCSA’s MCSAP Comprehensive Policy (</w:t>
      </w:r>
      <w:bookmarkStart w:id="0" w:name="_Hlk80020157"/>
      <w:r w:rsidRPr="00CE268A">
        <w:rPr>
          <w:rFonts w:asciiTheme="minorHAnsi" w:eastAsiaTheme="majorEastAsia" w:hAnsiTheme="minorHAnsi" w:cstheme="minorHAnsi"/>
          <w:sz w:val="22"/>
          <w:szCs w:val="22"/>
        </w:rPr>
        <w:t>MCP</w:t>
      </w:r>
      <w:bookmarkEnd w:id="0"/>
      <w:r w:rsidRPr="00CE268A">
        <w:rPr>
          <w:rFonts w:asciiTheme="minorHAnsi" w:eastAsiaTheme="majorEastAsia" w:hAnsiTheme="minorHAnsi" w:cstheme="minorHAnsi"/>
          <w:sz w:val="22"/>
          <w:szCs w:val="22"/>
        </w:rPr>
        <w:t>).</w:t>
      </w:r>
      <w:r w:rsidR="00CE268A" w:rsidRPr="00CE268A">
        <w:rPr>
          <w:rFonts w:asciiTheme="minorHAnsi" w:eastAsiaTheme="majorEastAsia" w:hAnsiTheme="minorHAnsi" w:cstheme="minorHAnsi"/>
          <w:sz w:val="22"/>
          <w:szCs w:val="22"/>
        </w:rPr>
        <w:t xml:space="preserve"> </w:t>
      </w:r>
      <w:r w:rsidR="00CE268A" w:rsidRPr="00CE268A">
        <w:rPr>
          <w:rFonts w:asciiTheme="minorHAnsi" w:eastAsiaTheme="majorEastAsia" w:hAnsiTheme="minorHAnsi" w:cstheme="minorHAnsi"/>
          <w:b/>
          <w:bCs/>
          <w:sz w:val="22"/>
          <w:szCs w:val="22"/>
        </w:rPr>
        <w:t>Expenses must be itemized to demonstrate how the total cost was determined.</w:t>
      </w:r>
      <w:r w:rsidR="00CE268A" w:rsidRPr="00CE268A">
        <w:rPr>
          <w:rFonts w:asciiTheme="minorHAnsi" w:eastAsiaTheme="majorEastAsia" w:hAnsiTheme="minorHAnsi" w:cstheme="minorHAnsi"/>
          <w:sz w:val="22"/>
          <w:szCs w:val="22"/>
        </w:rPr>
        <w:t xml:space="preserve"> For example, </w:t>
      </w:r>
      <w:r w:rsidR="002E45CF" w:rsidRPr="00CE268A">
        <w:rPr>
          <w:rFonts w:asciiTheme="minorHAnsi" w:eastAsiaTheme="majorEastAsia" w:hAnsiTheme="minorHAnsi" w:cstheme="minorHAnsi"/>
          <w:sz w:val="22"/>
          <w:szCs w:val="22"/>
        </w:rPr>
        <w:t xml:space="preserve">Travel </w:t>
      </w:r>
      <w:r w:rsidR="002E45CF">
        <w:rPr>
          <w:rFonts w:asciiTheme="minorHAnsi" w:eastAsiaTheme="majorEastAsia" w:hAnsiTheme="minorHAnsi" w:cstheme="minorHAnsi"/>
          <w:sz w:val="22"/>
          <w:szCs w:val="22"/>
        </w:rPr>
        <w:t>cost</w:t>
      </w:r>
      <w:r w:rsidR="002E45CF" w:rsidRPr="00CE268A">
        <w:rPr>
          <w:rFonts w:asciiTheme="minorHAnsi" w:eastAsiaTheme="majorEastAsia" w:hAnsiTheme="minorHAnsi" w:cstheme="minorHAnsi"/>
          <w:sz w:val="22"/>
          <w:szCs w:val="22"/>
        </w:rPr>
        <w:t xml:space="preserve"> must not be bundled but m</w:t>
      </w:r>
      <w:r w:rsidR="002E45CF">
        <w:rPr>
          <w:rFonts w:asciiTheme="minorHAnsi" w:eastAsiaTheme="majorEastAsia" w:hAnsiTheme="minorHAnsi" w:cstheme="minorHAnsi"/>
          <w:sz w:val="22"/>
          <w:szCs w:val="22"/>
        </w:rPr>
        <w:t>u</w:t>
      </w:r>
      <w:r w:rsidR="002E45CF" w:rsidRPr="00CE268A">
        <w:rPr>
          <w:rFonts w:asciiTheme="minorHAnsi" w:eastAsiaTheme="majorEastAsia" w:hAnsiTheme="minorHAnsi" w:cstheme="minorHAnsi"/>
          <w:sz w:val="22"/>
          <w:szCs w:val="22"/>
        </w:rPr>
        <w:t xml:space="preserve">st show how </w:t>
      </w:r>
      <w:r w:rsidR="002E45CF">
        <w:rPr>
          <w:rFonts w:asciiTheme="minorHAnsi" w:eastAsiaTheme="majorEastAsia" w:hAnsiTheme="minorHAnsi" w:cstheme="minorHAnsi"/>
          <w:sz w:val="22"/>
          <w:szCs w:val="22"/>
        </w:rPr>
        <w:t>total</w:t>
      </w:r>
      <w:r w:rsidR="002E45CF" w:rsidRPr="00CE268A">
        <w:rPr>
          <w:rFonts w:asciiTheme="minorHAnsi" w:eastAsiaTheme="majorEastAsia" w:hAnsiTheme="minorHAnsi" w:cstheme="minorHAnsi"/>
          <w:sz w:val="22"/>
          <w:szCs w:val="22"/>
        </w:rPr>
        <w:t xml:space="preserve"> was determined by itemizing cost for airline, lodging, taxi, etc</w:t>
      </w:r>
      <w:r w:rsidR="00CE268A" w:rsidRPr="00CE268A">
        <w:rPr>
          <w:rFonts w:asciiTheme="minorHAnsi" w:eastAsiaTheme="majorEastAsia" w:hAnsiTheme="minorHAnsi" w:cstheme="minorHAnsi"/>
          <w:sz w:val="22"/>
          <w:szCs w:val="22"/>
        </w:rPr>
        <w:t>.</w:t>
      </w:r>
      <w:r w:rsidR="002E45CF">
        <w:rPr>
          <w:rFonts w:asciiTheme="minorHAnsi" w:eastAsiaTheme="majorEastAsia" w:hAnsiTheme="minorHAnsi" w:cstheme="minorHAnsi"/>
          <w:sz w:val="22"/>
          <w:szCs w:val="22"/>
        </w:rPr>
        <w:t xml:space="preserve"> </w:t>
      </w:r>
      <w:r w:rsidRPr="00CE268A">
        <w:rPr>
          <w:rFonts w:asciiTheme="minorHAnsi" w:eastAsiaTheme="majorEastAsia" w:hAnsiTheme="minorHAnsi" w:cstheme="minorHAnsi"/>
          <w:sz w:val="22"/>
          <w:szCs w:val="22"/>
        </w:rPr>
        <w:t xml:space="preserve"> </w:t>
      </w:r>
      <w:r w:rsidRPr="00CE268A">
        <w:rPr>
          <w:rFonts w:asciiTheme="minorHAnsi" w:eastAsiaTheme="majorEastAsia" w:hAnsiTheme="minorHAnsi" w:cstheme="minorHAnsi"/>
          <w:b/>
          <w:bCs/>
          <w:sz w:val="22"/>
          <w:szCs w:val="22"/>
        </w:rPr>
        <w:t xml:space="preserve">All line items must be rounded to the nearest whole dollar amount.  </w:t>
      </w:r>
    </w:p>
    <w:p w14:paraId="56A84A4C" w14:textId="77777777" w:rsidR="00C80739" w:rsidRPr="00CE268A" w:rsidRDefault="00C80739" w:rsidP="002E45CF">
      <w:pPr>
        <w:pStyle w:val="BodyText"/>
        <w:jc w:val="both"/>
        <w:rPr>
          <w:rFonts w:asciiTheme="minorHAnsi" w:hAnsiTheme="minorHAnsi" w:cstheme="minorHAnsi"/>
          <w:b/>
          <w:bCs/>
          <w:sz w:val="22"/>
          <w:szCs w:val="22"/>
        </w:rPr>
      </w:pPr>
    </w:p>
    <w:p w14:paraId="36079D94" w14:textId="06A13FC3" w:rsidR="00590F86" w:rsidRPr="000C0268" w:rsidRDefault="00144D74" w:rsidP="002E654D">
      <w:pPr>
        <w:pStyle w:val="BodyText"/>
        <w:ind w:right="90"/>
        <w:jc w:val="both"/>
        <w:rPr>
          <w:rFonts w:asciiTheme="minorHAnsi" w:hAnsiTheme="minorHAnsi" w:cstheme="minorHAnsi"/>
          <w:sz w:val="22"/>
          <w:szCs w:val="22"/>
        </w:rPr>
      </w:pPr>
      <w:r w:rsidRPr="000C0268">
        <w:rPr>
          <w:rFonts w:asciiTheme="minorHAnsi" w:hAnsiTheme="minorHAnsi" w:cstheme="minorHAnsi"/>
          <w:b/>
          <w:bCs/>
          <w:sz w:val="22"/>
          <w:szCs w:val="22"/>
        </w:rPr>
        <w:t>Personnel costs</w:t>
      </w:r>
      <w:r w:rsidRPr="000C0268">
        <w:rPr>
          <w:rFonts w:asciiTheme="minorHAnsi" w:hAnsiTheme="minorHAnsi" w:cstheme="minorHAnsi"/>
          <w:sz w:val="22"/>
          <w:szCs w:val="22"/>
        </w:rPr>
        <w:t xml:space="preserve"> are employee salaries working directly on a grant project. Include costs for only those personnel employed by your organization. Individuals not employed by your organization will be classified as either a sub-grantee or contractor.  See the contractual object class section for additional information.  </w:t>
      </w:r>
    </w:p>
    <w:p w14:paraId="0549787D" w14:textId="77777777" w:rsidR="00954511" w:rsidRPr="000C0268" w:rsidRDefault="00954511" w:rsidP="002E654D">
      <w:pPr>
        <w:pStyle w:val="BodyText"/>
        <w:ind w:right="90"/>
        <w:jc w:val="both"/>
        <w:rPr>
          <w:rFonts w:cstheme="minorHAnsi"/>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900"/>
        <w:gridCol w:w="1440"/>
        <w:gridCol w:w="1620"/>
        <w:gridCol w:w="1980"/>
      </w:tblGrid>
      <w:tr w:rsidR="00762E5C" w:rsidRPr="006B5372" w14:paraId="0A8B9748" w14:textId="30F7AAC4" w:rsidTr="00164624">
        <w:trPr>
          <w:trHeight w:val="478"/>
          <w:jc w:val="center"/>
        </w:trPr>
        <w:tc>
          <w:tcPr>
            <w:tcW w:w="7825" w:type="dxa"/>
            <w:gridSpan w:val="4"/>
            <w:tcBorders>
              <w:bottom w:val="single" w:sz="4" w:space="0" w:color="auto"/>
            </w:tcBorders>
            <w:shd w:val="clear" w:color="auto" w:fill="000000" w:themeFill="text1"/>
            <w:vAlign w:val="center"/>
          </w:tcPr>
          <w:p w14:paraId="6E9FFBCB" w14:textId="3EF616DF" w:rsidR="00762E5C" w:rsidRPr="000C0268" w:rsidRDefault="00737F39" w:rsidP="00737F39">
            <w:pPr>
              <w:autoSpaceDE w:val="0"/>
              <w:autoSpaceDN w:val="0"/>
              <w:adjustRightInd w:val="0"/>
              <w:spacing w:after="0"/>
              <w:jc w:val="center"/>
              <w:rPr>
                <w:rFonts w:cstheme="minorHAnsi"/>
                <w:b/>
                <w:bCs/>
                <w:color w:val="FFFFFF" w:themeColor="background1"/>
              </w:rPr>
            </w:pPr>
            <w:r>
              <w:rPr>
                <w:rFonts w:cstheme="minorHAnsi"/>
                <w:b/>
                <w:bCs/>
                <w:color w:val="FFFFFF" w:themeColor="background1"/>
              </w:rPr>
              <w:t xml:space="preserve">                                    </w:t>
            </w:r>
            <w:r w:rsidR="00762E5C" w:rsidRPr="000C0268">
              <w:rPr>
                <w:rFonts w:cstheme="minorHAnsi"/>
                <w:b/>
                <w:bCs/>
                <w:color w:val="FFFFFF" w:themeColor="background1"/>
              </w:rPr>
              <w:t>Personnel Budget Narrative</w:t>
            </w:r>
          </w:p>
        </w:tc>
        <w:tc>
          <w:tcPr>
            <w:tcW w:w="1980" w:type="dxa"/>
            <w:tcBorders>
              <w:bottom w:val="single" w:sz="4" w:space="0" w:color="auto"/>
            </w:tcBorders>
            <w:shd w:val="clear" w:color="auto" w:fill="000000" w:themeFill="text1"/>
          </w:tcPr>
          <w:p w14:paraId="78F8982F" w14:textId="77777777" w:rsidR="00762E5C" w:rsidRPr="00737F39" w:rsidRDefault="00762E5C" w:rsidP="00737F39">
            <w:pPr>
              <w:autoSpaceDE w:val="0"/>
              <w:autoSpaceDN w:val="0"/>
              <w:adjustRightInd w:val="0"/>
              <w:spacing w:after="0"/>
              <w:jc w:val="center"/>
              <w:rPr>
                <w:rFonts w:cstheme="minorHAnsi"/>
                <w:b/>
                <w:bCs/>
                <w:color w:val="FFFFFF" w:themeColor="background1"/>
                <w:sz w:val="20"/>
                <w:szCs w:val="20"/>
              </w:rPr>
            </w:pPr>
          </w:p>
          <w:p w14:paraId="579F3E92" w14:textId="77777777" w:rsidR="00737F39" w:rsidRPr="00737F39" w:rsidRDefault="00737F39" w:rsidP="00737F39">
            <w:pPr>
              <w:autoSpaceDE w:val="0"/>
              <w:autoSpaceDN w:val="0"/>
              <w:adjustRightInd w:val="0"/>
              <w:spacing w:after="0"/>
              <w:jc w:val="center"/>
              <w:rPr>
                <w:rFonts w:cstheme="minorHAnsi"/>
                <w:b/>
                <w:bCs/>
                <w:color w:val="FFFFFF" w:themeColor="background1"/>
                <w:sz w:val="20"/>
                <w:szCs w:val="20"/>
              </w:rPr>
            </w:pPr>
          </w:p>
          <w:p w14:paraId="285EF174" w14:textId="77777777" w:rsidR="00737F39" w:rsidRPr="00737F39" w:rsidRDefault="00737F39" w:rsidP="00737F39">
            <w:pPr>
              <w:autoSpaceDE w:val="0"/>
              <w:autoSpaceDN w:val="0"/>
              <w:adjustRightInd w:val="0"/>
              <w:spacing w:after="0"/>
              <w:jc w:val="center"/>
              <w:rPr>
                <w:rFonts w:cstheme="minorHAnsi"/>
                <w:b/>
                <w:bCs/>
                <w:color w:val="FFFFFF" w:themeColor="background1"/>
                <w:sz w:val="20"/>
                <w:szCs w:val="20"/>
              </w:rPr>
            </w:pPr>
          </w:p>
        </w:tc>
      </w:tr>
      <w:tr w:rsidR="009A7602" w:rsidRPr="006B5372" w14:paraId="54A907E7" w14:textId="4C59057B" w:rsidTr="00737F39">
        <w:trPr>
          <w:trHeight w:val="885"/>
          <w:jc w:val="center"/>
        </w:trPr>
        <w:tc>
          <w:tcPr>
            <w:tcW w:w="3865" w:type="dxa"/>
            <w:shd w:val="clear" w:color="auto" w:fill="D9D9D9" w:themeFill="background1" w:themeFillShade="D9"/>
            <w:vAlign w:val="center"/>
            <w:hideMark/>
          </w:tcPr>
          <w:p w14:paraId="28375470" w14:textId="77777777" w:rsidR="009A7602" w:rsidRPr="00FE3414" w:rsidRDefault="009A7602" w:rsidP="008740E7">
            <w:pPr>
              <w:spacing w:after="0"/>
              <w:jc w:val="center"/>
              <w:rPr>
                <w:rFonts w:eastAsia="Times New Roman" w:cstheme="minorHAnsi"/>
                <w:b/>
                <w:bCs/>
              </w:rPr>
            </w:pPr>
            <w:r w:rsidRPr="00FE3414">
              <w:rPr>
                <w:rFonts w:eastAsia="Times New Roman" w:cstheme="minorHAnsi"/>
                <w:b/>
                <w:bCs/>
              </w:rPr>
              <w:t>Position(s)</w:t>
            </w:r>
          </w:p>
        </w:tc>
        <w:tc>
          <w:tcPr>
            <w:tcW w:w="900" w:type="dxa"/>
            <w:shd w:val="clear" w:color="auto" w:fill="D9D9D9" w:themeFill="background1" w:themeFillShade="D9"/>
            <w:vAlign w:val="center"/>
          </w:tcPr>
          <w:p w14:paraId="6DAF17C3" w14:textId="77777777" w:rsidR="009A7602" w:rsidRPr="00FE3414" w:rsidRDefault="009A7602" w:rsidP="008740E7">
            <w:pPr>
              <w:spacing w:after="0"/>
              <w:jc w:val="center"/>
              <w:rPr>
                <w:rFonts w:eastAsia="Times New Roman" w:cstheme="minorHAnsi"/>
                <w:b/>
                <w:bCs/>
              </w:rPr>
            </w:pPr>
            <w:r w:rsidRPr="00FE3414">
              <w:rPr>
                <w:rFonts w:eastAsia="Times New Roman" w:cstheme="minorHAnsi"/>
                <w:b/>
                <w:bCs/>
              </w:rPr>
              <w:t># of Staff</w:t>
            </w:r>
          </w:p>
        </w:tc>
        <w:tc>
          <w:tcPr>
            <w:tcW w:w="1440" w:type="dxa"/>
            <w:shd w:val="clear" w:color="auto" w:fill="D9D9D9" w:themeFill="background1" w:themeFillShade="D9"/>
            <w:vAlign w:val="center"/>
            <w:hideMark/>
          </w:tcPr>
          <w:p w14:paraId="712F9430" w14:textId="7B2B2338" w:rsidR="009A7602" w:rsidRPr="00FE3414" w:rsidRDefault="009A7602" w:rsidP="008740E7">
            <w:pPr>
              <w:spacing w:after="0"/>
              <w:jc w:val="center"/>
              <w:rPr>
                <w:rFonts w:eastAsia="Times New Roman" w:cstheme="minorHAnsi"/>
                <w:b/>
                <w:bCs/>
              </w:rPr>
            </w:pPr>
            <w:r w:rsidRPr="00FE3414">
              <w:rPr>
                <w:rFonts w:eastAsia="Times New Roman" w:cstheme="minorHAnsi"/>
                <w:b/>
                <w:bCs/>
              </w:rPr>
              <w:t>% of Time</w:t>
            </w:r>
            <w:r>
              <w:rPr>
                <w:rFonts w:eastAsia="Times New Roman" w:cstheme="minorHAnsi"/>
                <w:b/>
                <w:bCs/>
              </w:rPr>
              <w:t xml:space="preserve"> on </w:t>
            </w:r>
            <w:r w:rsidR="004B491A">
              <w:rPr>
                <w:rFonts w:eastAsia="Times New Roman" w:cstheme="minorHAnsi"/>
                <w:b/>
                <w:bCs/>
              </w:rPr>
              <w:t xml:space="preserve">Grant </w:t>
            </w:r>
            <w:r>
              <w:rPr>
                <w:rFonts w:eastAsia="Times New Roman" w:cstheme="minorHAnsi"/>
                <w:b/>
                <w:bCs/>
              </w:rPr>
              <w:t>project</w:t>
            </w:r>
          </w:p>
        </w:tc>
        <w:tc>
          <w:tcPr>
            <w:tcW w:w="1620" w:type="dxa"/>
            <w:shd w:val="clear" w:color="auto" w:fill="D9D9D9" w:themeFill="background1" w:themeFillShade="D9"/>
            <w:vAlign w:val="center"/>
            <w:hideMark/>
          </w:tcPr>
          <w:p w14:paraId="4954FB7C" w14:textId="288D9A42" w:rsidR="009A7602" w:rsidRPr="00FE3414" w:rsidRDefault="009A7602" w:rsidP="008740E7">
            <w:pPr>
              <w:spacing w:after="0"/>
              <w:jc w:val="center"/>
              <w:rPr>
                <w:rFonts w:eastAsia="Times New Roman" w:cstheme="minorHAnsi"/>
                <w:b/>
                <w:bCs/>
              </w:rPr>
            </w:pPr>
            <w:r>
              <w:rPr>
                <w:b/>
                <w:bCs/>
              </w:rPr>
              <w:t>A</w:t>
            </w:r>
            <w:r w:rsidRPr="00762E5C">
              <w:rPr>
                <w:b/>
                <w:bCs/>
              </w:rPr>
              <w:t xml:space="preserve">nnual </w:t>
            </w:r>
            <w:r>
              <w:rPr>
                <w:b/>
                <w:bCs/>
              </w:rPr>
              <w:t>S</w:t>
            </w:r>
            <w:r w:rsidRPr="00762E5C">
              <w:rPr>
                <w:b/>
                <w:bCs/>
              </w:rPr>
              <w:t>alaries</w:t>
            </w:r>
          </w:p>
        </w:tc>
        <w:tc>
          <w:tcPr>
            <w:tcW w:w="1980" w:type="dxa"/>
            <w:shd w:val="clear" w:color="auto" w:fill="D9D9D9" w:themeFill="background1" w:themeFillShade="D9"/>
            <w:vAlign w:val="center"/>
          </w:tcPr>
          <w:p w14:paraId="56C8F3C3" w14:textId="77777777" w:rsidR="009A7602" w:rsidRDefault="009A7602" w:rsidP="008740E7">
            <w:pPr>
              <w:spacing w:after="0"/>
              <w:jc w:val="center"/>
              <w:rPr>
                <w:rFonts w:eastAsia="Times New Roman" w:cstheme="minorHAnsi"/>
                <w:b/>
                <w:bCs/>
              </w:rPr>
            </w:pPr>
          </w:p>
          <w:p w14:paraId="0E34109C" w14:textId="47490170" w:rsidR="009A7602" w:rsidRPr="00FE3414" w:rsidRDefault="009A7602" w:rsidP="008740E7">
            <w:pPr>
              <w:spacing w:after="0"/>
              <w:jc w:val="center"/>
              <w:rPr>
                <w:rFonts w:eastAsia="Times New Roman" w:cstheme="minorHAnsi"/>
                <w:b/>
                <w:bCs/>
              </w:rPr>
            </w:pPr>
            <w:r w:rsidRPr="00FE3414">
              <w:rPr>
                <w:rFonts w:eastAsia="Times New Roman" w:cstheme="minorHAnsi"/>
                <w:b/>
                <w:bCs/>
              </w:rPr>
              <w:t>Total Cost</w:t>
            </w:r>
          </w:p>
        </w:tc>
      </w:tr>
      <w:tr w:rsidR="009A7602" w:rsidRPr="006B5372" w14:paraId="1BB5177C" w14:textId="1A1B233E" w:rsidTr="008740E7">
        <w:trPr>
          <w:trHeight w:val="432"/>
          <w:jc w:val="center"/>
        </w:trPr>
        <w:tc>
          <w:tcPr>
            <w:tcW w:w="3865" w:type="dxa"/>
            <w:tcBorders>
              <w:bottom w:val="single" w:sz="4" w:space="0" w:color="auto"/>
            </w:tcBorders>
            <w:shd w:val="clear" w:color="auto" w:fill="auto"/>
            <w:vAlign w:val="center"/>
          </w:tcPr>
          <w:p w14:paraId="73A11436"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05916005" w14:textId="64E4BE24"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351D51CB" w14:textId="74686B2E"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40D7B881" w14:textId="3CB12F1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1E23B1EE" w14:textId="5FF70722" w:rsidR="009A7602" w:rsidRDefault="009A7602" w:rsidP="45145898">
            <w:pPr>
              <w:spacing w:after="0"/>
              <w:jc w:val="center"/>
              <w:rPr>
                <w:rStyle w:val="CommentReference"/>
              </w:rPr>
            </w:pPr>
          </w:p>
        </w:tc>
      </w:tr>
      <w:tr w:rsidR="009A7602" w:rsidRPr="006B5372" w14:paraId="261EAD07" w14:textId="7A0EEC49" w:rsidTr="008740E7">
        <w:trPr>
          <w:trHeight w:val="385"/>
          <w:jc w:val="center"/>
        </w:trPr>
        <w:tc>
          <w:tcPr>
            <w:tcW w:w="3865" w:type="dxa"/>
            <w:tcBorders>
              <w:bottom w:val="single" w:sz="4" w:space="0" w:color="auto"/>
            </w:tcBorders>
            <w:shd w:val="clear" w:color="auto" w:fill="auto"/>
            <w:vAlign w:val="center"/>
          </w:tcPr>
          <w:p w14:paraId="0D52A519"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36947AA3"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79318EC9"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7D3FB179"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298B9592" w14:textId="77777777" w:rsidR="009A7602" w:rsidRPr="00FE3414" w:rsidRDefault="009A7602" w:rsidP="00435317">
            <w:pPr>
              <w:spacing w:after="0"/>
              <w:jc w:val="center"/>
              <w:rPr>
                <w:rFonts w:eastAsia="Times New Roman" w:cstheme="minorHAnsi"/>
                <w:bCs/>
                <w:sz w:val="24"/>
                <w:szCs w:val="24"/>
              </w:rPr>
            </w:pPr>
          </w:p>
        </w:tc>
      </w:tr>
      <w:tr w:rsidR="009A7602" w:rsidRPr="006B5372" w14:paraId="42D844DD" w14:textId="2EC3287E" w:rsidTr="008740E7">
        <w:trPr>
          <w:trHeight w:val="385"/>
          <w:jc w:val="center"/>
        </w:trPr>
        <w:tc>
          <w:tcPr>
            <w:tcW w:w="3865" w:type="dxa"/>
            <w:tcBorders>
              <w:bottom w:val="single" w:sz="4" w:space="0" w:color="auto"/>
            </w:tcBorders>
            <w:shd w:val="clear" w:color="auto" w:fill="auto"/>
            <w:vAlign w:val="center"/>
          </w:tcPr>
          <w:p w14:paraId="01E09D5E"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2101DEFD"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5FD46075"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71856375"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0FF52BF0" w14:textId="77777777" w:rsidR="009A7602" w:rsidRPr="00FE3414" w:rsidRDefault="009A7602" w:rsidP="00435317">
            <w:pPr>
              <w:spacing w:after="0"/>
              <w:jc w:val="center"/>
              <w:rPr>
                <w:rFonts w:eastAsia="Times New Roman" w:cstheme="minorHAnsi"/>
                <w:bCs/>
                <w:sz w:val="24"/>
                <w:szCs w:val="24"/>
              </w:rPr>
            </w:pPr>
          </w:p>
        </w:tc>
      </w:tr>
      <w:tr w:rsidR="009A7602" w:rsidRPr="006B5372" w14:paraId="06F18F0D" w14:textId="46FE3598" w:rsidTr="008740E7">
        <w:trPr>
          <w:trHeight w:val="385"/>
          <w:jc w:val="center"/>
        </w:trPr>
        <w:tc>
          <w:tcPr>
            <w:tcW w:w="3865" w:type="dxa"/>
            <w:tcBorders>
              <w:bottom w:val="single" w:sz="4" w:space="0" w:color="auto"/>
            </w:tcBorders>
            <w:shd w:val="clear" w:color="auto" w:fill="auto"/>
            <w:vAlign w:val="center"/>
          </w:tcPr>
          <w:p w14:paraId="7DD69AE3"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2D00F70B"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19122F26"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69A78996"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215AD446" w14:textId="77777777" w:rsidR="009A7602" w:rsidRPr="00FE3414" w:rsidRDefault="009A7602" w:rsidP="00435317">
            <w:pPr>
              <w:spacing w:after="0"/>
              <w:jc w:val="center"/>
              <w:rPr>
                <w:rFonts w:eastAsia="Times New Roman" w:cstheme="minorHAnsi"/>
                <w:bCs/>
                <w:sz w:val="24"/>
                <w:szCs w:val="24"/>
              </w:rPr>
            </w:pPr>
          </w:p>
        </w:tc>
      </w:tr>
      <w:tr w:rsidR="009A7602" w:rsidRPr="006B5372" w14:paraId="59DBB2AD" w14:textId="2512B896" w:rsidTr="00737F39">
        <w:trPr>
          <w:trHeight w:val="358"/>
          <w:jc w:val="center"/>
        </w:trPr>
        <w:tc>
          <w:tcPr>
            <w:tcW w:w="7825" w:type="dxa"/>
            <w:gridSpan w:val="4"/>
            <w:tcBorders>
              <w:bottom w:val="single" w:sz="4" w:space="0" w:color="auto"/>
            </w:tcBorders>
            <w:shd w:val="clear" w:color="auto" w:fill="D9D9D9" w:themeFill="background1" w:themeFillShade="D9"/>
            <w:vAlign w:val="center"/>
          </w:tcPr>
          <w:p w14:paraId="2553D55C" w14:textId="77777777" w:rsidR="00737F39" w:rsidRPr="00737F39" w:rsidRDefault="00737F39" w:rsidP="00737F39">
            <w:pPr>
              <w:spacing w:after="0"/>
              <w:jc w:val="center"/>
              <w:rPr>
                <w:rFonts w:eastAsia="Times New Roman" w:cstheme="minorHAnsi"/>
                <w:b/>
                <w:bCs/>
                <w:i/>
                <w:sz w:val="10"/>
                <w:szCs w:val="10"/>
              </w:rPr>
            </w:pPr>
          </w:p>
          <w:p w14:paraId="684C2C68" w14:textId="4D5086E5" w:rsidR="009A7602" w:rsidRDefault="009A7602" w:rsidP="00737F39">
            <w:pPr>
              <w:spacing w:after="0"/>
              <w:jc w:val="center"/>
              <w:rPr>
                <w:rFonts w:eastAsia="Times New Roman" w:cstheme="minorHAnsi"/>
                <w:b/>
                <w:bCs/>
                <w:i/>
              </w:rPr>
            </w:pPr>
            <w:r w:rsidRPr="00737F39">
              <w:rPr>
                <w:rFonts w:eastAsia="Times New Roman" w:cstheme="minorHAnsi"/>
                <w:b/>
                <w:bCs/>
                <w:i/>
              </w:rPr>
              <w:t>Sub-Total Personnel</w:t>
            </w:r>
          </w:p>
          <w:p w14:paraId="78BF3185" w14:textId="0DE208C5" w:rsidR="00737F39" w:rsidRPr="00737F39" w:rsidRDefault="00737F39" w:rsidP="00737F39">
            <w:pPr>
              <w:spacing w:after="0"/>
              <w:jc w:val="center"/>
              <w:rPr>
                <w:rFonts w:eastAsia="Times New Roman" w:cstheme="minorHAnsi"/>
                <w:b/>
                <w:bCs/>
                <w:i/>
                <w:sz w:val="12"/>
                <w:szCs w:val="12"/>
              </w:rPr>
            </w:pPr>
          </w:p>
        </w:tc>
        <w:tc>
          <w:tcPr>
            <w:tcW w:w="1980" w:type="dxa"/>
            <w:tcBorders>
              <w:bottom w:val="single" w:sz="4" w:space="0" w:color="auto"/>
            </w:tcBorders>
            <w:shd w:val="clear" w:color="auto" w:fill="D9D9D9" w:themeFill="background1" w:themeFillShade="D9"/>
          </w:tcPr>
          <w:p w14:paraId="5A401A0C" w14:textId="77777777" w:rsidR="009A7602" w:rsidRPr="00AB182F" w:rsidRDefault="009A7602" w:rsidP="00AB182F">
            <w:pPr>
              <w:autoSpaceDE w:val="0"/>
              <w:autoSpaceDN w:val="0"/>
              <w:adjustRightInd w:val="0"/>
              <w:spacing w:after="0"/>
              <w:jc w:val="right"/>
              <w:rPr>
                <w:rFonts w:cstheme="minorHAnsi"/>
                <w:b/>
                <w:bCs/>
                <w:iCs/>
                <w:sz w:val="24"/>
                <w:szCs w:val="24"/>
              </w:rPr>
            </w:pPr>
          </w:p>
        </w:tc>
      </w:tr>
      <w:tr w:rsidR="00762E5C" w:rsidRPr="006B5372" w14:paraId="49950A12" w14:textId="1D630FCA" w:rsidTr="00164624">
        <w:trPr>
          <w:trHeight w:val="5093"/>
          <w:jc w:val="center"/>
        </w:trPr>
        <w:tc>
          <w:tcPr>
            <w:tcW w:w="9805" w:type="dxa"/>
            <w:gridSpan w:val="5"/>
            <w:shd w:val="clear" w:color="auto" w:fill="auto"/>
          </w:tcPr>
          <w:p w14:paraId="7C616D0E" w14:textId="77777777" w:rsidR="00762E5C" w:rsidRPr="000C0268" w:rsidRDefault="00762E5C" w:rsidP="00435317">
            <w:pPr>
              <w:autoSpaceDE w:val="0"/>
              <w:autoSpaceDN w:val="0"/>
              <w:adjustRightInd w:val="0"/>
              <w:spacing w:after="0"/>
              <w:rPr>
                <w:rFonts w:eastAsia="Times New Roman" w:cstheme="minorHAnsi"/>
                <w:bCs/>
                <w:i/>
              </w:rPr>
            </w:pPr>
          </w:p>
        </w:tc>
      </w:tr>
    </w:tbl>
    <w:p w14:paraId="097C6E6D" w14:textId="77777777" w:rsidR="006B7A81" w:rsidRDefault="006B7A81" w:rsidP="0023318F">
      <w:pPr>
        <w:pStyle w:val="BodyText"/>
        <w:ind w:right="180"/>
        <w:jc w:val="both"/>
        <w:rPr>
          <w:rFonts w:asciiTheme="minorHAnsi" w:hAnsiTheme="minorHAnsi" w:cstheme="minorHAnsi"/>
          <w:b/>
          <w:bCs/>
          <w:sz w:val="22"/>
          <w:szCs w:val="22"/>
        </w:rPr>
      </w:pPr>
    </w:p>
    <w:p w14:paraId="078FA575" w14:textId="116C7976" w:rsidR="00144D74" w:rsidRPr="00AA501E" w:rsidRDefault="00144D74" w:rsidP="0023318F">
      <w:pPr>
        <w:pStyle w:val="BodyText"/>
        <w:ind w:right="180"/>
        <w:jc w:val="both"/>
        <w:rPr>
          <w:rFonts w:cstheme="minorHAnsi"/>
          <w:b/>
          <w:bCs/>
          <w:sz w:val="22"/>
          <w:szCs w:val="22"/>
        </w:rPr>
      </w:pPr>
      <w:r w:rsidRPr="000C0268">
        <w:rPr>
          <w:rFonts w:asciiTheme="minorHAnsi" w:hAnsiTheme="minorHAnsi" w:cstheme="minorHAnsi"/>
          <w:b/>
          <w:bCs/>
          <w:sz w:val="22"/>
          <w:szCs w:val="22"/>
        </w:rPr>
        <w:t>Fringe benefits</w:t>
      </w:r>
      <w:r w:rsidRPr="000C0268">
        <w:rPr>
          <w:rFonts w:asciiTheme="minorHAnsi" w:hAnsiTheme="minorHAnsi" w:cstheme="minorHAnsi"/>
          <w:sz w:val="22"/>
          <w:szCs w:val="22"/>
        </w:rPr>
        <w:t xml:space="preserve">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The costs of fringe benefits are allowable under 2 CFR 200.431 provided that the benefits are reasonable and are required by law, a non-Federal entity-employee agreement, or written policy of the non-Federal entity.  The FMCSA will only reimburse fringe costs for personnel and only for the percentage of time they devote to the project.  Explain how the fringe benefit amount is calculated (e.g., actual fringe benefits, rate</w:t>
      </w:r>
      <w:r w:rsidRPr="000C0268">
        <w:rPr>
          <w:rFonts w:asciiTheme="minorHAnsi" w:hAnsiTheme="minorHAnsi" w:cstheme="minorHAnsi"/>
          <w:spacing w:val="-25"/>
          <w:sz w:val="22"/>
          <w:szCs w:val="22"/>
        </w:rPr>
        <w:t xml:space="preserve"> </w:t>
      </w:r>
      <w:r w:rsidRPr="000C0268">
        <w:rPr>
          <w:rFonts w:asciiTheme="minorHAnsi" w:hAnsiTheme="minorHAnsi" w:cstheme="minorHAnsi"/>
          <w:sz w:val="22"/>
          <w:szCs w:val="22"/>
        </w:rPr>
        <w:t xml:space="preserve">approved </w:t>
      </w:r>
      <w:r w:rsidRPr="000C0268">
        <w:rPr>
          <w:rFonts w:asciiTheme="minorHAnsi" w:hAnsiTheme="minorHAnsi" w:cstheme="minorHAnsi"/>
          <w:spacing w:val="2"/>
          <w:sz w:val="22"/>
          <w:szCs w:val="22"/>
        </w:rPr>
        <w:t xml:space="preserve">by </w:t>
      </w:r>
      <w:r w:rsidRPr="000C0268">
        <w:rPr>
          <w:rFonts w:asciiTheme="minorHAnsi" w:hAnsiTheme="minorHAnsi" w:cstheme="minorHAnsi"/>
          <w:sz w:val="22"/>
          <w:szCs w:val="22"/>
        </w:rPr>
        <w:t>the Health and Human Services Statewide Cost Allocation Plan or cognizant agency). Explain what is included in the benefit</w:t>
      </w:r>
      <w:r w:rsidRPr="000C0268">
        <w:rPr>
          <w:rFonts w:asciiTheme="minorHAnsi" w:hAnsiTheme="minorHAnsi" w:cstheme="minorHAnsi"/>
          <w:spacing w:val="-2"/>
          <w:sz w:val="22"/>
          <w:szCs w:val="22"/>
        </w:rPr>
        <w:t xml:space="preserve"> </w:t>
      </w:r>
      <w:r w:rsidRPr="000C0268">
        <w:rPr>
          <w:rFonts w:asciiTheme="minorHAnsi" w:hAnsiTheme="minorHAnsi" w:cstheme="minorHAnsi"/>
          <w:sz w:val="22"/>
          <w:szCs w:val="22"/>
        </w:rPr>
        <w:t xml:space="preserve">package.  </w:t>
      </w:r>
      <w:r w:rsidRPr="00AA501E">
        <w:rPr>
          <w:rFonts w:asciiTheme="minorHAnsi" w:hAnsiTheme="minorHAnsi" w:cstheme="minorHAnsi"/>
          <w:b/>
          <w:bCs/>
          <w:sz w:val="22"/>
          <w:szCs w:val="22"/>
        </w:rPr>
        <w:t>Do not combine the fringe benefit costs with direct salaries and wages in the</w:t>
      </w:r>
      <w:r w:rsidRPr="00AA501E">
        <w:rPr>
          <w:rFonts w:asciiTheme="minorHAnsi" w:hAnsiTheme="minorHAnsi" w:cstheme="minorHAnsi"/>
          <w:b/>
          <w:bCs/>
          <w:spacing w:val="-15"/>
          <w:sz w:val="22"/>
          <w:szCs w:val="22"/>
        </w:rPr>
        <w:t xml:space="preserve"> </w:t>
      </w:r>
      <w:r w:rsidRPr="00AA501E">
        <w:rPr>
          <w:rFonts w:asciiTheme="minorHAnsi" w:hAnsiTheme="minorHAnsi" w:cstheme="minorHAnsi"/>
          <w:b/>
          <w:bCs/>
          <w:sz w:val="22"/>
          <w:szCs w:val="22"/>
        </w:rPr>
        <w:t xml:space="preserve">personnel category.  </w:t>
      </w:r>
    </w:p>
    <w:p w14:paraId="077E31A2" w14:textId="0F42BFD6" w:rsidR="00954511" w:rsidRPr="000C0268" w:rsidRDefault="00954511" w:rsidP="00954511">
      <w:pPr>
        <w:rPr>
          <w:rFonts w:cstheme="minorHAnsi"/>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530"/>
        <w:gridCol w:w="2715"/>
      </w:tblGrid>
      <w:tr w:rsidR="00954511" w:rsidRPr="00AE76E2" w14:paraId="3EA16BF7" w14:textId="77777777" w:rsidTr="0023318F">
        <w:trPr>
          <w:trHeight w:val="719"/>
          <w:jc w:val="center"/>
        </w:trPr>
        <w:tc>
          <w:tcPr>
            <w:tcW w:w="9280" w:type="dxa"/>
            <w:gridSpan w:val="4"/>
            <w:tcBorders>
              <w:bottom w:val="single" w:sz="4" w:space="0" w:color="auto"/>
            </w:tcBorders>
            <w:shd w:val="clear" w:color="auto" w:fill="000000" w:themeFill="text1"/>
            <w:vAlign w:val="center"/>
          </w:tcPr>
          <w:p w14:paraId="6696B4C2" w14:textId="77777777" w:rsidR="00954511" w:rsidRPr="000C0268" w:rsidRDefault="00954511" w:rsidP="00435317">
            <w:pPr>
              <w:autoSpaceDE w:val="0"/>
              <w:autoSpaceDN w:val="0"/>
              <w:adjustRightInd w:val="0"/>
              <w:spacing w:after="0"/>
              <w:jc w:val="center"/>
              <w:rPr>
                <w:rFonts w:cstheme="minorHAnsi"/>
                <w:b/>
                <w:bCs/>
                <w:color w:val="FFFFFF" w:themeColor="background1"/>
              </w:rPr>
            </w:pPr>
            <w:r w:rsidRPr="000C0268">
              <w:rPr>
                <w:rFonts w:cstheme="minorHAnsi"/>
                <w:b/>
              </w:rPr>
              <w:t>Fringe Benefits Budget Narrative</w:t>
            </w:r>
          </w:p>
        </w:tc>
      </w:tr>
      <w:tr w:rsidR="0078197E" w:rsidRPr="00AE76E2" w14:paraId="180D1AAE" w14:textId="77777777" w:rsidTr="000E2F17">
        <w:trPr>
          <w:trHeight w:val="570"/>
          <w:jc w:val="center"/>
        </w:trPr>
        <w:tc>
          <w:tcPr>
            <w:tcW w:w="3865" w:type="dxa"/>
            <w:shd w:val="clear" w:color="auto" w:fill="D9D9D9" w:themeFill="background1" w:themeFillShade="D9"/>
            <w:vAlign w:val="center"/>
            <w:hideMark/>
          </w:tcPr>
          <w:p w14:paraId="51B7B560"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Position(s)</w:t>
            </w:r>
          </w:p>
        </w:tc>
        <w:tc>
          <w:tcPr>
            <w:tcW w:w="1170" w:type="dxa"/>
            <w:shd w:val="clear" w:color="auto" w:fill="D9D9D9" w:themeFill="background1" w:themeFillShade="D9"/>
            <w:vAlign w:val="center"/>
            <w:hideMark/>
          </w:tcPr>
          <w:p w14:paraId="0FB60B21"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Rate</w:t>
            </w:r>
          </w:p>
        </w:tc>
        <w:tc>
          <w:tcPr>
            <w:tcW w:w="1530" w:type="dxa"/>
            <w:shd w:val="clear" w:color="auto" w:fill="D9D9D9" w:themeFill="background1" w:themeFillShade="D9"/>
            <w:vAlign w:val="center"/>
            <w:hideMark/>
          </w:tcPr>
          <w:p w14:paraId="55D5B001"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Base Amount</w:t>
            </w:r>
          </w:p>
        </w:tc>
        <w:tc>
          <w:tcPr>
            <w:tcW w:w="2715" w:type="dxa"/>
            <w:shd w:val="clear" w:color="auto" w:fill="D9D9D9" w:themeFill="background1" w:themeFillShade="D9"/>
            <w:vAlign w:val="center"/>
            <w:hideMark/>
          </w:tcPr>
          <w:p w14:paraId="19D03956" w14:textId="27810E38" w:rsidR="0078197E" w:rsidRPr="000C0268" w:rsidRDefault="0078197E" w:rsidP="0078197E">
            <w:pPr>
              <w:spacing w:after="0"/>
              <w:jc w:val="center"/>
              <w:rPr>
                <w:rFonts w:eastAsia="Times New Roman" w:cstheme="minorHAnsi"/>
                <w:b/>
                <w:bCs/>
              </w:rPr>
            </w:pPr>
            <w:r w:rsidRPr="000C0268">
              <w:rPr>
                <w:rFonts w:eastAsia="Times New Roman" w:cstheme="minorHAnsi"/>
                <w:b/>
                <w:bCs/>
              </w:rPr>
              <w:t>Total Cost</w:t>
            </w:r>
          </w:p>
          <w:p w14:paraId="09D3A928" w14:textId="4D265905" w:rsidR="0078197E" w:rsidRPr="000C0268" w:rsidRDefault="0078197E" w:rsidP="00435317">
            <w:pPr>
              <w:spacing w:after="0"/>
              <w:jc w:val="center"/>
              <w:rPr>
                <w:rFonts w:eastAsia="Times New Roman" w:cstheme="minorHAnsi"/>
                <w:b/>
                <w:bCs/>
              </w:rPr>
            </w:pPr>
          </w:p>
        </w:tc>
      </w:tr>
      <w:tr w:rsidR="000E2F17" w:rsidRPr="00AE76E2" w14:paraId="0E1CC7CE" w14:textId="77777777" w:rsidTr="000E2F17">
        <w:trPr>
          <w:trHeight w:val="395"/>
          <w:jc w:val="center"/>
        </w:trPr>
        <w:tc>
          <w:tcPr>
            <w:tcW w:w="3865" w:type="dxa"/>
            <w:tcBorders>
              <w:bottom w:val="single" w:sz="4" w:space="0" w:color="auto"/>
            </w:tcBorders>
            <w:shd w:val="clear" w:color="auto" w:fill="auto"/>
            <w:vAlign w:val="center"/>
          </w:tcPr>
          <w:p w14:paraId="49C55310"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2105C16"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38A99893"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42CEAF02" w14:textId="77777777" w:rsidR="000E2F17" w:rsidRPr="000C0268" w:rsidRDefault="000E2F17" w:rsidP="00435317">
            <w:pPr>
              <w:spacing w:after="0"/>
              <w:jc w:val="center"/>
              <w:rPr>
                <w:rFonts w:eastAsia="Times New Roman" w:cstheme="minorHAnsi"/>
                <w:b/>
                <w:bCs/>
              </w:rPr>
            </w:pPr>
          </w:p>
        </w:tc>
      </w:tr>
      <w:tr w:rsidR="000E2F17" w:rsidRPr="00AE76E2" w14:paraId="0F4D6BB7" w14:textId="77777777" w:rsidTr="000E2F17">
        <w:trPr>
          <w:trHeight w:val="395"/>
          <w:jc w:val="center"/>
        </w:trPr>
        <w:tc>
          <w:tcPr>
            <w:tcW w:w="3865" w:type="dxa"/>
            <w:tcBorders>
              <w:bottom w:val="single" w:sz="4" w:space="0" w:color="auto"/>
            </w:tcBorders>
            <w:shd w:val="clear" w:color="auto" w:fill="auto"/>
            <w:vAlign w:val="center"/>
          </w:tcPr>
          <w:p w14:paraId="0129E8C8"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FD3E3F3"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3EDCA9F6"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1937DE07" w14:textId="77777777" w:rsidR="000E2F17" w:rsidRPr="000C0268" w:rsidRDefault="000E2F17" w:rsidP="00435317">
            <w:pPr>
              <w:spacing w:after="0"/>
              <w:jc w:val="center"/>
              <w:rPr>
                <w:rFonts w:eastAsia="Times New Roman" w:cstheme="minorHAnsi"/>
                <w:b/>
                <w:bCs/>
              </w:rPr>
            </w:pPr>
          </w:p>
        </w:tc>
      </w:tr>
      <w:tr w:rsidR="000E2F17" w:rsidRPr="00AE76E2" w14:paraId="15F22CCA" w14:textId="77777777" w:rsidTr="000E2F17">
        <w:trPr>
          <w:trHeight w:val="395"/>
          <w:jc w:val="center"/>
        </w:trPr>
        <w:tc>
          <w:tcPr>
            <w:tcW w:w="3865" w:type="dxa"/>
            <w:tcBorders>
              <w:bottom w:val="single" w:sz="4" w:space="0" w:color="auto"/>
            </w:tcBorders>
            <w:shd w:val="clear" w:color="auto" w:fill="auto"/>
            <w:vAlign w:val="center"/>
          </w:tcPr>
          <w:p w14:paraId="282A15A9"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718DC77D"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672AF11B"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14081AA0" w14:textId="77777777" w:rsidR="000E2F17" w:rsidRPr="000C0268" w:rsidRDefault="000E2F17" w:rsidP="00435317">
            <w:pPr>
              <w:spacing w:after="0"/>
              <w:jc w:val="center"/>
              <w:rPr>
                <w:rFonts w:eastAsia="Times New Roman" w:cstheme="minorHAnsi"/>
                <w:b/>
                <w:bCs/>
              </w:rPr>
            </w:pPr>
          </w:p>
        </w:tc>
      </w:tr>
      <w:tr w:rsidR="000E2F17" w:rsidRPr="00AE76E2" w14:paraId="5E9A9765" w14:textId="77777777" w:rsidTr="000E2F17">
        <w:trPr>
          <w:trHeight w:val="395"/>
          <w:jc w:val="center"/>
        </w:trPr>
        <w:tc>
          <w:tcPr>
            <w:tcW w:w="3865" w:type="dxa"/>
            <w:tcBorders>
              <w:bottom w:val="single" w:sz="4" w:space="0" w:color="auto"/>
            </w:tcBorders>
            <w:shd w:val="clear" w:color="auto" w:fill="auto"/>
            <w:vAlign w:val="center"/>
          </w:tcPr>
          <w:p w14:paraId="06AD11DC"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892DB8C"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74FD4D4B"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4B6E3957" w14:textId="77777777" w:rsidR="000E2F17" w:rsidRPr="000C0268" w:rsidRDefault="000E2F17" w:rsidP="00435317">
            <w:pPr>
              <w:spacing w:after="0"/>
              <w:jc w:val="center"/>
              <w:rPr>
                <w:rFonts w:eastAsia="Times New Roman" w:cstheme="minorHAnsi"/>
                <w:b/>
                <w:bCs/>
              </w:rPr>
            </w:pPr>
          </w:p>
        </w:tc>
      </w:tr>
      <w:tr w:rsidR="000E2F17" w:rsidRPr="00AE76E2" w14:paraId="02998FC0" w14:textId="77777777" w:rsidTr="000E2F17">
        <w:trPr>
          <w:trHeight w:val="584"/>
          <w:jc w:val="center"/>
        </w:trPr>
        <w:tc>
          <w:tcPr>
            <w:tcW w:w="6565" w:type="dxa"/>
            <w:gridSpan w:val="3"/>
            <w:shd w:val="clear" w:color="auto" w:fill="D9D9D9" w:themeFill="background1" w:themeFillShade="D9"/>
            <w:vAlign w:val="center"/>
          </w:tcPr>
          <w:p w14:paraId="6BAEE0E5" w14:textId="77777777" w:rsidR="000E2F17" w:rsidRPr="000C0268" w:rsidRDefault="000E2F17" w:rsidP="00435317">
            <w:pPr>
              <w:spacing w:after="0"/>
              <w:jc w:val="center"/>
              <w:rPr>
                <w:rFonts w:eastAsia="Times New Roman" w:cstheme="minorHAnsi"/>
                <w:b/>
                <w:bCs/>
              </w:rPr>
            </w:pPr>
            <w:r w:rsidRPr="000C0268">
              <w:rPr>
                <w:rFonts w:eastAsia="Times New Roman" w:cstheme="minorHAnsi"/>
                <w:b/>
                <w:bCs/>
                <w:i/>
              </w:rPr>
              <w:t>Sub-Total Fringe Benefits</w:t>
            </w:r>
          </w:p>
        </w:tc>
        <w:tc>
          <w:tcPr>
            <w:tcW w:w="2715" w:type="dxa"/>
            <w:shd w:val="clear" w:color="auto" w:fill="D9D9D9" w:themeFill="background1" w:themeFillShade="D9"/>
            <w:vAlign w:val="center"/>
          </w:tcPr>
          <w:p w14:paraId="2A57BA79" w14:textId="77777777" w:rsidR="000E2F17" w:rsidRPr="000C0268" w:rsidRDefault="000E2F17" w:rsidP="00435317">
            <w:pPr>
              <w:spacing w:after="0"/>
              <w:jc w:val="center"/>
              <w:rPr>
                <w:rFonts w:eastAsia="Times New Roman" w:cstheme="minorHAnsi"/>
                <w:b/>
                <w:bCs/>
                <w:i/>
              </w:rPr>
            </w:pPr>
          </w:p>
        </w:tc>
      </w:tr>
      <w:tr w:rsidR="00954511" w:rsidRPr="00AE76E2" w14:paraId="386F3F35" w14:textId="77777777" w:rsidTr="00986740">
        <w:trPr>
          <w:trHeight w:val="6051"/>
          <w:jc w:val="center"/>
        </w:trPr>
        <w:tc>
          <w:tcPr>
            <w:tcW w:w="9280" w:type="dxa"/>
            <w:gridSpan w:val="4"/>
            <w:shd w:val="clear" w:color="auto" w:fill="auto"/>
          </w:tcPr>
          <w:p w14:paraId="582C596B" w14:textId="77777777" w:rsidR="00954511" w:rsidRPr="000C0268" w:rsidRDefault="00954511" w:rsidP="00435317">
            <w:pPr>
              <w:autoSpaceDE w:val="0"/>
              <w:autoSpaceDN w:val="0"/>
              <w:adjustRightInd w:val="0"/>
              <w:spacing w:after="0"/>
              <w:rPr>
                <w:rFonts w:eastAsia="Times New Roman" w:cstheme="minorHAnsi"/>
                <w:bCs/>
              </w:rPr>
            </w:pPr>
          </w:p>
        </w:tc>
      </w:tr>
    </w:tbl>
    <w:p w14:paraId="7F7E3D0E" w14:textId="77777777" w:rsidR="00AE76E2" w:rsidRDefault="00AE76E2">
      <w:pPr>
        <w:spacing w:after="160" w:line="259" w:lineRule="auto"/>
        <w:rPr>
          <w:rFonts w:eastAsia="Times New Roman" w:cstheme="minorHAnsi"/>
          <w:b/>
          <w:bCs/>
          <w:lang w:bidi="en-US"/>
        </w:rPr>
      </w:pPr>
      <w:r>
        <w:rPr>
          <w:rFonts w:cstheme="minorHAnsi"/>
          <w:b/>
          <w:bCs/>
        </w:rPr>
        <w:br w:type="page"/>
      </w:r>
    </w:p>
    <w:p w14:paraId="1742B4B1" w14:textId="25906655" w:rsidR="00144D74" w:rsidRPr="002A6E28" w:rsidRDefault="00144D74" w:rsidP="00D31EA4">
      <w:pPr>
        <w:pStyle w:val="BodyText"/>
        <w:jc w:val="both"/>
        <w:rPr>
          <w:rFonts w:asciiTheme="minorHAnsi" w:hAnsiTheme="minorHAnsi" w:cstheme="minorHAnsi"/>
          <w:sz w:val="22"/>
          <w:szCs w:val="22"/>
        </w:rPr>
      </w:pPr>
      <w:r w:rsidRPr="002A6E28">
        <w:rPr>
          <w:rFonts w:asciiTheme="minorHAnsi" w:hAnsiTheme="minorHAnsi" w:cstheme="minorHAnsi"/>
          <w:b/>
          <w:bCs/>
          <w:sz w:val="22"/>
          <w:szCs w:val="22"/>
        </w:rPr>
        <w:lastRenderedPageBreak/>
        <w:t>Travel costs</w:t>
      </w:r>
      <w:r w:rsidRPr="002A6E28">
        <w:rPr>
          <w:rFonts w:asciiTheme="minorHAnsi" w:hAnsiTheme="minorHAnsi" w:cstheme="minorHAnsi"/>
          <w:sz w:val="22"/>
          <w:szCs w:val="22"/>
        </w:rPr>
        <w:t xml:space="preserve"> include field work activities or travel to professional meetings.  The FMCSA reviews the travel budget to ensure that amounts are reasonable based on the level of effort described in the project plan and alignment with 2 CFR § 200.475.  </w:t>
      </w:r>
      <w:r w:rsidR="00357035">
        <w:rPr>
          <w:rFonts w:asciiTheme="minorHAnsi" w:hAnsiTheme="minorHAnsi" w:cstheme="minorHAnsi"/>
          <w:sz w:val="22"/>
          <w:szCs w:val="22"/>
        </w:rPr>
        <w:t>Please i</w:t>
      </w:r>
      <w:r w:rsidRPr="002A6E28">
        <w:rPr>
          <w:rFonts w:asciiTheme="minorHAnsi" w:hAnsiTheme="minorHAnsi" w:cstheme="minorHAnsi"/>
          <w:sz w:val="22"/>
          <w:szCs w:val="22"/>
        </w:rPr>
        <w:t>nclude estimates for unforeseen travel such as possible FMCSA required meetings, with estimated costs of</w:t>
      </w:r>
      <w:r w:rsidRPr="002A6E28">
        <w:rPr>
          <w:rFonts w:asciiTheme="minorHAnsi" w:hAnsiTheme="minorHAnsi" w:cstheme="minorHAnsi"/>
          <w:spacing w:val="-1"/>
          <w:sz w:val="22"/>
          <w:szCs w:val="22"/>
        </w:rPr>
        <w:t xml:space="preserve"> </w:t>
      </w:r>
      <w:r w:rsidRPr="002A6E28">
        <w:rPr>
          <w:rFonts w:asciiTheme="minorHAnsi" w:hAnsiTheme="minorHAnsi" w:cstheme="minorHAnsi"/>
          <w:sz w:val="22"/>
          <w:szCs w:val="22"/>
        </w:rPr>
        <w:t>attendance.</w:t>
      </w:r>
      <w:r w:rsidR="00CB7D57" w:rsidRPr="002A6E28">
        <w:rPr>
          <w:rFonts w:asciiTheme="minorHAnsi" w:hAnsiTheme="minorHAnsi" w:cstheme="minorHAnsi"/>
          <w:sz w:val="22"/>
          <w:szCs w:val="22"/>
        </w:rPr>
        <w:t xml:space="preserve"> </w:t>
      </w:r>
      <w:r w:rsidRPr="002A6E28">
        <w:rPr>
          <w:rFonts w:asciiTheme="minorHAnsi" w:hAnsiTheme="minorHAnsi" w:cstheme="minorHAnsi"/>
          <w:sz w:val="22"/>
          <w:szCs w:val="22"/>
        </w:rPr>
        <w:t>Explain the reason for travel expenses for project personnel (staff training, field interviews, advisory group meeting, etc.) and, if known, identify the location/destination of travel.</w:t>
      </w:r>
      <w:r w:rsidR="00CB7D57" w:rsidRPr="002A6E28">
        <w:rPr>
          <w:rFonts w:asciiTheme="minorHAnsi" w:hAnsiTheme="minorHAnsi" w:cstheme="minorHAnsi"/>
          <w:sz w:val="22"/>
          <w:szCs w:val="22"/>
        </w:rPr>
        <w:t xml:space="preserve"> </w:t>
      </w:r>
      <w:r w:rsidRPr="002A6E28">
        <w:rPr>
          <w:rFonts w:asciiTheme="minorHAnsi" w:hAnsiTheme="minorHAnsi" w:cstheme="minorHAnsi"/>
          <w:sz w:val="22"/>
          <w:szCs w:val="22"/>
        </w:rPr>
        <w:t>Do not include payroll, fringe, or other costs listed as part of the travel. For</w:t>
      </w:r>
      <w:r w:rsidRPr="002A6E28">
        <w:rPr>
          <w:rFonts w:asciiTheme="minorHAnsi" w:hAnsiTheme="minorHAnsi" w:cstheme="minorHAnsi"/>
          <w:spacing w:val="-12"/>
          <w:sz w:val="22"/>
          <w:szCs w:val="22"/>
        </w:rPr>
        <w:t xml:space="preserve"> </w:t>
      </w:r>
      <w:r w:rsidRPr="002A6E28">
        <w:rPr>
          <w:rFonts w:asciiTheme="minorHAnsi" w:hAnsiTheme="minorHAnsi" w:cstheme="minorHAnsi"/>
          <w:sz w:val="22"/>
          <w:szCs w:val="22"/>
        </w:rPr>
        <w:t xml:space="preserve">example, payroll is included in </w:t>
      </w:r>
      <w:r w:rsidR="00AA501E" w:rsidRPr="002A6E28">
        <w:rPr>
          <w:rFonts w:asciiTheme="minorHAnsi" w:hAnsiTheme="minorHAnsi" w:cstheme="minorHAnsi"/>
          <w:sz w:val="22"/>
          <w:szCs w:val="22"/>
        </w:rPr>
        <w:t>P</w:t>
      </w:r>
      <w:r w:rsidRPr="002A6E28">
        <w:rPr>
          <w:rFonts w:asciiTheme="minorHAnsi" w:hAnsiTheme="minorHAnsi" w:cstheme="minorHAnsi"/>
          <w:sz w:val="22"/>
          <w:szCs w:val="22"/>
        </w:rPr>
        <w:t>ersonnel</w:t>
      </w:r>
      <w:r w:rsidR="00B73EEA" w:rsidRPr="002A6E28">
        <w:rPr>
          <w:rFonts w:asciiTheme="minorHAnsi" w:hAnsiTheme="minorHAnsi" w:cstheme="minorHAnsi"/>
          <w:sz w:val="22"/>
          <w:szCs w:val="22"/>
        </w:rPr>
        <w:t xml:space="preserve">, fringe is included in </w:t>
      </w:r>
      <w:r w:rsidR="00AA501E" w:rsidRPr="002A6E28">
        <w:rPr>
          <w:rFonts w:asciiTheme="minorHAnsi" w:hAnsiTheme="minorHAnsi" w:cstheme="minorHAnsi"/>
          <w:sz w:val="22"/>
          <w:szCs w:val="22"/>
        </w:rPr>
        <w:t>Fringe</w:t>
      </w:r>
      <w:r w:rsidRPr="002A6E28">
        <w:rPr>
          <w:rFonts w:asciiTheme="minorHAnsi" w:hAnsiTheme="minorHAnsi" w:cstheme="minorHAnsi"/>
          <w:sz w:val="22"/>
          <w:szCs w:val="22"/>
        </w:rPr>
        <w:t xml:space="preserve"> and fuel costs are included in</w:t>
      </w:r>
      <w:r w:rsidRPr="002A6E28">
        <w:rPr>
          <w:rFonts w:asciiTheme="minorHAnsi" w:hAnsiTheme="minorHAnsi" w:cstheme="minorHAnsi"/>
          <w:spacing w:val="-6"/>
          <w:sz w:val="22"/>
          <w:szCs w:val="22"/>
        </w:rPr>
        <w:t xml:space="preserve"> </w:t>
      </w:r>
      <w:r w:rsidRPr="002A6E28">
        <w:rPr>
          <w:rFonts w:asciiTheme="minorHAnsi" w:hAnsiTheme="minorHAnsi" w:cstheme="minorHAnsi"/>
          <w:sz w:val="22"/>
          <w:szCs w:val="22"/>
        </w:rPr>
        <w:t>Other.</w:t>
      </w:r>
      <w:r w:rsidR="00CE268A" w:rsidRPr="002A6E28">
        <w:rPr>
          <w:rFonts w:asciiTheme="minorHAnsi" w:eastAsiaTheme="majorEastAsia" w:hAnsiTheme="minorHAnsi" w:cstheme="minorHAnsi"/>
          <w:sz w:val="22"/>
          <w:szCs w:val="22"/>
        </w:rPr>
        <w:t xml:space="preserve"> </w:t>
      </w:r>
      <w:bookmarkStart w:id="1" w:name="_Hlk113858702"/>
      <w:r w:rsidR="002A6E28" w:rsidRPr="002A6E28">
        <w:rPr>
          <w:rFonts w:asciiTheme="minorHAnsi" w:hAnsiTheme="minorHAnsi" w:cstheme="minorHAnsi"/>
          <w:b/>
          <w:bCs/>
          <w:sz w:val="22"/>
          <w:szCs w:val="22"/>
        </w:rPr>
        <w:t>Travel cost must not be bundled and should show how total was determined by itemizing cost for airfare, lodging, ground transportation, per diem, etc</w:t>
      </w:r>
      <w:r w:rsidR="00CE268A" w:rsidRPr="002A6E28">
        <w:rPr>
          <w:rFonts w:asciiTheme="minorHAnsi" w:eastAsiaTheme="majorEastAsia" w:hAnsiTheme="minorHAnsi" w:cstheme="minorHAnsi"/>
          <w:b/>
          <w:bCs/>
          <w:sz w:val="22"/>
          <w:szCs w:val="22"/>
        </w:rPr>
        <w:t>.</w:t>
      </w:r>
      <w:r w:rsidR="0017707C" w:rsidRPr="002A6E28">
        <w:rPr>
          <w:rFonts w:asciiTheme="minorHAnsi" w:eastAsiaTheme="majorEastAsia" w:hAnsiTheme="minorHAnsi" w:cstheme="minorHAnsi"/>
          <w:sz w:val="22"/>
          <w:szCs w:val="22"/>
        </w:rPr>
        <w:t xml:space="preserve"> Reminder: Travel conducted by consultants/contrac</w:t>
      </w:r>
      <w:r w:rsidR="003A5220" w:rsidRPr="002A6E28">
        <w:rPr>
          <w:rFonts w:asciiTheme="minorHAnsi" w:eastAsiaTheme="majorEastAsia" w:hAnsiTheme="minorHAnsi" w:cstheme="minorHAnsi"/>
          <w:sz w:val="22"/>
          <w:szCs w:val="22"/>
        </w:rPr>
        <w:t xml:space="preserve">tors or guest travel should be accounted for and itemized under Contractual Budget Category. </w:t>
      </w:r>
    </w:p>
    <w:bookmarkEnd w:id="1"/>
    <w:p w14:paraId="5A850EA2" w14:textId="3D8F3544" w:rsidR="00954511" w:rsidRPr="000C0268" w:rsidRDefault="00954511" w:rsidP="00954511">
      <w:pPr>
        <w:rPr>
          <w:rFonts w:cstheme="minorHAnsi"/>
        </w:rPr>
      </w:pPr>
    </w:p>
    <w:tbl>
      <w:tblPr>
        <w:tblW w:w="9440" w:type="dxa"/>
        <w:jc w:val="center"/>
        <w:tblCellMar>
          <w:left w:w="0" w:type="dxa"/>
          <w:right w:w="0" w:type="dxa"/>
        </w:tblCellMar>
        <w:tblLook w:val="0000" w:firstRow="0" w:lastRow="0" w:firstColumn="0" w:lastColumn="0" w:noHBand="0" w:noVBand="0"/>
      </w:tblPr>
      <w:tblGrid>
        <w:gridCol w:w="3775"/>
        <w:gridCol w:w="1170"/>
        <w:gridCol w:w="1260"/>
        <w:gridCol w:w="3235"/>
      </w:tblGrid>
      <w:tr w:rsidR="00D86A12" w:rsidRPr="00AE76E2" w14:paraId="15224C4B" w14:textId="77777777" w:rsidTr="0023318F">
        <w:trPr>
          <w:trHeight w:hRule="exact" w:val="703"/>
          <w:jc w:val="center"/>
        </w:trPr>
        <w:tc>
          <w:tcPr>
            <w:tcW w:w="9440"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6F75CC0F" w14:textId="0B81ED0E" w:rsidR="00D86A12" w:rsidRPr="000C0268" w:rsidRDefault="00D86A12" w:rsidP="00435317">
            <w:pPr>
              <w:autoSpaceDE w:val="0"/>
              <w:autoSpaceDN w:val="0"/>
              <w:adjustRightInd w:val="0"/>
              <w:spacing w:after="0"/>
              <w:ind w:left="95"/>
              <w:jc w:val="center"/>
              <w:rPr>
                <w:rFonts w:cstheme="minorHAnsi"/>
                <w:b/>
                <w:color w:val="FFFFFF" w:themeColor="background1"/>
              </w:rPr>
            </w:pPr>
            <w:r w:rsidRPr="000C0268">
              <w:rPr>
                <w:rFonts w:cstheme="minorHAnsi"/>
                <w:b/>
                <w:color w:val="FFFFFF" w:themeColor="background1"/>
              </w:rPr>
              <w:t xml:space="preserve">Travel Cost </w:t>
            </w:r>
            <w:r w:rsidRPr="000C0268">
              <w:rPr>
                <w:rFonts w:cstheme="minorHAnsi"/>
                <w:b/>
                <w:bCs/>
                <w:color w:val="FFFFFF" w:themeColor="background1"/>
              </w:rPr>
              <w:t>Budget Narrative</w:t>
            </w:r>
          </w:p>
        </w:tc>
      </w:tr>
      <w:tr w:rsidR="00D21B49" w:rsidRPr="00AE76E2" w14:paraId="1D264255" w14:textId="77777777" w:rsidTr="00D21B49">
        <w:trPr>
          <w:trHeight w:hRule="exact" w:val="901"/>
          <w:jc w:val="center"/>
        </w:trPr>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D5A200" w14:textId="77777777" w:rsidR="00D21B49" w:rsidRPr="000C0268" w:rsidRDefault="00D21B49" w:rsidP="00435317">
            <w:pPr>
              <w:spacing w:after="0"/>
              <w:ind w:left="90"/>
              <w:jc w:val="center"/>
              <w:rPr>
                <w:rFonts w:eastAsia="Times New Roman" w:cstheme="minorHAnsi"/>
                <w:b/>
                <w:bCs/>
              </w:rPr>
            </w:pPr>
            <w:r w:rsidRPr="000C0268">
              <w:rPr>
                <w:rFonts w:eastAsia="Times New Roman" w:cstheme="minorHAnsi"/>
                <w:b/>
                <w:bCs/>
              </w:rPr>
              <w:t>Purpose</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B4C227" w14:textId="77777777" w:rsidR="00D21B49" w:rsidRPr="000C0268" w:rsidRDefault="00D21B49" w:rsidP="00435317">
            <w:pPr>
              <w:spacing w:after="0"/>
              <w:ind w:left="80"/>
              <w:jc w:val="center"/>
              <w:rPr>
                <w:rFonts w:eastAsia="Times New Roman" w:cstheme="minorHAnsi"/>
                <w:b/>
                <w:bCs/>
              </w:rPr>
            </w:pPr>
            <w:r w:rsidRPr="000C0268">
              <w:rPr>
                <w:rFonts w:cstheme="minorHAnsi"/>
                <w:b/>
              </w:rPr>
              <w:t># of Staff</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891814" w14:textId="77777777" w:rsidR="00D21B49" w:rsidRPr="000C0268" w:rsidRDefault="00D21B49" w:rsidP="00435317">
            <w:pPr>
              <w:spacing w:after="0"/>
              <w:ind w:left="76"/>
              <w:jc w:val="center"/>
              <w:rPr>
                <w:rFonts w:eastAsia="Times New Roman" w:cstheme="minorHAnsi"/>
                <w:b/>
                <w:bCs/>
              </w:rPr>
            </w:pPr>
            <w:r w:rsidRPr="000C0268">
              <w:rPr>
                <w:rFonts w:cstheme="minorHAnsi"/>
                <w:b/>
              </w:rPr>
              <w:t>Days</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751B4" w14:textId="2CF47598" w:rsidR="00D21B49" w:rsidRPr="00D21B49" w:rsidRDefault="00D21B49" w:rsidP="00D21B49">
            <w:pPr>
              <w:spacing w:after="0"/>
              <w:ind w:left="69"/>
              <w:jc w:val="center"/>
              <w:rPr>
                <w:rFonts w:eastAsia="Times New Roman" w:cstheme="minorHAnsi"/>
                <w:b/>
                <w:bCs/>
              </w:rPr>
            </w:pPr>
            <w:r w:rsidRPr="000C0268">
              <w:rPr>
                <w:rFonts w:cstheme="minorHAnsi"/>
                <w:b/>
              </w:rPr>
              <w:t>Total Cost</w:t>
            </w:r>
          </w:p>
        </w:tc>
      </w:tr>
      <w:tr w:rsidR="00D21B49" w:rsidRPr="00AE76E2" w14:paraId="521C912B"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5FCB657C"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9011F24"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B145A6E"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71AB4254" w14:textId="77777777" w:rsidR="00D21B49" w:rsidRPr="000C0268" w:rsidRDefault="00D21B49" w:rsidP="00435317">
            <w:pPr>
              <w:spacing w:after="0"/>
              <w:jc w:val="center"/>
              <w:rPr>
                <w:rFonts w:eastAsia="Times New Roman" w:cstheme="minorHAnsi"/>
                <w:b/>
                <w:bCs/>
              </w:rPr>
            </w:pPr>
          </w:p>
        </w:tc>
      </w:tr>
      <w:tr w:rsidR="00D21B49" w:rsidRPr="00AE76E2" w14:paraId="7863A231"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2CF9F3D1"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C0B6090"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B841A4D"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60AD6E0C" w14:textId="77777777" w:rsidR="00D21B49" w:rsidRPr="000C0268" w:rsidRDefault="00D21B49" w:rsidP="00435317">
            <w:pPr>
              <w:spacing w:after="0"/>
              <w:jc w:val="center"/>
              <w:rPr>
                <w:rFonts w:eastAsia="Times New Roman" w:cstheme="minorHAnsi"/>
                <w:b/>
                <w:bCs/>
              </w:rPr>
            </w:pPr>
          </w:p>
        </w:tc>
      </w:tr>
      <w:tr w:rsidR="00D21B49" w:rsidRPr="00AE76E2" w14:paraId="41824A40"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215217DB"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569EF51"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C0EF08F" w14:textId="77777777" w:rsidR="00D21B49" w:rsidRPr="000C0268" w:rsidRDefault="00D21B49" w:rsidP="00435317">
            <w:pPr>
              <w:spacing w:after="0"/>
              <w:jc w:val="center"/>
              <w:rPr>
                <w:rFonts w:eastAsia="Times New Roman" w:cstheme="minorHAnsi"/>
                <w:b/>
                <w:bCs/>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2AB37452" w14:textId="77777777" w:rsidR="00D21B49" w:rsidRPr="000C0268" w:rsidRDefault="00D21B49" w:rsidP="00435317">
            <w:pPr>
              <w:spacing w:after="0"/>
              <w:jc w:val="center"/>
              <w:rPr>
                <w:rFonts w:eastAsia="Times New Roman" w:cstheme="minorHAnsi"/>
                <w:b/>
                <w:bCs/>
              </w:rPr>
            </w:pPr>
          </w:p>
        </w:tc>
      </w:tr>
      <w:tr w:rsidR="00D21B49" w:rsidRPr="00AE76E2" w14:paraId="26EC34B4"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3E6758A2"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DC02176"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ED060D7"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423FDC1E" w14:textId="77777777" w:rsidR="00D21B49" w:rsidRPr="000C0268" w:rsidRDefault="00D21B49" w:rsidP="00435317">
            <w:pPr>
              <w:spacing w:after="0"/>
              <w:jc w:val="center"/>
              <w:rPr>
                <w:rFonts w:eastAsia="Times New Roman" w:cstheme="minorHAnsi"/>
                <w:b/>
                <w:bCs/>
              </w:rPr>
            </w:pPr>
          </w:p>
        </w:tc>
      </w:tr>
      <w:tr w:rsidR="00D21B49" w:rsidRPr="00AE76E2" w14:paraId="188C7614" w14:textId="77777777" w:rsidTr="00D21B49">
        <w:trPr>
          <w:trHeight w:hRule="exact" w:val="451"/>
          <w:jc w:val="center"/>
        </w:trPr>
        <w:tc>
          <w:tcPr>
            <w:tcW w:w="62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EB402"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i/>
              </w:rPr>
              <w:t>Sub-Total Travel</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8C6F09" w14:textId="77777777" w:rsidR="00D21B49" w:rsidRPr="000C0268" w:rsidRDefault="00D21B49" w:rsidP="00435317">
            <w:pPr>
              <w:spacing w:after="0"/>
              <w:jc w:val="center"/>
              <w:rPr>
                <w:rFonts w:eastAsia="Times New Roman" w:cstheme="minorHAnsi"/>
                <w:b/>
                <w:bCs/>
                <w:i/>
              </w:rPr>
            </w:pPr>
          </w:p>
        </w:tc>
      </w:tr>
      <w:tr w:rsidR="00954511" w:rsidRPr="00AE76E2" w14:paraId="47340042" w14:textId="77777777" w:rsidTr="006900C5">
        <w:trPr>
          <w:trHeight w:hRule="exact" w:val="6103"/>
          <w:jc w:val="center"/>
        </w:trPr>
        <w:tc>
          <w:tcPr>
            <w:tcW w:w="9440" w:type="dxa"/>
            <w:gridSpan w:val="4"/>
            <w:tcBorders>
              <w:top w:val="single" w:sz="4" w:space="0" w:color="000000"/>
              <w:left w:val="single" w:sz="4" w:space="0" w:color="000000"/>
              <w:bottom w:val="single" w:sz="4" w:space="0" w:color="000000"/>
              <w:right w:val="single" w:sz="4" w:space="0" w:color="000000"/>
            </w:tcBorders>
          </w:tcPr>
          <w:p w14:paraId="5F9A8D85" w14:textId="77777777" w:rsidR="00954511" w:rsidRPr="000C0268" w:rsidRDefault="00954511" w:rsidP="00435317">
            <w:pPr>
              <w:spacing w:after="0"/>
              <w:ind w:left="90"/>
              <w:rPr>
                <w:rFonts w:eastAsia="Times New Roman" w:cstheme="minorHAnsi"/>
                <w:bCs/>
              </w:rPr>
            </w:pPr>
          </w:p>
        </w:tc>
      </w:tr>
    </w:tbl>
    <w:p w14:paraId="08FB94E1" w14:textId="77777777" w:rsidR="001D2A22" w:rsidRDefault="001D2A22" w:rsidP="000C0268">
      <w:pPr>
        <w:pStyle w:val="BodyText"/>
        <w:jc w:val="both"/>
        <w:rPr>
          <w:rFonts w:asciiTheme="minorHAnsi" w:hAnsiTheme="minorHAnsi" w:cstheme="minorHAnsi"/>
          <w:b/>
          <w:bCs/>
          <w:sz w:val="22"/>
          <w:szCs w:val="22"/>
        </w:rPr>
      </w:pPr>
    </w:p>
    <w:p w14:paraId="3AF009F3" w14:textId="3CE9CA2B" w:rsidR="00144D74" w:rsidRPr="000C0268" w:rsidRDefault="00144D74" w:rsidP="45145898">
      <w:pPr>
        <w:pStyle w:val="BodyText"/>
        <w:jc w:val="both"/>
        <w:rPr>
          <w:rFonts w:asciiTheme="minorHAnsi" w:hAnsiTheme="minorHAnsi" w:cstheme="minorBidi"/>
          <w:sz w:val="22"/>
          <w:szCs w:val="22"/>
        </w:rPr>
      </w:pPr>
      <w:r w:rsidRPr="45145898">
        <w:rPr>
          <w:rFonts w:asciiTheme="minorHAnsi" w:hAnsiTheme="minorHAnsi" w:cstheme="minorBidi"/>
          <w:b/>
          <w:bCs/>
          <w:sz w:val="22"/>
          <w:szCs w:val="22"/>
        </w:rPr>
        <w:t xml:space="preserve">Equipment </w:t>
      </w:r>
      <w:r w:rsidRPr="45145898">
        <w:rPr>
          <w:rFonts w:asciiTheme="minorHAnsi" w:hAnsiTheme="minorHAnsi" w:cstheme="minorBidi"/>
          <w:sz w:val="22"/>
          <w:szCs w:val="22"/>
        </w:rPr>
        <w:t>is tangible personal property with a useful life of more than one year and a</w:t>
      </w:r>
      <w:r w:rsidR="00D31EA4">
        <w:rPr>
          <w:rFonts w:asciiTheme="minorHAnsi" w:hAnsiTheme="minorHAnsi" w:cstheme="minorBidi"/>
          <w:sz w:val="22"/>
          <w:szCs w:val="22"/>
        </w:rPr>
        <w:t xml:space="preserve"> per</w:t>
      </w:r>
      <w:r w:rsidRPr="45145898">
        <w:rPr>
          <w:rFonts w:asciiTheme="minorHAnsi" w:hAnsiTheme="minorHAnsi" w:cstheme="minorBidi"/>
          <w:sz w:val="22"/>
          <w:szCs w:val="22"/>
        </w:rPr>
        <w:t xml:space="preserve"> unit co</w:t>
      </w:r>
      <w:r w:rsidR="292BE24E" w:rsidRPr="45145898">
        <w:rPr>
          <w:rFonts w:asciiTheme="minorHAnsi" w:hAnsiTheme="minorHAnsi" w:cstheme="minorBidi"/>
          <w:sz w:val="22"/>
          <w:szCs w:val="22"/>
        </w:rPr>
        <w:t>st</w:t>
      </w:r>
      <w:r w:rsidRPr="45145898">
        <w:rPr>
          <w:rFonts w:asciiTheme="minorHAnsi" w:hAnsiTheme="minorHAnsi" w:cstheme="minorBidi"/>
          <w:sz w:val="22"/>
          <w:szCs w:val="22"/>
        </w:rPr>
        <w:t xml:space="preserve"> of the lesser of the capitalization threshold established by the non-Federal entity or $</w:t>
      </w:r>
      <w:r w:rsidR="00186719">
        <w:rPr>
          <w:rFonts w:asciiTheme="minorHAnsi" w:hAnsiTheme="minorHAnsi" w:cstheme="minorBidi"/>
          <w:sz w:val="22"/>
          <w:szCs w:val="22"/>
        </w:rPr>
        <w:t>10</w:t>
      </w:r>
      <w:r w:rsidRPr="45145898">
        <w:rPr>
          <w:rFonts w:asciiTheme="minorHAnsi" w:hAnsiTheme="minorHAnsi" w:cstheme="minorBidi"/>
          <w:sz w:val="22"/>
          <w:szCs w:val="22"/>
        </w:rPr>
        <w:t xml:space="preserve">,000.  The FMCSA evaluates the need for the equipment (e.g., ratio of employees to equipment) in the budget narrative and how it supports project activities.  The FMCSA also evaluates the extent to which the equipment is being used to support more than one cost objective.  If it does, FMCSA reviews the cost to ensure the expenses have been properly allocated. Additionally, FMCSA reviews past performance information to determine if the same equipment for the project/program was purchased in previous years. If the same equipment was previously purchased for the same project/program in previous years, the applicant must explain the need for the additional equipment. </w:t>
      </w:r>
      <w:r w:rsidR="00B05B74" w:rsidRPr="45145898">
        <w:rPr>
          <w:rFonts w:asciiTheme="minorHAnsi" w:hAnsiTheme="minorHAnsi" w:cstheme="minorBidi"/>
          <w:sz w:val="22"/>
          <w:szCs w:val="22"/>
        </w:rPr>
        <w:t xml:space="preserve"> If </w:t>
      </w:r>
      <w:r w:rsidR="009667BC" w:rsidRPr="45145898">
        <w:rPr>
          <w:rFonts w:asciiTheme="minorHAnsi" w:hAnsiTheme="minorHAnsi" w:cstheme="minorBidi"/>
          <w:sz w:val="22"/>
          <w:szCs w:val="22"/>
        </w:rPr>
        <w:t xml:space="preserve">the applicant’s </w:t>
      </w:r>
      <w:r w:rsidR="00F92BCC" w:rsidRPr="45145898">
        <w:rPr>
          <w:rFonts w:asciiTheme="minorHAnsi" w:hAnsiTheme="minorHAnsi" w:cstheme="minorBidi"/>
          <w:sz w:val="22"/>
          <w:szCs w:val="22"/>
        </w:rPr>
        <w:t>capitalization threshold is less than $</w:t>
      </w:r>
      <w:r w:rsidR="00186719">
        <w:rPr>
          <w:rFonts w:asciiTheme="minorHAnsi" w:hAnsiTheme="minorHAnsi" w:cstheme="minorBidi"/>
          <w:sz w:val="22"/>
          <w:szCs w:val="22"/>
        </w:rPr>
        <w:t>10</w:t>
      </w:r>
      <w:r w:rsidR="00F92BCC" w:rsidRPr="45145898">
        <w:rPr>
          <w:rFonts w:asciiTheme="minorHAnsi" w:hAnsiTheme="minorHAnsi" w:cstheme="minorBidi"/>
          <w:sz w:val="22"/>
          <w:szCs w:val="22"/>
        </w:rPr>
        <w:t>,000</w:t>
      </w:r>
      <w:r w:rsidR="61C449A3" w:rsidRPr="45145898">
        <w:rPr>
          <w:rFonts w:asciiTheme="minorHAnsi" w:hAnsiTheme="minorHAnsi" w:cstheme="minorBidi"/>
          <w:sz w:val="22"/>
          <w:szCs w:val="22"/>
        </w:rPr>
        <w:t>,</w:t>
      </w:r>
      <w:r w:rsidR="00F92BCC" w:rsidRPr="45145898">
        <w:rPr>
          <w:rFonts w:asciiTheme="minorHAnsi" w:hAnsiTheme="minorHAnsi" w:cstheme="minorBidi"/>
          <w:sz w:val="22"/>
          <w:szCs w:val="22"/>
        </w:rPr>
        <w:t xml:space="preserve"> please state in narrative the threshold level to support it was properly categorized.</w:t>
      </w:r>
    </w:p>
    <w:p w14:paraId="4C5CC6C1" w14:textId="77777777" w:rsidR="00144D74" w:rsidRPr="000C0268" w:rsidRDefault="00144D74" w:rsidP="00144D74">
      <w:pPr>
        <w:pStyle w:val="BodyText"/>
        <w:ind w:left="270"/>
        <w:rPr>
          <w:rFonts w:asciiTheme="minorHAnsi" w:hAnsiTheme="minorHAnsi" w:cstheme="minorHAns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890"/>
        <w:gridCol w:w="1530"/>
        <w:gridCol w:w="905"/>
        <w:gridCol w:w="1530"/>
      </w:tblGrid>
      <w:tr w:rsidR="00D86A12" w:rsidRPr="00AE76E2" w14:paraId="7F1C46C8" w14:textId="77777777" w:rsidTr="0023318F">
        <w:trPr>
          <w:trHeight w:val="585"/>
          <w:jc w:val="center"/>
        </w:trPr>
        <w:tc>
          <w:tcPr>
            <w:tcW w:w="7920" w:type="dxa"/>
            <w:gridSpan w:val="4"/>
            <w:tcBorders>
              <w:bottom w:val="single" w:sz="4" w:space="0" w:color="auto"/>
            </w:tcBorders>
            <w:shd w:val="clear" w:color="000000" w:fill="000000" w:themeFill="text1"/>
            <w:vAlign w:val="center"/>
            <w:hideMark/>
          </w:tcPr>
          <w:p w14:paraId="6F1E7469" w14:textId="36CC6E74" w:rsidR="00D86A12" w:rsidRPr="000C0268" w:rsidRDefault="00737F39" w:rsidP="00435317">
            <w:pPr>
              <w:spacing w:after="0"/>
              <w:jc w:val="center"/>
              <w:rPr>
                <w:rFonts w:cstheme="minorHAnsi"/>
                <w:b/>
                <w:color w:val="FFFFFF" w:themeColor="background1"/>
              </w:rPr>
            </w:pPr>
            <w:r>
              <w:rPr>
                <w:rFonts w:cstheme="minorHAnsi"/>
                <w:b/>
                <w:color w:val="FFFFFF" w:themeColor="background1"/>
              </w:rPr>
              <w:t xml:space="preserve">                                      </w:t>
            </w:r>
            <w:r w:rsidR="00D86A12" w:rsidRPr="000C0268">
              <w:rPr>
                <w:rFonts w:cstheme="minorHAnsi"/>
                <w:b/>
                <w:color w:val="FFFFFF" w:themeColor="background1"/>
              </w:rPr>
              <w:t xml:space="preserve">Equipment Cost </w:t>
            </w:r>
            <w:r w:rsidR="00D86A12" w:rsidRPr="000C0268">
              <w:rPr>
                <w:rFonts w:cstheme="minorHAnsi"/>
                <w:b/>
                <w:bCs/>
                <w:color w:val="FFFFFF" w:themeColor="background1"/>
              </w:rPr>
              <w:t>Budget Narrative</w:t>
            </w:r>
          </w:p>
        </w:tc>
        <w:tc>
          <w:tcPr>
            <w:tcW w:w="1530" w:type="dxa"/>
            <w:tcBorders>
              <w:bottom w:val="single" w:sz="4" w:space="0" w:color="auto"/>
            </w:tcBorders>
            <w:shd w:val="clear" w:color="000000" w:fill="000000" w:themeFill="text1"/>
          </w:tcPr>
          <w:p w14:paraId="7E64E118" w14:textId="77777777" w:rsidR="00D86A12" w:rsidRPr="000C0268" w:rsidRDefault="00D86A12" w:rsidP="00435317">
            <w:pPr>
              <w:spacing w:after="0"/>
              <w:jc w:val="center"/>
              <w:rPr>
                <w:rFonts w:cstheme="minorHAnsi"/>
                <w:b/>
                <w:color w:val="FFFFFF" w:themeColor="background1"/>
              </w:rPr>
            </w:pPr>
          </w:p>
        </w:tc>
      </w:tr>
      <w:tr w:rsidR="00D21B49" w:rsidRPr="00AE76E2" w14:paraId="578475BA" w14:textId="77777777" w:rsidTr="00FF7AFE">
        <w:trPr>
          <w:trHeight w:val="510"/>
          <w:jc w:val="center"/>
        </w:trPr>
        <w:tc>
          <w:tcPr>
            <w:tcW w:w="3595" w:type="dxa"/>
            <w:shd w:val="clear" w:color="auto" w:fill="D9D9D9" w:themeFill="background1" w:themeFillShade="D9"/>
            <w:vAlign w:val="center"/>
            <w:hideMark/>
          </w:tcPr>
          <w:p w14:paraId="7AD46A9A" w14:textId="679BE2FA" w:rsidR="00D21B49" w:rsidRPr="000C0268" w:rsidRDefault="00D21B49" w:rsidP="00435317">
            <w:pPr>
              <w:spacing w:after="0"/>
              <w:jc w:val="center"/>
              <w:rPr>
                <w:rFonts w:eastAsia="Times New Roman" w:cstheme="minorHAnsi"/>
                <w:b/>
                <w:bCs/>
              </w:rPr>
            </w:pPr>
            <w:r w:rsidRPr="000C0268">
              <w:rPr>
                <w:rFonts w:eastAsia="Times New Roman" w:cstheme="minorHAnsi"/>
                <w:b/>
                <w:bCs/>
              </w:rPr>
              <w:t>Item Name</w:t>
            </w:r>
          </w:p>
        </w:tc>
        <w:tc>
          <w:tcPr>
            <w:tcW w:w="1890" w:type="dxa"/>
            <w:shd w:val="clear" w:color="auto" w:fill="D9D9D9" w:themeFill="background1" w:themeFillShade="D9"/>
            <w:vAlign w:val="center"/>
            <w:hideMark/>
          </w:tcPr>
          <w:p w14:paraId="420A9134"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of Items</w:t>
            </w:r>
          </w:p>
        </w:tc>
        <w:tc>
          <w:tcPr>
            <w:tcW w:w="1530" w:type="dxa"/>
            <w:shd w:val="clear" w:color="auto" w:fill="D9D9D9" w:themeFill="background1" w:themeFillShade="D9"/>
            <w:vAlign w:val="center"/>
            <w:hideMark/>
          </w:tcPr>
          <w:p w14:paraId="2A714A17"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Cost per Item</w:t>
            </w:r>
          </w:p>
        </w:tc>
        <w:tc>
          <w:tcPr>
            <w:tcW w:w="2435" w:type="dxa"/>
            <w:gridSpan w:val="2"/>
            <w:shd w:val="clear" w:color="auto" w:fill="D9D9D9" w:themeFill="background1" w:themeFillShade="D9"/>
            <w:vAlign w:val="center"/>
            <w:hideMark/>
          </w:tcPr>
          <w:p w14:paraId="02F6F793" w14:textId="02A06F6C" w:rsidR="00D21B49" w:rsidRPr="000C0268" w:rsidRDefault="00FF7AFE" w:rsidP="00FF7AFE">
            <w:pPr>
              <w:spacing w:after="0"/>
              <w:jc w:val="center"/>
              <w:rPr>
                <w:rFonts w:eastAsia="Times New Roman" w:cstheme="minorHAnsi"/>
                <w:b/>
                <w:bCs/>
              </w:rPr>
            </w:pPr>
            <w:r>
              <w:rPr>
                <w:rFonts w:eastAsia="Times New Roman" w:cstheme="minorHAnsi"/>
                <w:b/>
                <w:bCs/>
              </w:rPr>
              <w:t>T</w:t>
            </w:r>
            <w:r w:rsidR="00D21B49" w:rsidRPr="000C0268">
              <w:rPr>
                <w:rFonts w:eastAsia="Times New Roman" w:cstheme="minorHAnsi"/>
                <w:b/>
                <w:bCs/>
              </w:rPr>
              <w:t>otal Cost</w:t>
            </w:r>
          </w:p>
        </w:tc>
      </w:tr>
      <w:tr w:rsidR="00FF7AFE" w:rsidRPr="00AE76E2" w14:paraId="1E312A4C" w14:textId="77777777" w:rsidTr="00FF7AFE">
        <w:trPr>
          <w:trHeight w:val="512"/>
          <w:jc w:val="center"/>
        </w:trPr>
        <w:tc>
          <w:tcPr>
            <w:tcW w:w="3595" w:type="dxa"/>
            <w:tcBorders>
              <w:bottom w:val="single" w:sz="4" w:space="0" w:color="auto"/>
            </w:tcBorders>
            <w:shd w:val="clear" w:color="auto" w:fill="auto"/>
            <w:vAlign w:val="center"/>
          </w:tcPr>
          <w:p w14:paraId="0FA54AAD"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532E7AC1"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392828E3"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5E272131" w14:textId="77777777" w:rsidR="00FF7AFE" w:rsidRPr="000C0268" w:rsidRDefault="00FF7AFE" w:rsidP="00435317">
            <w:pPr>
              <w:spacing w:after="0"/>
              <w:jc w:val="center"/>
              <w:rPr>
                <w:rFonts w:eastAsia="Times New Roman" w:cstheme="minorHAnsi"/>
                <w:b/>
                <w:bCs/>
              </w:rPr>
            </w:pPr>
          </w:p>
        </w:tc>
      </w:tr>
      <w:tr w:rsidR="00FF7AFE" w:rsidRPr="00AE76E2" w14:paraId="784B694A" w14:textId="77777777" w:rsidTr="00FF7AFE">
        <w:trPr>
          <w:trHeight w:val="512"/>
          <w:jc w:val="center"/>
        </w:trPr>
        <w:tc>
          <w:tcPr>
            <w:tcW w:w="3595" w:type="dxa"/>
            <w:tcBorders>
              <w:bottom w:val="single" w:sz="4" w:space="0" w:color="auto"/>
            </w:tcBorders>
            <w:shd w:val="clear" w:color="auto" w:fill="auto"/>
            <w:vAlign w:val="center"/>
          </w:tcPr>
          <w:p w14:paraId="5F3062C0" w14:textId="77777777" w:rsidR="00FF7AFE" w:rsidRPr="000C0268" w:rsidRDefault="00FF7AFE" w:rsidP="00435317">
            <w:pPr>
              <w:spacing w:after="0"/>
              <w:rPr>
                <w:rFonts w:eastAsia="Times New Roman" w:cstheme="minorHAnsi"/>
                <w:b/>
                <w:bCs/>
              </w:rPr>
            </w:pPr>
          </w:p>
          <w:p w14:paraId="5E4941FB"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3B75190B"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164E9331"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15D06F52" w14:textId="77777777" w:rsidR="00FF7AFE" w:rsidRPr="000C0268" w:rsidRDefault="00FF7AFE" w:rsidP="00435317">
            <w:pPr>
              <w:spacing w:after="0"/>
              <w:jc w:val="center"/>
              <w:rPr>
                <w:rFonts w:eastAsia="Times New Roman" w:cstheme="minorHAnsi"/>
                <w:b/>
                <w:bCs/>
              </w:rPr>
            </w:pPr>
          </w:p>
        </w:tc>
      </w:tr>
      <w:tr w:rsidR="00FF7AFE" w:rsidRPr="00AE76E2" w14:paraId="4930009C" w14:textId="77777777" w:rsidTr="00FF7AFE">
        <w:trPr>
          <w:trHeight w:val="512"/>
          <w:jc w:val="center"/>
        </w:trPr>
        <w:tc>
          <w:tcPr>
            <w:tcW w:w="3595" w:type="dxa"/>
            <w:tcBorders>
              <w:bottom w:val="single" w:sz="4" w:space="0" w:color="auto"/>
            </w:tcBorders>
            <w:shd w:val="clear" w:color="auto" w:fill="auto"/>
            <w:vAlign w:val="center"/>
          </w:tcPr>
          <w:p w14:paraId="0013272F"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79D2EDBE"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2BF790A8"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5767EE5B" w14:textId="77777777" w:rsidR="00FF7AFE" w:rsidRPr="000C0268" w:rsidRDefault="00FF7AFE" w:rsidP="00435317">
            <w:pPr>
              <w:spacing w:after="0"/>
              <w:jc w:val="center"/>
              <w:rPr>
                <w:rFonts w:eastAsia="Times New Roman" w:cstheme="minorHAnsi"/>
                <w:b/>
                <w:bCs/>
              </w:rPr>
            </w:pPr>
          </w:p>
        </w:tc>
      </w:tr>
      <w:tr w:rsidR="00FF7AFE" w:rsidRPr="00AE76E2" w14:paraId="1808B134" w14:textId="77777777" w:rsidTr="00FF7AFE">
        <w:trPr>
          <w:trHeight w:val="512"/>
          <w:jc w:val="center"/>
        </w:trPr>
        <w:tc>
          <w:tcPr>
            <w:tcW w:w="3595" w:type="dxa"/>
            <w:tcBorders>
              <w:bottom w:val="single" w:sz="4" w:space="0" w:color="auto"/>
            </w:tcBorders>
            <w:shd w:val="clear" w:color="auto" w:fill="auto"/>
            <w:vAlign w:val="center"/>
          </w:tcPr>
          <w:p w14:paraId="51943B8F"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3EBDC374"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10FFFF34"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3C2FFCF9" w14:textId="77777777" w:rsidR="00FF7AFE" w:rsidRPr="000C0268" w:rsidRDefault="00FF7AFE" w:rsidP="00435317">
            <w:pPr>
              <w:spacing w:after="0"/>
              <w:jc w:val="center"/>
              <w:rPr>
                <w:rFonts w:eastAsia="Times New Roman" w:cstheme="minorHAnsi"/>
                <w:b/>
                <w:bCs/>
              </w:rPr>
            </w:pPr>
          </w:p>
        </w:tc>
      </w:tr>
      <w:tr w:rsidR="00FF7AFE" w:rsidRPr="00AE76E2" w14:paraId="7BCAC3B9" w14:textId="77777777" w:rsidTr="00FF7AFE">
        <w:trPr>
          <w:trHeight w:val="521"/>
          <w:jc w:val="center"/>
        </w:trPr>
        <w:tc>
          <w:tcPr>
            <w:tcW w:w="7015" w:type="dxa"/>
            <w:gridSpan w:val="3"/>
            <w:shd w:val="clear" w:color="auto" w:fill="D9D9D9" w:themeFill="background1" w:themeFillShade="D9"/>
            <w:vAlign w:val="center"/>
          </w:tcPr>
          <w:p w14:paraId="2082DC14" w14:textId="77777777" w:rsidR="00FF7AFE" w:rsidRPr="000C0268" w:rsidRDefault="00FF7AFE" w:rsidP="00435317">
            <w:pPr>
              <w:spacing w:after="0"/>
              <w:jc w:val="center"/>
              <w:rPr>
                <w:rFonts w:eastAsia="Times New Roman" w:cstheme="minorHAnsi"/>
                <w:b/>
                <w:bCs/>
              </w:rPr>
            </w:pPr>
            <w:r w:rsidRPr="000C0268">
              <w:rPr>
                <w:rFonts w:eastAsia="Times New Roman" w:cstheme="minorHAnsi"/>
                <w:b/>
                <w:bCs/>
                <w:i/>
              </w:rPr>
              <w:t>Sub-Total Equipment</w:t>
            </w:r>
          </w:p>
        </w:tc>
        <w:tc>
          <w:tcPr>
            <w:tcW w:w="2435" w:type="dxa"/>
            <w:gridSpan w:val="2"/>
            <w:shd w:val="clear" w:color="auto" w:fill="D9D9D9" w:themeFill="background1" w:themeFillShade="D9"/>
            <w:vAlign w:val="center"/>
          </w:tcPr>
          <w:p w14:paraId="0D9081A8" w14:textId="77777777" w:rsidR="00FF7AFE" w:rsidRPr="000C0268" w:rsidRDefault="00FF7AFE" w:rsidP="00435317">
            <w:pPr>
              <w:spacing w:after="0"/>
              <w:jc w:val="center"/>
              <w:rPr>
                <w:rFonts w:eastAsia="Times New Roman" w:cstheme="minorHAnsi"/>
                <w:b/>
                <w:bCs/>
                <w:i/>
              </w:rPr>
            </w:pPr>
          </w:p>
        </w:tc>
      </w:tr>
      <w:tr w:rsidR="00954511" w:rsidRPr="00AE76E2" w14:paraId="64BEA6F1" w14:textId="77777777" w:rsidTr="0023318F">
        <w:trPr>
          <w:trHeight w:val="6204"/>
          <w:jc w:val="center"/>
        </w:trPr>
        <w:tc>
          <w:tcPr>
            <w:tcW w:w="9450" w:type="dxa"/>
            <w:gridSpan w:val="5"/>
            <w:shd w:val="clear" w:color="auto" w:fill="auto"/>
          </w:tcPr>
          <w:p w14:paraId="2CC38B2A" w14:textId="77777777" w:rsidR="00954511" w:rsidRPr="000C0268" w:rsidRDefault="00954511" w:rsidP="00435317">
            <w:pPr>
              <w:autoSpaceDE w:val="0"/>
              <w:autoSpaceDN w:val="0"/>
              <w:adjustRightInd w:val="0"/>
              <w:spacing w:after="0"/>
              <w:rPr>
                <w:rFonts w:eastAsia="Times New Roman" w:cstheme="minorHAnsi"/>
                <w:bCs/>
              </w:rPr>
            </w:pPr>
          </w:p>
        </w:tc>
      </w:tr>
    </w:tbl>
    <w:p w14:paraId="20F99A93" w14:textId="77777777" w:rsidR="00734243" w:rsidRDefault="00734243" w:rsidP="45145898">
      <w:pPr>
        <w:pStyle w:val="BodyText"/>
        <w:jc w:val="both"/>
        <w:rPr>
          <w:rFonts w:asciiTheme="minorHAnsi" w:hAnsiTheme="minorHAnsi" w:cstheme="minorBidi"/>
          <w:b/>
          <w:bCs/>
          <w:sz w:val="22"/>
          <w:szCs w:val="22"/>
        </w:rPr>
      </w:pPr>
    </w:p>
    <w:p w14:paraId="785B6497" w14:textId="5395480A" w:rsidR="00FE61E0" w:rsidRPr="000C0268" w:rsidRDefault="00144D74" w:rsidP="45145898">
      <w:pPr>
        <w:pStyle w:val="BodyText"/>
        <w:jc w:val="both"/>
        <w:rPr>
          <w:rFonts w:cstheme="minorBidi"/>
          <w:sz w:val="22"/>
          <w:szCs w:val="22"/>
        </w:rPr>
      </w:pPr>
      <w:r w:rsidRPr="45145898">
        <w:rPr>
          <w:rFonts w:asciiTheme="minorHAnsi" w:hAnsiTheme="minorHAnsi" w:cstheme="minorBidi"/>
          <w:b/>
          <w:bCs/>
          <w:sz w:val="22"/>
          <w:szCs w:val="22"/>
        </w:rPr>
        <w:lastRenderedPageBreak/>
        <w:t xml:space="preserve">Supplies </w:t>
      </w:r>
      <w:r w:rsidRPr="45145898">
        <w:rPr>
          <w:rFonts w:asciiTheme="minorHAnsi" w:hAnsiTheme="minorHAnsi" w:cstheme="minorBidi"/>
          <w:sz w:val="22"/>
          <w:szCs w:val="22"/>
        </w:rPr>
        <w:t xml:space="preserve">are tangible personal property other than equipment.  The FMCSA evaluates supplies costs to ensure a sufficient level of detail that would allow an informed reader to understand the standard office supplies are reasonable. </w:t>
      </w:r>
      <w:r w:rsidR="414D17B8" w:rsidRPr="45145898">
        <w:rPr>
          <w:rFonts w:asciiTheme="minorHAnsi" w:hAnsiTheme="minorHAnsi" w:cstheme="minorBidi"/>
          <w:sz w:val="22"/>
          <w:szCs w:val="22"/>
        </w:rPr>
        <w:t xml:space="preserve"> </w:t>
      </w:r>
      <w:r w:rsidRPr="45145898">
        <w:rPr>
          <w:rFonts w:asciiTheme="minorHAnsi" w:hAnsiTheme="minorHAnsi" w:cstheme="minorBidi"/>
          <w:sz w:val="22"/>
          <w:szCs w:val="22"/>
        </w:rPr>
        <w:t xml:space="preserve">FMCSA </w:t>
      </w:r>
      <w:r w:rsidR="00A365BD" w:rsidRPr="45145898">
        <w:rPr>
          <w:rFonts w:asciiTheme="minorHAnsi" w:hAnsiTheme="minorHAnsi" w:cstheme="minorBidi"/>
          <w:sz w:val="22"/>
          <w:szCs w:val="22"/>
        </w:rPr>
        <w:t>will not</w:t>
      </w:r>
      <w:r w:rsidRPr="45145898">
        <w:rPr>
          <w:rFonts w:asciiTheme="minorHAnsi" w:hAnsiTheme="minorHAnsi" w:cstheme="minorBidi"/>
          <w:sz w:val="22"/>
          <w:szCs w:val="22"/>
        </w:rPr>
        <w:t xml:space="preserve"> accept a</w:t>
      </w:r>
      <w:r w:rsidR="002E45CF" w:rsidRPr="45145898">
        <w:rPr>
          <w:rFonts w:asciiTheme="minorHAnsi" w:hAnsiTheme="minorHAnsi" w:cstheme="minorBidi"/>
          <w:sz w:val="22"/>
          <w:szCs w:val="22"/>
        </w:rPr>
        <w:t xml:space="preserve"> bundle</w:t>
      </w:r>
      <w:r w:rsidRPr="45145898">
        <w:rPr>
          <w:rFonts w:asciiTheme="minorHAnsi" w:hAnsiTheme="minorHAnsi" w:cstheme="minorBidi"/>
          <w:sz w:val="22"/>
          <w:szCs w:val="22"/>
        </w:rPr>
        <w:t xml:space="preserve"> amount for </w:t>
      </w:r>
      <w:r w:rsidR="0B0AFCDA" w:rsidRPr="45145898">
        <w:rPr>
          <w:rFonts w:asciiTheme="minorHAnsi" w:hAnsiTheme="minorHAnsi" w:cstheme="minorBidi"/>
          <w:sz w:val="22"/>
          <w:szCs w:val="22"/>
        </w:rPr>
        <w:t xml:space="preserve">general </w:t>
      </w:r>
      <w:r w:rsidRPr="45145898">
        <w:rPr>
          <w:rFonts w:asciiTheme="minorHAnsi" w:hAnsiTheme="minorHAnsi" w:cstheme="minorBidi"/>
          <w:sz w:val="22"/>
          <w:szCs w:val="22"/>
        </w:rPr>
        <w:t>office supplies</w:t>
      </w:r>
      <w:r w:rsidR="00A3406C">
        <w:rPr>
          <w:rFonts w:asciiTheme="minorHAnsi" w:hAnsiTheme="minorHAnsi" w:cstheme="minorBidi"/>
          <w:sz w:val="22"/>
          <w:szCs w:val="22"/>
        </w:rPr>
        <w:t>.</w:t>
      </w:r>
    </w:p>
    <w:p w14:paraId="577F00EE" w14:textId="77777777" w:rsidR="00144D74" w:rsidRPr="000C0268" w:rsidRDefault="00144D74" w:rsidP="0023318F">
      <w:pPr>
        <w:pStyle w:val="BodyText"/>
        <w:ind w:left="200"/>
        <w:jc w:val="both"/>
      </w:pPr>
    </w:p>
    <w:tbl>
      <w:tblPr>
        <w:tblW w:w="9360" w:type="dxa"/>
        <w:jc w:val="center"/>
        <w:tblLayout w:type="fixed"/>
        <w:tblLook w:val="04A0" w:firstRow="1" w:lastRow="0" w:firstColumn="1" w:lastColumn="0" w:noHBand="0" w:noVBand="1"/>
      </w:tblPr>
      <w:tblGrid>
        <w:gridCol w:w="2785"/>
        <w:gridCol w:w="1350"/>
        <w:gridCol w:w="1710"/>
        <w:gridCol w:w="1350"/>
        <w:gridCol w:w="2165"/>
      </w:tblGrid>
      <w:tr w:rsidR="00D86A12" w:rsidRPr="00AE76E2" w14:paraId="101AD7BF" w14:textId="77777777" w:rsidTr="0023318F">
        <w:trPr>
          <w:trHeight w:val="674"/>
          <w:jc w:val="center"/>
        </w:trPr>
        <w:tc>
          <w:tcPr>
            <w:tcW w:w="9360" w:type="dxa"/>
            <w:gridSpan w:val="5"/>
            <w:tcBorders>
              <w:top w:val="single" w:sz="4" w:space="0" w:color="auto"/>
              <w:left w:val="single" w:sz="4" w:space="0" w:color="auto"/>
              <w:right w:val="single" w:sz="4" w:space="0" w:color="auto"/>
            </w:tcBorders>
            <w:shd w:val="clear" w:color="000000" w:fill="000000" w:themeFill="text1"/>
            <w:vAlign w:val="center"/>
            <w:hideMark/>
          </w:tcPr>
          <w:p w14:paraId="3B38E0F5" w14:textId="7672F12C" w:rsidR="00D86A12" w:rsidRPr="000C0268" w:rsidRDefault="00D86A12" w:rsidP="00435317">
            <w:pPr>
              <w:spacing w:after="0"/>
              <w:jc w:val="center"/>
              <w:rPr>
                <w:rFonts w:cstheme="minorHAnsi"/>
                <w:b/>
                <w:color w:val="FFFFFF" w:themeColor="background1"/>
              </w:rPr>
            </w:pPr>
            <w:r w:rsidRPr="000C0268">
              <w:rPr>
                <w:rFonts w:cstheme="minorHAnsi"/>
                <w:b/>
                <w:color w:val="FFFFFF" w:themeColor="background1"/>
              </w:rPr>
              <w:t xml:space="preserve">Supplies Cost </w:t>
            </w:r>
            <w:r w:rsidRPr="000C0268">
              <w:rPr>
                <w:rFonts w:cstheme="minorHAnsi"/>
                <w:b/>
                <w:bCs/>
                <w:color w:val="FFFFFF" w:themeColor="background1"/>
              </w:rPr>
              <w:t>Budget Narrative</w:t>
            </w:r>
          </w:p>
        </w:tc>
      </w:tr>
      <w:tr w:rsidR="00C877F0" w:rsidRPr="00AE76E2" w14:paraId="6327232D" w14:textId="77777777" w:rsidTr="00C877F0">
        <w:trPr>
          <w:trHeight w:val="528"/>
          <w:jc w:val="center"/>
        </w:trPr>
        <w:tc>
          <w:tcPr>
            <w:tcW w:w="278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D36B76"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Item Name</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14:paraId="79CE8D18"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 of Units/Items</w:t>
            </w:r>
          </w:p>
        </w:tc>
        <w:tc>
          <w:tcPr>
            <w:tcW w:w="1710" w:type="dxa"/>
            <w:tcBorders>
              <w:top w:val="nil"/>
              <w:left w:val="nil"/>
              <w:bottom w:val="single" w:sz="4" w:space="0" w:color="auto"/>
              <w:right w:val="single" w:sz="4" w:space="0" w:color="auto"/>
            </w:tcBorders>
            <w:shd w:val="clear" w:color="auto" w:fill="D9D9D9" w:themeFill="background1" w:themeFillShade="D9"/>
            <w:vAlign w:val="center"/>
            <w:hideMark/>
          </w:tcPr>
          <w:p w14:paraId="0407BC0C"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Unit of Measurement</w:t>
            </w:r>
          </w:p>
        </w:tc>
        <w:tc>
          <w:tcPr>
            <w:tcW w:w="1350" w:type="dxa"/>
            <w:tcBorders>
              <w:top w:val="nil"/>
              <w:left w:val="nil"/>
              <w:bottom w:val="single" w:sz="4" w:space="0" w:color="auto"/>
              <w:right w:val="single" w:sz="4" w:space="0" w:color="auto"/>
            </w:tcBorders>
            <w:shd w:val="clear" w:color="auto" w:fill="D9D9D9" w:themeFill="background1" w:themeFillShade="D9"/>
            <w:vAlign w:val="center"/>
          </w:tcPr>
          <w:p w14:paraId="37C5C23F"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Cost per Unit</w:t>
            </w:r>
          </w:p>
        </w:tc>
        <w:tc>
          <w:tcPr>
            <w:tcW w:w="2165" w:type="dxa"/>
            <w:tcBorders>
              <w:top w:val="nil"/>
              <w:left w:val="nil"/>
              <w:bottom w:val="single" w:sz="4" w:space="0" w:color="auto"/>
              <w:right w:val="single" w:sz="4" w:space="0" w:color="auto"/>
            </w:tcBorders>
            <w:shd w:val="clear" w:color="auto" w:fill="D9D9D9" w:themeFill="background1" w:themeFillShade="D9"/>
            <w:vAlign w:val="center"/>
            <w:hideMark/>
          </w:tcPr>
          <w:p w14:paraId="57834CD3" w14:textId="45D9690D"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E61C04" w:rsidRPr="00AE76E2" w14:paraId="028394D8"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jc w:val="center"/>
        </w:trPr>
        <w:tc>
          <w:tcPr>
            <w:tcW w:w="2785" w:type="dxa"/>
            <w:shd w:val="clear" w:color="auto" w:fill="auto"/>
            <w:vAlign w:val="center"/>
          </w:tcPr>
          <w:p w14:paraId="6F7D5E18" w14:textId="77777777" w:rsidR="00E61C04" w:rsidRPr="000C0268" w:rsidRDefault="00E61C04" w:rsidP="00435317">
            <w:pPr>
              <w:spacing w:after="0"/>
              <w:rPr>
                <w:rFonts w:eastAsia="Times New Roman" w:cstheme="minorHAnsi"/>
                <w:bCs/>
                <w:i/>
              </w:rPr>
            </w:pPr>
          </w:p>
        </w:tc>
        <w:tc>
          <w:tcPr>
            <w:tcW w:w="1350" w:type="dxa"/>
            <w:shd w:val="clear" w:color="auto" w:fill="auto"/>
            <w:vAlign w:val="center"/>
          </w:tcPr>
          <w:p w14:paraId="378FBC60" w14:textId="77777777" w:rsidR="00E61C04" w:rsidRPr="000C0268" w:rsidRDefault="00E61C04" w:rsidP="00435317">
            <w:pPr>
              <w:spacing w:after="0"/>
              <w:jc w:val="center"/>
              <w:rPr>
                <w:rFonts w:eastAsia="Times New Roman" w:cstheme="minorHAnsi"/>
                <w:b/>
                <w:bCs/>
              </w:rPr>
            </w:pPr>
          </w:p>
        </w:tc>
        <w:tc>
          <w:tcPr>
            <w:tcW w:w="1710" w:type="dxa"/>
            <w:shd w:val="clear" w:color="auto" w:fill="auto"/>
            <w:vAlign w:val="center"/>
          </w:tcPr>
          <w:p w14:paraId="203A79E1" w14:textId="77777777" w:rsidR="00E61C04" w:rsidRPr="000C0268" w:rsidRDefault="00E61C04" w:rsidP="00435317">
            <w:pPr>
              <w:spacing w:after="0"/>
              <w:jc w:val="center"/>
              <w:rPr>
                <w:rFonts w:eastAsia="Times New Roman" w:cstheme="minorHAnsi"/>
                <w:bCs/>
              </w:rPr>
            </w:pPr>
          </w:p>
        </w:tc>
        <w:tc>
          <w:tcPr>
            <w:tcW w:w="1350" w:type="dxa"/>
            <w:shd w:val="clear" w:color="auto" w:fill="auto"/>
            <w:vAlign w:val="center"/>
          </w:tcPr>
          <w:p w14:paraId="7E627FC1" w14:textId="77777777" w:rsidR="00E61C04" w:rsidRPr="000C0268" w:rsidRDefault="00E61C04" w:rsidP="00435317">
            <w:pPr>
              <w:spacing w:after="0"/>
              <w:jc w:val="center"/>
              <w:rPr>
                <w:rFonts w:eastAsia="Times New Roman" w:cstheme="minorHAnsi"/>
                <w:b/>
                <w:bCs/>
              </w:rPr>
            </w:pPr>
          </w:p>
        </w:tc>
        <w:tc>
          <w:tcPr>
            <w:tcW w:w="2165" w:type="dxa"/>
            <w:shd w:val="clear" w:color="auto" w:fill="auto"/>
            <w:vAlign w:val="center"/>
          </w:tcPr>
          <w:p w14:paraId="771BD9E8" w14:textId="77777777" w:rsidR="00E61C04" w:rsidRPr="000C0268" w:rsidRDefault="00E61C04" w:rsidP="00435317">
            <w:pPr>
              <w:spacing w:after="0"/>
              <w:jc w:val="center"/>
              <w:rPr>
                <w:rFonts w:eastAsia="Times New Roman" w:cstheme="minorHAnsi"/>
                <w:bCs/>
              </w:rPr>
            </w:pPr>
          </w:p>
        </w:tc>
      </w:tr>
      <w:tr w:rsidR="00E61C04" w:rsidRPr="00AE76E2" w14:paraId="5B630FC4"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0CF1C3D1" w14:textId="77777777" w:rsidR="00E61C04" w:rsidRPr="000C0268" w:rsidRDefault="00E61C04"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31F1D5E3" w14:textId="77777777" w:rsidR="00E61C04" w:rsidRPr="000C0268" w:rsidRDefault="00E61C04"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5A72F56" w14:textId="77777777" w:rsidR="00E61C04" w:rsidRPr="000C0268" w:rsidRDefault="00E61C04"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19CFC495" w14:textId="77777777" w:rsidR="00E61C04" w:rsidRPr="000C0268" w:rsidRDefault="00E61C04"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74D99CD8" w14:textId="77777777" w:rsidR="00E61C04" w:rsidRPr="000C0268" w:rsidRDefault="00E61C04" w:rsidP="00435317">
            <w:pPr>
              <w:spacing w:after="0"/>
              <w:jc w:val="center"/>
              <w:rPr>
                <w:rFonts w:eastAsia="Times New Roman" w:cstheme="minorHAnsi"/>
                <w:bCs/>
              </w:rPr>
            </w:pPr>
          </w:p>
        </w:tc>
      </w:tr>
      <w:tr w:rsidR="00C877F0" w:rsidRPr="00AE76E2" w14:paraId="38C0980E"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0260B171" w14:textId="77777777" w:rsidR="00C877F0" w:rsidRPr="000C0268" w:rsidRDefault="00C877F0"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5283EA5B" w14:textId="77777777" w:rsidR="00C877F0" w:rsidRPr="000C0268" w:rsidRDefault="00C877F0"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9C288A4" w14:textId="77777777" w:rsidR="00C877F0" w:rsidRPr="000C0268" w:rsidRDefault="00C877F0"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2700D56B" w14:textId="77777777" w:rsidR="00C877F0" w:rsidRPr="000C0268" w:rsidRDefault="00C877F0"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2B1DFEB1" w14:textId="77777777" w:rsidR="00C877F0" w:rsidRPr="000C0268" w:rsidRDefault="00C877F0" w:rsidP="00435317">
            <w:pPr>
              <w:spacing w:after="0"/>
              <w:jc w:val="center"/>
              <w:rPr>
                <w:rFonts w:eastAsia="Times New Roman" w:cstheme="minorHAnsi"/>
                <w:bCs/>
              </w:rPr>
            </w:pPr>
          </w:p>
        </w:tc>
      </w:tr>
      <w:tr w:rsidR="00C877F0" w:rsidRPr="00AE76E2" w14:paraId="65ACDF12"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4F961D10" w14:textId="77777777" w:rsidR="00C877F0" w:rsidRPr="000C0268" w:rsidRDefault="00C877F0"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4CE5CFB2" w14:textId="77777777" w:rsidR="00C877F0" w:rsidRPr="000C0268" w:rsidRDefault="00C877F0"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75DB42F" w14:textId="77777777" w:rsidR="00C877F0" w:rsidRPr="000C0268" w:rsidRDefault="00C877F0"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50D644B7" w14:textId="77777777" w:rsidR="00C877F0" w:rsidRPr="000C0268" w:rsidRDefault="00C877F0"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2B7FECD1" w14:textId="77777777" w:rsidR="00C877F0" w:rsidRPr="000C0268" w:rsidRDefault="00C877F0" w:rsidP="00435317">
            <w:pPr>
              <w:spacing w:after="0"/>
              <w:jc w:val="center"/>
              <w:rPr>
                <w:rFonts w:eastAsia="Times New Roman" w:cstheme="minorHAnsi"/>
                <w:bCs/>
              </w:rPr>
            </w:pPr>
          </w:p>
        </w:tc>
      </w:tr>
      <w:tr w:rsidR="00C877F0" w:rsidRPr="00AE76E2" w14:paraId="7584244F"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jc w:val="center"/>
        </w:trPr>
        <w:tc>
          <w:tcPr>
            <w:tcW w:w="7195" w:type="dxa"/>
            <w:gridSpan w:val="4"/>
            <w:shd w:val="clear" w:color="auto" w:fill="D9D9D9" w:themeFill="background1" w:themeFillShade="D9"/>
            <w:vAlign w:val="center"/>
          </w:tcPr>
          <w:p w14:paraId="33F6AAE1"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i/>
              </w:rPr>
              <w:t>Sub-Total Supplies</w:t>
            </w:r>
          </w:p>
        </w:tc>
        <w:tc>
          <w:tcPr>
            <w:tcW w:w="2165" w:type="dxa"/>
            <w:shd w:val="clear" w:color="auto" w:fill="D9D9D9" w:themeFill="background1" w:themeFillShade="D9"/>
            <w:vAlign w:val="center"/>
          </w:tcPr>
          <w:p w14:paraId="6D5BCAE8" w14:textId="77777777" w:rsidR="00C877F0" w:rsidRPr="000C0268" w:rsidRDefault="00C877F0" w:rsidP="00435317">
            <w:pPr>
              <w:spacing w:after="0"/>
              <w:rPr>
                <w:rFonts w:eastAsia="Times New Roman" w:cstheme="minorHAnsi"/>
                <w:b/>
                <w:bCs/>
                <w:i/>
              </w:rPr>
            </w:pPr>
          </w:p>
        </w:tc>
      </w:tr>
      <w:tr w:rsidR="00144D74" w:rsidRPr="00AE76E2" w14:paraId="4F901138" w14:textId="77777777" w:rsidTr="0098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4"/>
          <w:jc w:val="center"/>
        </w:trPr>
        <w:tc>
          <w:tcPr>
            <w:tcW w:w="9360" w:type="dxa"/>
            <w:gridSpan w:val="5"/>
            <w:tcBorders>
              <w:bottom w:val="single" w:sz="4" w:space="0" w:color="auto"/>
            </w:tcBorders>
            <w:shd w:val="clear" w:color="auto" w:fill="auto"/>
          </w:tcPr>
          <w:p w14:paraId="6971D89E" w14:textId="77777777" w:rsidR="00144D74" w:rsidRPr="000C0268" w:rsidRDefault="00144D74" w:rsidP="00435317">
            <w:pPr>
              <w:autoSpaceDE w:val="0"/>
              <w:autoSpaceDN w:val="0"/>
              <w:adjustRightInd w:val="0"/>
              <w:spacing w:after="0"/>
              <w:rPr>
                <w:rFonts w:eastAsia="Times New Roman" w:cstheme="minorHAnsi"/>
                <w:bCs/>
              </w:rPr>
            </w:pPr>
          </w:p>
        </w:tc>
      </w:tr>
    </w:tbl>
    <w:p w14:paraId="414B61EB" w14:textId="5B698CD8" w:rsidR="00AE76E2" w:rsidRDefault="00AE76E2" w:rsidP="000C0268">
      <w:pPr>
        <w:pStyle w:val="Heading4"/>
        <w:rPr>
          <w:rFonts w:cstheme="minorHAnsi"/>
          <w:b/>
          <w:bCs/>
        </w:rPr>
      </w:pPr>
      <w:r>
        <w:rPr>
          <w:rFonts w:cstheme="minorHAnsi"/>
          <w:b/>
          <w:bCs/>
        </w:rPr>
        <w:br w:type="page"/>
      </w:r>
    </w:p>
    <w:p w14:paraId="23BD6B39" w14:textId="11800344" w:rsidR="00243B24" w:rsidRPr="000C0268" w:rsidRDefault="00243B24" w:rsidP="0023318F">
      <w:pPr>
        <w:jc w:val="both"/>
      </w:pPr>
      <w:r w:rsidRPr="000C0268">
        <w:rPr>
          <w:rFonts w:cstheme="minorHAnsi"/>
          <w:b/>
          <w:bCs/>
        </w:rPr>
        <w:lastRenderedPageBreak/>
        <w:t xml:space="preserve">Contractual costs </w:t>
      </w:r>
      <w:r w:rsidRPr="000C0268">
        <w:rPr>
          <w:rFonts w:cstheme="minorHAnsi"/>
        </w:rPr>
        <w:t>are associated with a legal instrument by which a recipient purchases property or services necessary to carry out the Federal project.</w:t>
      </w:r>
    </w:p>
    <w:p w14:paraId="34C73263"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The FMCSA reviews the contractual budget narrative to ensure it contains sufficient descriptive information about what specific costs (products and/or services) would be charged to the grant, a rationale for how those costs were derived, and the applicability and necessity of each to the grant.</w:t>
      </w:r>
    </w:p>
    <w:p w14:paraId="58E4E125" w14:textId="77777777" w:rsidR="00243B24" w:rsidRPr="000C0268" w:rsidRDefault="00243B24" w:rsidP="0023318F">
      <w:pPr>
        <w:pStyle w:val="BodyText"/>
        <w:jc w:val="both"/>
        <w:rPr>
          <w:rFonts w:asciiTheme="minorHAnsi" w:hAnsiTheme="minorHAnsi" w:cstheme="minorHAnsi"/>
          <w:sz w:val="22"/>
          <w:szCs w:val="22"/>
        </w:rPr>
      </w:pPr>
    </w:p>
    <w:p w14:paraId="5F9E38D5"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Include the name of the vendor/subrecipient, if known.  If not, indicate that the selection is pending and an estimated timeframe when the vendor/sub-grant recipient will be selected.  In the application, the most important component of the contractual budget narrative is the purpose of the contract/sub grant and how the cost was estimated/derived.</w:t>
      </w:r>
    </w:p>
    <w:p w14:paraId="53F72EE6" w14:textId="77777777" w:rsidR="00243B24" w:rsidRPr="000C0268" w:rsidRDefault="00243B24" w:rsidP="0023318F">
      <w:pPr>
        <w:pStyle w:val="BodyText"/>
        <w:jc w:val="both"/>
        <w:rPr>
          <w:rFonts w:asciiTheme="minorHAnsi" w:hAnsiTheme="minorHAnsi" w:cstheme="minorHAnsi"/>
          <w:sz w:val="22"/>
          <w:szCs w:val="22"/>
        </w:rPr>
      </w:pPr>
    </w:p>
    <w:p w14:paraId="4CCF207F" w14:textId="77777777" w:rsidR="00243B24" w:rsidRPr="000C0268" w:rsidRDefault="00243B24" w:rsidP="0023318F">
      <w:pPr>
        <w:pStyle w:val="BodyText"/>
        <w:jc w:val="both"/>
        <w:rPr>
          <w:rFonts w:asciiTheme="minorHAnsi" w:hAnsiTheme="minorHAnsi" w:cstheme="minorHAnsi"/>
          <w:b/>
          <w:sz w:val="22"/>
          <w:szCs w:val="22"/>
        </w:rPr>
      </w:pPr>
      <w:r w:rsidRPr="000C0268">
        <w:rPr>
          <w:rFonts w:asciiTheme="minorHAnsi" w:hAnsiTheme="minorHAnsi" w:cstheme="minorHAnsi"/>
          <w:b/>
          <w:sz w:val="22"/>
          <w:szCs w:val="22"/>
        </w:rPr>
        <w:t xml:space="preserve">Guidance for Contract Costs: </w:t>
      </w:r>
    </w:p>
    <w:p w14:paraId="411E740A"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A contractor is one who provides goods and services within normal business operations; provides similar goods or services to many different purchasers; normally operates in a competitive environment; provides goods or services that are ancillary (but necessary) to the operation of the Federal program.  A contractor is not subject to Federal compliance requirements as a result of the grant, though similar requirements may apply for other reasons.</w:t>
      </w:r>
    </w:p>
    <w:p w14:paraId="48567D8C" w14:textId="77777777" w:rsidR="00243B24" w:rsidRPr="000C0268" w:rsidRDefault="00243B24" w:rsidP="0023318F">
      <w:pPr>
        <w:pStyle w:val="BodyText"/>
        <w:jc w:val="both"/>
        <w:rPr>
          <w:rFonts w:asciiTheme="minorHAnsi" w:hAnsiTheme="minorHAnsi" w:cstheme="minorHAnsi"/>
          <w:sz w:val="22"/>
          <w:szCs w:val="22"/>
        </w:rPr>
      </w:pPr>
    </w:p>
    <w:p w14:paraId="64ECCFC4" w14:textId="10451310"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For example, contractual costs could include training, maintenance contracts, or other service contracts except those which belong in different object classes such as equipment or supplies (depending upon your organization’s policy).  The term “procurement” is used to identify the process of acquiring goods and services from sources outside of the grant recipient organization.  When procuring goods and services under a </w:t>
      </w:r>
      <w:proofErr w:type="gramStart"/>
      <w:r w:rsidRPr="000C0268">
        <w:rPr>
          <w:rFonts w:asciiTheme="minorHAnsi" w:hAnsiTheme="minorHAnsi" w:cstheme="minorHAnsi"/>
          <w:sz w:val="22"/>
          <w:szCs w:val="22"/>
        </w:rPr>
        <w:t>Federal</w:t>
      </w:r>
      <w:proofErr w:type="gramEnd"/>
      <w:r w:rsidRPr="000C0268">
        <w:rPr>
          <w:rFonts w:asciiTheme="minorHAnsi" w:hAnsiTheme="minorHAnsi" w:cstheme="minorHAnsi"/>
          <w:sz w:val="22"/>
          <w:szCs w:val="22"/>
        </w:rPr>
        <w:t xml:space="preserve"> award, an organization must follow the procurement standards at 2 CFR §§ 200.317 - 200.326 and same policies and procedures it uses for procurements for its non-Federal funds.  Non-competitive procurements should only be used in limited circumstances and should be a last resort.  </w:t>
      </w:r>
      <w:r w:rsidRPr="000C0268">
        <w:rPr>
          <w:rFonts w:asciiTheme="minorHAnsi" w:hAnsiTheme="minorHAnsi" w:cstheme="minorHAnsi"/>
          <w:sz w:val="22"/>
          <w:szCs w:val="22"/>
        </w:rPr>
        <w:br/>
        <w:t xml:space="preserve">Non-competitive procurements must comply with 2 CFR § 200.320(c). </w:t>
      </w:r>
    </w:p>
    <w:p w14:paraId="6BEB872A" w14:textId="77777777" w:rsidR="00243B24" w:rsidRPr="000C0268" w:rsidRDefault="00243B24" w:rsidP="0023318F">
      <w:pPr>
        <w:pStyle w:val="BodyText"/>
        <w:jc w:val="both"/>
        <w:rPr>
          <w:rFonts w:asciiTheme="minorHAnsi" w:hAnsiTheme="minorHAnsi" w:cstheme="minorHAnsi"/>
          <w:sz w:val="22"/>
          <w:szCs w:val="22"/>
        </w:rPr>
      </w:pPr>
    </w:p>
    <w:p w14:paraId="45AD44DA" w14:textId="77777777" w:rsidR="00243B24" w:rsidRPr="000C0268" w:rsidRDefault="00243B24" w:rsidP="0023318F">
      <w:pPr>
        <w:pStyle w:val="BodyText"/>
        <w:jc w:val="both"/>
        <w:rPr>
          <w:rFonts w:asciiTheme="minorHAnsi" w:hAnsiTheme="minorHAnsi" w:cstheme="minorHAnsi"/>
          <w:b/>
          <w:sz w:val="22"/>
          <w:szCs w:val="22"/>
        </w:rPr>
      </w:pPr>
      <w:r w:rsidRPr="000C0268">
        <w:rPr>
          <w:rFonts w:asciiTheme="minorHAnsi" w:hAnsiTheme="minorHAnsi" w:cstheme="minorHAnsi"/>
          <w:b/>
          <w:sz w:val="22"/>
          <w:szCs w:val="22"/>
        </w:rPr>
        <w:t>Guidance for Subrecipient Costs:</w:t>
      </w:r>
    </w:p>
    <w:p w14:paraId="23373CEF" w14:textId="414F4CAA"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A subaward is an award provided by the recipient (also known as a pass-through entity or prime recipient) to a subrecipient.  Characteristics of a subrecipient  include that the subrecipient has its performance measured in relation to whether objectives of a Federal program were met; has responsibility for programmatic decision making; is responsible for adherence to applicable Federal program requirements specified in the Federal award; and (in accordance with its agreement) uses the Federal funds to carry out a program for a public purpose specified in authorizing statute, as opposed to providing goods or services for the benefit of the pass-through entity.  For more information in determining subrecipients see 2 CFR 200.331.</w:t>
      </w:r>
    </w:p>
    <w:p w14:paraId="19295938" w14:textId="77777777" w:rsidR="00243B24" w:rsidRPr="000C0268" w:rsidRDefault="00243B24" w:rsidP="0023318F">
      <w:pPr>
        <w:pStyle w:val="BodyText"/>
        <w:jc w:val="both"/>
        <w:rPr>
          <w:rFonts w:asciiTheme="minorHAnsi" w:hAnsiTheme="minorHAnsi" w:cstheme="minorHAnsi"/>
          <w:sz w:val="22"/>
          <w:szCs w:val="22"/>
        </w:rPr>
      </w:pPr>
    </w:p>
    <w:p w14:paraId="62507C41" w14:textId="3992FBDD"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A subaward may be provided through any form of legal agreement, including an agreement that the pass-through entity considers a contract.  Federal regulations require that all sub-grant recipients obtain </w:t>
      </w:r>
      <w:r w:rsidR="00E96BA4">
        <w:rPr>
          <w:rFonts w:asciiTheme="minorHAnsi" w:hAnsiTheme="minorHAnsi" w:cstheme="minorHAnsi"/>
          <w:sz w:val="22"/>
          <w:szCs w:val="22"/>
        </w:rPr>
        <w:t xml:space="preserve">and </w:t>
      </w:r>
      <w:r w:rsidRPr="000C0268">
        <w:rPr>
          <w:rFonts w:asciiTheme="minorHAnsi" w:hAnsiTheme="minorHAnsi" w:cstheme="minorHAnsi"/>
          <w:sz w:val="22"/>
          <w:szCs w:val="22"/>
        </w:rPr>
        <w:t>maintain an active System for Award Management registration at all times during an active Federal award.</w:t>
      </w:r>
    </w:p>
    <w:p w14:paraId="44BBAB52" w14:textId="77777777" w:rsidR="00243B24" w:rsidRPr="000C0268" w:rsidRDefault="00243B24" w:rsidP="0023318F">
      <w:pPr>
        <w:pStyle w:val="BodyText"/>
        <w:jc w:val="both"/>
        <w:rPr>
          <w:rFonts w:asciiTheme="minorHAnsi" w:hAnsiTheme="minorHAnsi" w:cstheme="minorHAnsi"/>
          <w:sz w:val="22"/>
          <w:szCs w:val="22"/>
        </w:rPr>
      </w:pPr>
    </w:p>
    <w:p w14:paraId="6EA83D3B" w14:textId="2FAF2785"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If you intend to provide funding to another organization as a subaward, provide a new object class budget narrative and </w:t>
      </w:r>
      <w:r w:rsidR="00B92E9F" w:rsidRPr="000C0268">
        <w:rPr>
          <w:rFonts w:asciiTheme="minorHAnsi" w:hAnsiTheme="minorHAnsi" w:cstheme="minorHAnsi"/>
          <w:sz w:val="22"/>
          <w:szCs w:val="22"/>
        </w:rPr>
        <w:t>line-item</w:t>
      </w:r>
      <w:r w:rsidRPr="000C0268">
        <w:rPr>
          <w:rFonts w:asciiTheme="minorHAnsi" w:hAnsiTheme="minorHAnsi" w:cstheme="minorHAnsi"/>
          <w:sz w:val="22"/>
          <w:szCs w:val="22"/>
        </w:rPr>
        <w:t xml:space="preserve"> budget for each sub-grant recipient organization. </w:t>
      </w:r>
    </w:p>
    <w:p w14:paraId="4872F24E" w14:textId="77777777" w:rsidR="00243B24" w:rsidRPr="000C0268" w:rsidRDefault="00243B24" w:rsidP="0023318F">
      <w:pPr>
        <w:pStyle w:val="BodyText"/>
        <w:ind w:right="648"/>
        <w:jc w:val="both"/>
        <w:rPr>
          <w:rFonts w:asciiTheme="minorHAnsi" w:hAnsiTheme="minorHAnsi" w:cstheme="minorHAnsi"/>
          <w:sz w:val="22"/>
          <w:szCs w:val="22"/>
        </w:rPr>
      </w:pPr>
    </w:p>
    <w:p w14:paraId="7C7DE5D2" w14:textId="708E8075" w:rsidR="00F31764" w:rsidRDefault="00F31764">
      <w:pPr>
        <w:spacing w:after="160" w:line="259" w:lineRule="auto"/>
        <w:rPr>
          <w:rFonts w:cstheme="minorHAnsi"/>
        </w:rPr>
      </w:pPr>
      <w:r>
        <w:rPr>
          <w:rFonts w:cstheme="minorHAnsi"/>
        </w:rPr>
        <w:br w:type="page"/>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975"/>
      </w:tblGrid>
      <w:tr w:rsidR="00B00621" w:rsidRPr="00AE76E2" w14:paraId="690790AB" w14:textId="77777777" w:rsidTr="005C1718">
        <w:trPr>
          <w:trHeight w:val="620"/>
          <w:jc w:val="center"/>
        </w:trPr>
        <w:tc>
          <w:tcPr>
            <w:tcW w:w="972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FE9E30" w14:textId="34941DF6" w:rsidR="00B00621" w:rsidRPr="000C0268" w:rsidRDefault="00B00621" w:rsidP="00435317">
            <w:pPr>
              <w:autoSpaceDE w:val="0"/>
              <w:autoSpaceDN w:val="0"/>
              <w:adjustRightInd w:val="0"/>
              <w:spacing w:after="0"/>
              <w:jc w:val="center"/>
              <w:rPr>
                <w:rFonts w:cstheme="minorHAnsi"/>
                <w:b/>
                <w:bCs/>
              </w:rPr>
            </w:pPr>
            <w:r w:rsidRPr="00AE76E2">
              <w:rPr>
                <w:rFonts w:cstheme="minorHAnsi"/>
                <w:b/>
                <w:bCs/>
              </w:rPr>
              <w:lastRenderedPageBreak/>
              <w:t>Contractual Cost</w:t>
            </w:r>
            <w:r w:rsidRPr="000C0268">
              <w:rPr>
                <w:rFonts w:cstheme="minorHAnsi"/>
                <w:b/>
                <w:bCs/>
              </w:rPr>
              <w:t xml:space="preserve"> Budget Narrative</w:t>
            </w:r>
          </w:p>
        </w:tc>
      </w:tr>
      <w:tr w:rsidR="00C877F0" w:rsidRPr="00AE76E2" w14:paraId="15117989"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5EC47"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Description of Services</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9BDA46" w14:textId="2A806D4E"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C877F0" w:rsidRPr="00AE76E2" w14:paraId="2D69D388"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48E5"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350F778B" w14:textId="77777777" w:rsidR="00C877F0" w:rsidRPr="000C0268" w:rsidRDefault="00C877F0" w:rsidP="00435317">
            <w:pPr>
              <w:spacing w:after="0"/>
              <w:jc w:val="center"/>
              <w:rPr>
                <w:rFonts w:eastAsia="Times New Roman" w:cstheme="minorHAnsi"/>
                <w:b/>
                <w:bCs/>
              </w:rPr>
            </w:pPr>
          </w:p>
        </w:tc>
      </w:tr>
      <w:tr w:rsidR="00C877F0" w:rsidRPr="00AE76E2" w14:paraId="51FA13D9"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4DF8C"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2D989788" w14:textId="77777777" w:rsidR="00C877F0" w:rsidRPr="000C0268" w:rsidRDefault="00C877F0" w:rsidP="00435317">
            <w:pPr>
              <w:spacing w:after="0"/>
              <w:jc w:val="center"/>
              <w:rPr>
                <w:rFonts w:eastAsia="Times New Roman" w:cstheme="minorHAnsi"/>
                <w:b/>
                <w:bCs/>
              </w:rPr>
            </w:pPr>
          </w:p>
        </w:tc>
      </w:tr>
      <w:tr w:rsidR="00C877F0" w:rsidRPr="00AE76E2" w14:paraId="7EB4EC9E"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44B3"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27B8FC54" w14:textId="77777777" w:rsidR="00C877F0" w:rsidRPr="000C0268" w:rsidRDefault="00C877F0" w:rsidP="00435317">
            <w:pPr>
              <w:spacing w:after="0"/>
              <w:jc w:val="center"/>
              <w:rPr>
                <w:rFonts w:eastAsia="Times New Roman" w:cstheme="minorHAnsi"/>
                <w:b/>
                <w:bCs/>
              </w:rPr>
            </w:pPr>
          </w:p>
        </w:tc>
      </w:tr>
      <w:tr w:rsidR="00C877F0" w:rsidRPr="00AE76E2" w14:paraId="3F79F0CA"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65BE3"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34912660" w14:textId="77777777" w:rsidR="00C877F0" w:rsidRPr="000C0268" w:rsidRDefault="00C877F0" w:rsidP="00435317">
            <w:pPr>
              <w:spacing w:after="0"/>
              <w:jc w:val="center"/>
              <w:rPr>
                <w:rFonts w:eastAsia="Times New Roman" w:cstheme="minorHAnsi"/>
                <w:b/>
                <w:bCs/>
              </w:rPr>
            </w:pPr>
          </w:p>
        </w:tc>
      </w:tr>
      <w:tr w:rsidR="00C877F0" w:rsidRPr="00AE76E2" w14:paraId="2661D6CC"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74CE6" w14:textId="77777777" w:rsidR="00C877F0" w:rsidRPr="000C0268" w:rsidRDefault="00C877F0" w:rsidP="00D5146B">
            <w:pPr>
              <w:spacing w:after="0"/>
              <w:jc w:val="center"/>
              <w:rPr>
                <w:rFonts w:eastAsia="Times New Roman" w:cstheme="minorHAnsi"/>
                <w:b/>
                <w:bCs/>
                <w:i/>
              </w:rPr>
            </w:pPr>
            <w:r w:rsidRPr="000C0268">
              <w:rPr>
                <w:rFonts w:eastAsia="Times New Roman" w:cstheme="minorHAnsi"/>
                <w:b/>
                <w:bCs/>
                <w:i/>
              </w:rPr>
              <w:t>Sub-Total Contractual</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43996D" w14:textId="77777777" w:rsidR="00C877F0" w:rsidRPr="000C0268" w:rsidRDefault="00C877F0" w:rsidP="00435317">
            <w:pPr>
              <w:spacing w:after="0"/>
              <w:jc w:val="center"/>
              <w:rPr>
                <w:rFonts w:eastAsia="Times New Roman" w:cstheme="minorHAnsi"/>
                <w:b/>
                <w:bCs/>
                <w:i/>
              </w:rPr>
            </w:pPr>
          </w:p>
        </w:tc>
      </w:tr>
      <w:tr w:rsidR="00243B24" w:rsidRPr="00AE76E2" w14:paraId="6F91D005" w14:textId="77777777" w:rsidTr="0023318F">
        <w:trPr>
          <w:trHeight w:val="9174"/>
          <w:jc w:val="center"/>
        </w:trPr>
        <w:tc>
          <w:tcPr>
            <w:tcW w:w="97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0488E3" w14:textId="77777777" w:rsidR="00243B24" w:rsidRDefault="00243B24" w:rsidP="00435317">
            <w:pPr>
              <w:spacing w:after="0"/>
              <w:rPr>
                <w:rFonts w:eastAsia="Times New Roman" w:cstheme="minorHAnsi"/>
                <w:b/>
                <w:bCs/>
              </w:rPr>
            </w:pPr>
          </w:p>
          <w:p w14:paraId="127A0EAD" w14:textId="65C42673" w:rsidR="00CB7D57" w:rsidRPr="000C0268" w:rsidRDefault="00CB7D57" w:rsidP="0023318F">
            <w:pPr>
              <w:spacing w:after="0"/>
              <w:rPr>
                <w:rFonts w:eastAsia="Times New Roman" w:cstheme="minorHAnsi"/>
                <w:b/>
                <w:bCs/>
              </w:rPr>
            </w:pPr>
          </w:p>
        </w:tc>
      </w:tr>
    </w:tbl>
    <w:p w14:paraId="672267B1" w14:textId="77777777" w:rsidR="00AE76E2" w:rsidRDefault="00AE76E2">
      <w:pPr>
        <w:spacing w:after="160" w:line="259" w:lineRule="auto"/>
        <w:rPr>
          <w:rFonts w:eastAsia="Times New Roman" w:cstheme="minorHAnsi"/>
          <w:b/>
          <w:bCs/>
          <w:lang w:bidi="en-US"/>
        </w:rPr>
      </w:pPr>
      <w:r>
        <w:rPr>
          <w:rFonts w:cstheme="minorHAnsi"/>
          <w:b/>
          <w:bCs/>
        </w:rPr>
        <w:br w:type="page"/>
      </w:r>
    </w:p>
    <w:p w14:paraId="39F7666D" w14:textId="1401E426" w:rsidR="00243B24" w:rsidRPr="000C0268" w:rsidRDefault="00243B24" w:rsidP="45145898">
      <w:pPr>
        <w:pStyle w:val="BodyText"/>
        <w:jc w:val="both"/>
        <w:rPr>
          <w:rFonts w:asciiTheme="minorHAnsi" w:hAnsiTheme="minorHAnsi" w:cstheme="minorBidi"/>
          <w:sz w:val="22"/>
          <w:szCs w:val="22"/>
        </w:rPr>
      </w:pPr>
      <w:r w:rsidRPr="45145898">
        <w:rPr>
          <w:rFonts w:asciiTheme="minorHAnsi" w:hAnsiTheme="minorHAnsi" w:cstheme="minorBidi"/>
          <w:b/>
          <w:bCs/>
          <w:sz w:val="22"/>
          <w:szCs w:val="22"/>
        </w:rPr>
        <w:lastRenderedPageBreak/>
        <w:t>Other costs</w:t>
      </w:r>
      <w:r w:rsidRPr="45145898">
        <w:rPr>
          <w:rFonts w:asciiTheme="minorHAnsi" w:hAnsiTheme="minorHAnsi" w:cstheme="minorBidi"/>
          <w:sz w:val="22"/>
          <w:szCs w:val="22"/>
        </w:rPr>
        <w:t xml:space="preserve"> are </w:t>
      </w:r>
      <w:r w:rsidR="2B5FFDD0" w:rsidRPr="45145898">
        <w:rPr>
          <w:rFonts w:asciiTheme="minorHAnsi" w:hAnsiTheme="minorHAnsi" w:cstheme="minorBidi"/>
          <w:sz w:val="22"/>
          <w:szCs w:val="22"/>
        </w:rPr>
        <w:t>expense</w:t>
      </w:r>
      <w:r w:rsidRPr="45145898">
        <w:rPr>
          <w:rFonts w:asciiTheme="minorHAnsi" w:hAnsiTheme="minorHAnsi" w:cstheme="minorBidi"/>
          <w:sz w:val="22"/>
          <w:szCs w:val="22"/>
        </w:rPr>
        <w:t>s that do not fit within any of the other object class categories. Typical costs in this category include</w:t>
      </w:r>
      <w:r w:rsidR="6A04E301" w:rsidRPr="45145898">
        <w:rPr>
          <w:rFonts w:asciiTheme="minorHAnsi" w:hAnsiTheme="minorHAnsi" w:cstheme="minorBidi"/>
          <w:sz w:val="22"/>
          <w:szCs w:val="22"/>
        </w:rPr>
        <w:t>, but not limited to,</w:t>
      </w:r>
      <w:r w:rsidRPr="45145898">
        <w:rPr>
          <w:rFonts w:asciiTheme="minorHAnsi" w:hAnsiTheme="minorHAnsi" w:cstheme="minorBidi"/>
          <w:sz w:val="22"/>
          <w:szCs w:val="22"/>
        </w:rPr>
        <w:t xml:space="preserve"> </w:t>
      </w:r>
      <w:r w:rsidR="736C014A" w:rsidRPr="45145898">
        <w:rPr>
          <w:rFonts w:asciiTheme="minorHAnsi" w:hAnsiTheme="minorHAnsi" w:cstheme="minorBidi"/>
        </w:rPr>
        <w:t>professional services, audit, postage, printing, and facilities expenses</w:t>
      </w:r>
      <w:r w:rsidRPr="45145898">
        <w:rPr>
          <w:rFonts w:asciiTheme="minorHAnsi" w:hAnsiTheme="minorHAnsi" w:cstheme="minorBidi"/>
          <w:sz w:val="22"/>
          <w:szCs w:val="22"/>
        </w:rPr>
        <w:t xml:space="preserve"> </w:t>
      </w:r>
      <w:r w:rsidR="6916F9B9" w:rsidRPr="45145898">
        <w:rPr>
          <w:rFonts w:asciiTheme="minorHAnsi" w:hAnsiTheme="minorHAnsi" w:cstheme="minorBidi"/>
          <w:sz w:val="22"/>
          <w:szCs w:val="22"/>
        </w:rPr>
        <w:t xml:space="preserve">such as rent and utilities </w:t>
      </w:r>
      <w:r w:rsidR="006B7CE0" w:rsidRPr="45145898">
        <w:rPr>
          <w:rFonts w:asciiTheme="minorHAnsi" w:hAnsiTheme="minorHAnsi" w:cstheme="minorBidi"/>
          <w:b/>
          <w:bCs/>
          <w:sz w:val="22"/>
          <w:szCs w:val="22"/>
        </w:rPr>
        <w:t xml:space="preserve">(note: </w:t>
      </w:r>
      <w:r w:rsidR="00C851D5" w:rsidRPr="45145898">
        <w:rPr>
          <w:rFonts w:asciiTheme="minorHAnsi" w:hAnsiTheme="minorHAnsi" w:cstheme="minorBidi"/>
          <w:b/>
          <w:bCs/>
          <w:sz w:val="22"/>
          <w:szCs w:val="22"/>
        </w:rPr>
        <w:t xml:space="preserve">CDLPI grant program: </w:t>
      </w:r>
      <w:r w:rsidR="00572575" w:rsidRPr="45145898">
        <w:rPr>
          <w:rFonts w:asciiTheme="minorHAnsi" w:hAnsiTheme="minorHAnsi" w:cstheme="minorBidi"/>
          <w:b/>
          <w:bCs/>
          <w:sz w:val="22"/>
          <w:szCs w:val="22"/>
        </w:rPr>
        <w:t>rent, lease and purchase of building and space are not allowable)</w:t>
      </w:r>
      <w:r w:rsidRPr="45145898">
        <w:rPr>
          <w:rFonts w:asciiTheme="minorHAnsi" w:hAnsiTheme="minorHAnsi" w:cstheme="minorBidi"/>
          <w:sz w:val="22"/>
          <w:szCs w:val="22"/>
        </w:rPr>
        <w:t xml:space="preserve"> used to conduct project activities.  The FMCSA evaluates the costs to ensure that no unallowable costs, such as entertainment expenses, are included. </w:t>
      </w:r>
    </w:p>
    <w:p w14:paraId="63213B0A" w14:textId="77777777" w:rsidR="00243B24" w:rsidRPr="000C0268" w:rsidRDefault="00243B24" w:rsidP="0023318F">
      <w:pPr>
        <w:pStyle w:val="BodyText"/>
        <w:jc w:val="both"/>
        <w:rPr>
          <w:rFonts w:asciiTheme="minorHAnsi" w:hAnsiTheme="minorHAnsi" w:cstheme="minorHAnsi"/>
          <w:sz w:val="22"/>
          <w:szCs w:val="22"/>
        </w:rPr>
      </w:pPr>
    </w:p>
    <w:p w14:paraId="0CE2C780" w14:textId="77777777" w:rsidR="00243B24" w:rsidRPr="000C0268" w:rsidRDefault="00243B24" w:rsidP="0023318F">
      <w:pPr>
        <w:widowControl w:val="0"/>
        <w:autoSpaceDE w:val="0"/>
        <w:autoSpaceDN w:val="0"/>
        <w:spacing w:after="0"/>
        <w:jc w:val="both"/>
        <w:rPr>
          <w:rFonts w:cstheme="minorHAnsi"/>
        </w:rPr>
      </w:pPr>
      <w:r w:rsidRPr="000C0268">
        <w:rPr>
          <w:rFonts w:cstheme="minorHAnsi"/>
        </w:rPr>
        <w:t xml:space="preserve">A lease is considered </w:t>
      </w:r>
      <w:proofErr w:type="gramStart"/>
      <w:r w:rsidRPr="000C0268">
        <w:rPr>
          <w:rFonts w:cstheme="minorHAnsi"/>
        </w:rPr>
        <w:t>Other</w:t>
      </w:r>
      <w:proofErr w:type="gramEnd"/>
      <w:r w:rsidRPr="000C0268">
        <w:rPr>
          <w:rFonts w:cstheme="minorHAnsi"/>
        </w:rPr>
        <w:t xml:space="preserve"> cost when you are not the prime on the contract; rather, you are partnering with a different agency in your State or using a shared utility, facility or</w:t>
      </w:r>
      <w:r w:rsidRPr="000C0268">
        <w:rPr>
          <w:rFonts w:cstheme="minorHAnsi"/>
          <w:spacing w:val="-19"/>
        </w:rPr>
        <w:t xml:space="preserve"> </w:t>
      </w:r>
      <w:r w:rsidRPr="000C0268">
        <w:rPr>
          <w:rFonts w:cstheme="minorHAnsi"/>
        </w:rPr>
        <w:t>other services purchased through the State for one or more agencies.  A lease is considered a contractual cost when you directly engage, and form a contract with, a</w:t>
      </w:r>
      <w:r w:rsidRPr="000C0268">
        <w:rPr>
          <w:rFonts w:cstheme="minorHAnsi"/>
          <w:spacing w:val="-5"/>
        </w:rPr>
        <w:t xml:space="preserve"> </w:t>
      </w:r>
      <w:r w:rsidRPr="000C0268">
        <w:rPr>
          <w:rFonts w:cstheme="minorHAnsi"/>
        </w:rPr>
        <w:t>vendor.</w:t>
      </w:r>
    </w:p>
    <w:p w14:paraId="730C3D4F" w14:textId="77777777" w:rsidR="00243B24" w:rsidRPr="000C0268" w:rsidRDefault="00243B24" w:rsidP="0023318F">
      <w:pPr>
        <w:pStyle w:val="BodyText"/>
        <w:jc w:val="both"/>
        <w:rPr>
          <w:rFonts w:asciiTheme="minorHAnsi" w:hAnsiTheme="minorHAnsi" w:cstheme="minorHAnsi"/>
          <w:sz w:val="22"/>
          <w:szCs w:val="22"/>
        </w:rPr>
      </w:pPr>
    </w:p>
    <w:p w14:paraId="3798E84D" w14:textId="37730747" w:rsidR="00243B24" w:rsidRPr="000C0268" w:rsidRDefault="00243B24" w:rsidP="45145898">
      <w:pPr>
        <w:widowControl w:val="0"/>
        <w:autoSpaceDE w:val="0"/>
        <w:autoSpaceDN w:val="0"/>
        <w:spacing w:after="0" w:line="237" w:lineRule="auto"/>
        <w:jc w:val="both"/>
        <w:rPr>
          <w:rFonts w:eastAsiaTheme="majorEastAsia"/>
        </w:rPr>
      </w:pPr>
      <w:r w:rsidRPr="45145898">
        <w:t>Group Other object class costs whenever possible (e.g., space, rental, communication, printing, maintenance) in the budget and explain how they support the grant</w:t>
      </w:r>
      <w:r w:rsidRPr="45145898">
        <w:rPr>
          <w:spacing w:val="-12"/>
        </w:rPr>
        <w:t xml:space="preserve"> </w:t>
      </w:r>
      <w:r w:rsidRPr="45145898">
        <w:t>activities.</w:t>
      </w:r>
      <w:r w:rsidR="721CA0A7" w:rsidRPr="45145898">
        <w:t xml:space="preserve">  Other costs </w:t>
      </w:r>
      <w:r w:rsidR="721CA0A7" w:rsidRPr="45145898">
        <w:rPr>
          <w:rFonts w:eastAsiaTheme="majorEastAsia"/>
        </w:rPr>
        <w:t>must show how totals were determined by itemizing costs in the budget narrative justification.</w:t>
      </w:r>
    </w:p>
    <w:p w14:paraId="11EC0476" w14:textId="77777777" w:rsidR="00FE61E0" w:rsidRDefault="00FE61E0" w:rsidP="0023318F">
      <w:pPr>
        <w:pStyle w:val="TableParagraph"/>
        <w:jc w:val="both"/>
        <w:rPr>
          <w:rFonts w:asciiTheme="minorHAnsi" w:hAnsiTheme="minorHAnsi" w:cstheme="minorHAnsi"/>
        </w:rPr>
      </w:pPr>
    </w:p>
    <w:p w14:paraId="3197B8B0" w14:textId="7558170D" w:rsidR="00243B24" w:rsidRDefault="00243B24" w:rsidP="45145898">
      <w:pPr>
        <w:pStyle w:val="TableParagraph"/>
        <w:jc w:val="both"/>
        <w:rPr>
          <w:rFonts w:asciiTheme="minorHAnsi" w:hAnsiTheme="minorHAnsi" w:cstheme="minorBidi"/>
        </w:rPr>
      </w:pPr>
      <w:r w:rsidRPr="45145898">
        <w:rPr>
          <w:rFonts w:asciiTheme="minorHAnsi" w:hAnsiTheme="minorHAnsi" w:cstheme="minorBidi"/>
        </w:rPr>
        <w:t>Ensure that costs such as professional services, audit, postage, printing, and facilities expenses are not already accounted for in either your indirect cost rate agreement or cost allocation plan.</w:t>
      </w:r>
    </w:p>
    <w:p w14:paraId="3001E72C" w14:textId="77777777" w:rsidR="00B00621" w:rsidRPr="000C0268" w:rsidRDefault="00B00621" w:rsidP="0023318F">
      <w:pPr>
        <w:pStyle w:val="TableParagraph"/>
        <w:jc w:val="both"/>
        <w:rPr>
          <w:rFonts w:asciiTheme="minorHAnsi" w:hAnsiTheme="minorHAnsi" w:cstheme="minorHAnsi"/>
        </w:rPr>
      </w:pPr>
    </w:p>
    <w:tbl>
      <w:tblPr>
        <w:tblW w:w="9360" w:type="dxa"/>
        <w:jc w:val="center"/>
        <w:tblLook w:val="04A0" w:firstRow="1" w:lastRow="0" w:firstColumn="1" w:lastColumn="0" w:noHBand="0" w:noVBand="1"/>
      </w:tblPr>
      <w:tblGrid>
        <w:gridCol w:w="3415"/>
        <w:gridCol w:w="1026"/>
        <w:gridCol w:w="1507"/>
        <w:gridCol w:w="624"/>
        <w:gridCol w:w="435"/>
        <w:gridCol w:w="979"/>
        <w:gridCol w:w="1374"/>
      </w:tblGrid>
      <w:tr w:rsidR="00243B24" w:rsidRPr="00AE76E2" w14:paraId="66D58E12" w14:textId="77777777" w:rsidTr="006F201F">
        <w:trPr>
          <w:trHeight w:val="755"/>
          <w:jc w:val="center"/>
        </w:trPr>
        <w:tc>
          <w:tcPr>
            <w:tcW w:w="6572" w:type="dxa"/>
            <w:gridSpan w:val="4"/>
            <w:tcBorders>
              <w:top w:val="single" w:sz="4" w:space="0" w:color="auto"/>
              <w:left w:val="single" w:sz="4" w:space="0" w:color="auto"/>
              <w:right w:val="single" w:sz="4" w:space="0" w:color="auto"/>
            </w:tcBorders>
            <w:shd w:val="clear" w:color="000000" w:fill="000000" w:themeFill="text1"/>
            <w:vAlign w:val="center"/>
            <w:hideMark/>
          </w:tcPr>
          <w:p w14:paraId="039B9C2A" w14:textId="5A1D4A0C" w:rsidR="00243B24" w:rsidRPr="000C0268" w:rsidRDefault="00737F39" w:rsidP="00737F39">
            <w:pPr>
              <w:spacing w:after="0"/>
              <w:jc w:val="center"/>
              <w:rPr>
                <w:rFonts w:eastAsia="Times New Roman" w:cstheme="minorHAnsi"/>
                <w:b/>
                <w:bCs/>
              </w:rPr>
            </w:pPr>
            <w:r>
              <w:rPr>
                <w:rFonts w:cstheme="minorHAnsi"/>
                <w:b/>
                <w:color w:val="FFFFFF" w:themeColor="background1"/>
              </w:rPr>
              <w:t xml:space="preserve">                                                       </w:t>
            </w:r>
            <w:r w:rsidR="00243B24" w:rsidRPr="000C0268">
              <w:rPr>
                <w:rFonts w:cstheme="minorHAnsi"/>
                <w:b/>
                <w:color w:val="FFFFFF" w:themeColor="background1"/>
              </w:rPr>
              <w:t xml:space="preserve">Other Cost </w:t>
            </w:r>
            <w:r w:rsidR="00243B24" w:rsidRPr="000C0268">
              <w:rPr>
                <w:rFonts w:cstheme="minorHAnsi"/>
                <w:b/>
                <w:bCs/>
                <w:color w:val="FFFFFF" w:themeColor="background1"/>
              </w:rPr>
              <w:t>Budget Narrative</w:t>
            </w:r>
          </w:p>
        </w:tc>
        <w:tc>
          <w:tcPr>
            <w:tcW w:w="1414" w:type="dxa"/>
            <w:gridSpan w:val="2"/>
            <w:tcBorders>
              <w:top w:val="single" w:sz="4" w:space="0" w:color="auto"/>
              <w:left w:val="single" w:sz="4" w:space="0" w:color="auto"/>
              <w:right w:val="single" w:sz="4" w:space="0" w:color="auto"/>
            </w:tcBorders>
            <w:shd w:val="clear" w:color="000000" w:fill="000000" w:themeFill="text1"/>
          </w:tcPr>
          <w:p w14:paraId="03C2A2CC" w14:textId="77777777" w:rsidR="00243B24" w:rsidRPr="000C0268" w:rsidRDefault="00243B24" w:rsidP="00435317">
            <w:pPr>
              <w:spacing w:after="0"/>
              <w:jc w:val="center"/>
              <w:rPr>
                <w:rFonts w:cstheme="minorHAnsi"/>
                <w:b/>
                <w:color w:val="FFFFFF" w:themeColor="background1"/>
              </w:rPr>
            </w:pPr>
          </w:p>
        </w:tc>
        <w:tc>
          <w:tcPr>
            <w:tcW w:w="1374" w:type="dxa"/>
            <w:tcBorders>
              <w:top w:val="single" w:sz="4" w:space="0" w:color="auto"/>
              <w:left w:val="single" w:sz="4" w:space="0" w:color="auto"/>
              <w:right w:val="single" w:sz="4" w:space="0" w:color="auto"/>
            </w:tcBorders>
            <w:shd w:val="clear" w:color="000000" w:fill="000000" w:themeFill="text1"/>
          </w:tcPr>
          <w:p w14:paraId="5CEC0DAD" w14:textId="77777777" w:rsidR="00243B24" w:rsidRPr="000C0268" w:rsidRDefault="00243B24" w:rsidP="00435317">
            <w:pPr>
              <w:spacing w:after="0"/>
              <w:jc w:val="center"/>
              <w:rPr>
                <w:rFonts w:cstheme="minorHAnsi"/>
                <w:b/>
                <w:color w:val="FFFFFF" w:themeColor="background1"/>
              </w:rPr>
            </w:pPr>
          </w:p>
        </w:tc>
      </w:tr>
      <w:tr w:rsidR="00C877F0" w:rsidRPr="00AE76E2" w14:paraId="37E8EB4C" w14:textId="77777777" w:rsidTr="006F201F">
        <w:trPr>
          <w:trHeight w:val="528"/>
          <w:jc w:val="center"/>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83BC8"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Item Name</w:t>
            </w:r>
          </w:p>
        </w:tc>
        <w:tc>
          <w:tcPr>
            <w:tcW w:w="10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A2912"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 of Unit/ Items</w:t>
            </w:r>
          </w:p>
        </w:tc>
        <w:tc>
          <w:tcPr>
            <w:tcW w:w="150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660F9"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Unit of Measurement</w:t>
            </w:r>
          </w:p>
        </w:tc>
        <w:tc>
          <w:tcPr>
            <w:tcW w:w="10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2E43C"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Cost Per Unit</w:t>
            </w:r>
          </w:p>
        </w:tc>
        <w:tc>
          <w:tcPr>
            <w:tcW w:w="235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F9CA813" w14:textId="6DB5B14B"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C877F0" w:rsidRPr="00AE76E2" w14:paraId="6A0865A5"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7D9788F7"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396E5B13"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59A8BEBE"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39AA6CDE"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16AC460F" w14:textId="77777777" w:rsidR="00C877F0" w:rsidRPr="000C0268" w:rsidRDefault="00C877F0" w:rsidP="00435317">
            <w:pPr>
              <w:spacing w:after="0"/>
              <w:jc w:val="center"/>
              <w:rPr>
                <w:rFonts w:eastAsia="Times New Roman" w:cstheme="minorHAnsi"/>
                <w:bCs/>
              </w:rPr>
            </w:pPr>
          </w:p>
        </w:tc>
      </w:tr>
      <w:tr w:rsidR="00C877F0" w:rsidRPr="00AE76E2" w14:paraId="01103868"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5F30591F"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5CD7EB41"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6268F327"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6F451780"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780C0B08" w14:textId="77777777" w:rsidR="00C877F0" w:rsidRPr="000C0268" w:rsidRDefault="00C877F0" w:rsidP="00435317">
            <w:pPr>
              <w:spacing w:after="0"/>
              <w:jc w:val="center"/>
              <w:rPr>
                <w:rFonts w:eastAsia="Times New Roman" w:cstheme="minorHAnsi"/>
                <w:bCs/>
              </w:rPr>
            </w:pPr>
          </w:p>
        </w:tc>
      </w:tr>
      <w:tr w:rsidR="00C877F0" w:rsidRPr="00AE76E2" w14:paraId="21E6F8D0"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6650A30E"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3E8C2F8C"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2308DC89"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260142F8"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0C1522DC" w14:textId="77777777" w:rsidR="00C877F0" w:rsidRPr="000C0268" w:rsidRDefault="00C877F0" w:rsidP="00435317">
            <w:pPr>
              <w:spacing w:after="0"/>
              <w:jc w:val="center"/>
              <w:rPr>
                <w:rFonts w:eastAsia="Times New Roman" w:cstheme="minorHAnsi"/>
                <w:bCs/>
              </w:rPr>
            </w:pPr>
          </w:p>
        </w:tc>
      </w:tr>
      <w:tr w:rsidR="006F201F" w:rsidRPr="00AE76E2" w14:paraId="6A654B68"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34E40174" w14:textId="77777777" w:rsidR="006F201F" w:rsidRPr="000C0268" w:rsidRDefault="006F201F"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2A189A54" w14:textId="77777777" w:rsidR="006F201F" w:rsidRPr="000C0268" w:rsidRDefault="006F201F"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0CE56488" w14:textId="77777777" w:rsidR="006F201F" w:rsidRPr="000C0268" w:rsidRDefault="006F201F"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574E6AFB" w14:textId="77777777" w:rsidR="006F201F" w:rsidRPr="000C0268" w:rsidRDefault="006F201F"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33449DC5" w14:textId="77777777" w:rsidR="006F201F" w:rsidRPr="000C0268" w:rsidRDefault="006F201F" w:rsidP="00435317">
            <w:pPr>
              <w:spacing w:after="0"/>
              <w:jc w:val="center"/>
              <w:rPr>
                <w:rFonts w:eastAsia="Times New Roman" w:cstheme="minorHAnsi"/>
                <w:bCs/>
              </w:rPr>
            </w:pPr>
          </w:p>
        </w:tc>
      </w:tr>
      <w:tr w:rsidR="006F201F" w:rsidRPr="00AE76E2" w14:paraId="3AA73F36"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7007" w:type="dxa"/>
            <w:gridSpan w:val="5"/>
            <w:shd w:val="clear" w:color="auto" w:fill="D9D9D9" w:themeFill="background1" w:themeFillShade="D9"/>
            <w:vAlign w:val="center"/>
          </w:tcPr>
          <w:p w14:paraId="4B0ACFE3" w14:textId="77777777" w:rsidR="006F201F" w:rsidRPr="000C0268" w:rsidRDefault="006F201F" w:rsidP="00435317">
            <w:pPr>
              <w:spacing w:after="0"/>
              <w:jc w:val="center"/>
              <w:rPr>
                <w:rFonts w:eastAsia="Times New Roman" w:cstheme="minorHAnsi"/>
                <w:b/>
                <w:bCs/>
                <w:i/>
              </w:rPr>
            </w:pPr>
            <w:r w:rsidRPr="000C0268">
              <w:rPr>
                <w:rFonts w:eastAsia="Times New Roman" w:cstheme="minorHAnsi"/>
                <w:b/>
                <w:bCs/>
                <w:i/>
              </w:rPr>
              <w:t>Sub-Total Other</w:t>
            </w:r>
          </w:p>
        </w:tc>
        <w:tc>
          <w:tcPr>
            <w:tcW w:w="2353" w:type="dxa"/>
            <w:gridSpan w:val="2"/>
            <w:shd w:val="clear" w:color="auto" w:fill="D9D9D9" w:themeFill="background1" w:themeFillShade="D9"/>
            <w:vAlign w:val="center"/>
          </w:tcPr>
          <w:p w14:paraId="3F36F6CF" w14:textId="77777777" w:rsidR="006F201F" w:rsidRPr="000C0268" w:rsidRDefault="006F201F" w:rsidP="00435317">
            <w:pPr>
              <w:spacing w:after="0"/>
              <w:jc w:val="center"/>
              <w:rPr>
                <w:rFonts w:eastAsia="Times New Roman" w:cstheme="minorHAnsi"/>
                <w:b/>
                <w:bCs/>
                <w:i/>
              </w:rPr>
            </w:pPr>
          </w:p>
        </w:tc>
      </w:tr>
      <w:tr w:rsidR="00243B24" w:rsidRPr="00AE76E2" w14:paraId="15A3DA8F" w14:textId="77777777" w:rsidTr="006B7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0"/>
          <w:jc w:val="center"/>
        </w:trPr>
        <w:tc>
          <w:tcPr>
            <w:tcW w:w="9360" w:type="dxa"/>
            <w:gridSpan w:val="7"/>
            <w:tcBorders>
              <w:bottom w:val="single" w:sz="4" w:space="0" w:color="auto"/>
            </w:tcBorders>
            <w:shd w:val="clear" w:color="auto" w:fill="auto"/>
          </w:tcPr>
          <w:p w14:paraId="3D30D68E" w14:textId="77777777" w:rsidR="00243B24" w:rsidRPr="000C0268" w:rsidRDefault="00243B24" w:rsidP="00435317">
            <w:pPr>
              <w:autoSpaceDE w:val="0"/>
              <w:autoSpaceDN w:val="0"/>
              <w:adjustRightInd w:val="0"/>
              <w:spacing w:after="0"/>
              <w:rPr>
                <w:rFonts w:eastAsia="Times New Roman" w:cstheme="minorHAnsi"/>
                <w:bCs/>
              </w:rPr>
            </w:pPr>
          </w:p>
        </w:tc>
      </w:tr>
    </w:tbl>
    <w:p w14:paraId="5E3316F0" w14:textId="1EFD5DAC" w:rsidR="00243B24" w:rsidRPr="000C0268" w:rsidRDefault="00243B24" w:rsidP="0023318F">
      <w:pPr>
        <w:spacing w:after="0"/>
        <w:jc w:val="both"/>
        <w:rPr>
          <w:rFonts w:cstheme="minorHAnsi"/>
        </w:rPr>
      </w:pPr>
      <w:r w:rsidRPr="000C0268">
        <w:rPr>
          <w:rFonts w:cstheme="minorHAnsi"/>
          <w:b/>
        </w:rPr>
        <w:lastRenderedPageBreak/>
        <w:t>Indirect Costs:</w:t>
      </w:r>
      <w:r w:rsidRPr="000C0268">
        <w:rPr>
          <w:rFonts w:cstheme="minorHAnsi"/>
          <w:b/>
          <w:i/>
        </w:rPr>
        <w:t xml:space="preserve">  </w:t>
      </w:r>
      <w:r w:rsidRPr="000C0268">
        <w:rPr>
          <w:rFonts w:cstheme="minorHAnsi"/>
        </w:rPr>
        <w:t xml:space="preserve">Indirect costs are costs incurred for common or joint objectives that benefit more than one </w:t>
      </w:r>
      <w:r w:rsidR="00D86A12" w:rsidRPr="00AE76E2">
        <w:rPr>
          <w:rFonts w:cstheme="minorHAnsi"/>
        </w:rPr>
        <w:t>project but</w:t>
      </w:r>
      <w:r w:rsidRPr="000C0268">
        <w:rPr>
          <w:rFonts w:cstheme="minorHAnsi"/>
          <w:lang w:bidi="en-US"/>
        </w:rPr>
        <w:t xml:space="preserve"> are not easily or accurately allocable to more than one project</w:t>
      </w:r>
      <w:r w:rsidRPr="000C0268">
        <w:rPr>
          <w:rFonts w:cstheme="minorHAnsi"/>
        </w:rPr>
        <w:t>.  They may be administrative and/or operational.  The FMCSA reviews indirect cost rates to ensure the rate is valid, calculations are correct in the budget, and that the</w:t>
      </w:r>
      <w:r w:rsidRPr="000C0268">
        <w:rPr>
          <w:rFonts w:cstheme="minorHAnsi"/>
          <w:spacing w:val="-1"/>
        </w:rPr>
        <w:t xml:space="preserve"> </w:t>
      </w:r>
      <w:r w:rsidRPr="000C0268">
        <w:rPr>
          <w:rFonts w:cstheme="minorHAnsi"/>
          <w:spacing w:val="2"/>
        </w:rPr>
        <w:t>r</w:t>
      </w:r>
      <w:r w:rsidRPr="000C0268">
        <w:rPr>
          <w:rFonts w:cstheme="minorHAnsi"/>
          <w:spacing w:val="-1"/>
        </w:rPr>
        <w:t>a</w:t>
      </w:r>
      <w:r w:rsidRPr="000C0268">
        <w:rPr>
          <w:rFonts w:cstheme="minorHAnsi"/>
        </w:rPr>
        <w:t>te</w:t>
      </w:r>
      <w:r w:rsidRPr="000C0268">
        <w:rPr>
          <w:rFonts w:cstheme="minorHAnsi"/>
          <w:spacing w:val="-1"/>
        </w:rPr>
        <w:t xml:space="preserve"> </w:t>
      </w:r>
      <w:r w:rsidRPr="000C0268">
        <w:rPr>
          <w:rFonts w:cstheme="minorHAnsi"/>
        </w:rPr>
        <w:t xml:space="preserve">is </w:t>
      </w:r>
      <w:r w:rsidRPr="000C0268">
        <w:rPr>
          <w:rFonts w:cstheme="minorHAnsi"/>
          <w:spacing w:val="-1"/>
        </w:rPr>
        <w:t>a</w:t>
      </w:r>
      <w:r w:rsidRPr="000C0268">
        <w:rPr>
          <w:rFonts w:cstheme="minorHAnsi"/>
        </w:rPr>
        <w:t>p</w:t>
      </w:r>
      <w:r w:rsidRPr="000C0268">
        <w:rPr>
          <w:rFonts w:cstheme="minorHAnsi"/>
          <w:spacing w:val="2"/>
        </w:rPr>
        <w:t>p</w:t>
      </w:r>
      <w:r w:rsidRPr="000C0268">
        <w:rPr>
          <w:rFonts w:cstheme="minorHAnsi"/>
        </w:rPr>
        <w:t>li</w:t>
      </w:r>
      <w:r w:rsidRPr="000C0268">
        <w:rPr>
          <w:rFonts w:cstheme="minorHAnsi"/>
          <w:spacing w:val="-1"/>
        </w:rPr>
        <w:t>e</w:t>
      </w:r>
      <w:r w:rsidRPr="000C0268">
        <w:rPr>
          <w:rFonts w:cstheme="minorHAnsi"/>
        </w:rPr>
        <w:t>d to the</w:t>
      </w:r>
      <w:r w:rsidRPr="000C0268">
        <w:rPr>
          <w:rFonts w:cstheme="minorHAnsi"/>
          <w:spacing w:val="-1"/>
        </w:rPr>
        <w:t xml:space="preserve"> a</w:t>
      </w:r>
      <w:r w:rsidRPr="000C0268">
        <w:rPr>
          <w:rFonts w:cstheme="minorHAnsi"/>
        </w:rPr>
        <w:t>pp</w:t>
      </w:r>
      <w:r w:rsidRPr="000C0268">
        <w:rPr>
          <w:rFonts w:cstheme="minorHAnsi"/>
          <w:spacing w:val="-1"/>
        </w:rPr>
        <w:t>r</w:t>
      </w:r>
      <w:r w:rsidRPr="000C0268">
        <w:rPr>
          <w:rFonts w:cstheme="minorHAnsi"/>
        </w:rPr>
        <w:t>op</w:t>
      </w:r>
      <w:r w:rsidRPr="000C0268">
        <w:rPr>
          <w:rFonts w:cstheme="minorHAnsi"/>
          <w:spacing w:val="-1"/>
        </w:rPr>
        <w:t>r</w:t>
      </w:r>
      <w:r w:rsidRPr="000C0268">
        <w:rPr>
          <w:rFonts w:cstheme="minorHAnsi"/>
        </w:rPr>
        <w:t>i</w:t>
      </w:r>
      <w:r w:rsidRPr="000C0268">
        <w:rPr>
          <w:rFonts w:cstheme="minorHAnsi"/>
          <w:spacing w:val="-1"/>
        </w:rPr>
        <w:t>a</w:t>
      </w:r>
      <w:r w:rsidRPr="000C0268">
        <w:rPr>
          <w:rFonts w:cstheme="minorHAnsi"/>
        </w:rPr>
        <w:t>te</w:t>
      </w:r>
      <w:r w:rsidRPr="000C0268">
        <w:rPr>
          <w:rFonts w:cstheme="minorHAnsi"/>
          <w:spacing w:val="-1"/>
        </w:rPr>
        <w:t xml:space="preserve"> </w:t>
      </w:r>
      <w:r w:rsidRPr="000C0268">
        <w:rPr>
          <w:rFonts w:cstheme="minorHAnsi"/>
          <w:spacing w:val="2"/>
        </w:rPr>
        <w:t>b</w:t>
      </w:r>
      <w:r w:rsidRPr="000C0268">
        <w:rPr>
          <w:rFonts w:cstheme="minorHAnsi"/>
          <w:spacing w:val="1"/>
        </w:rPr>
        <w:t>a</w:t>
      </w:r>
      <w:r w:rsidRPr="000C0268">
        <w:rPr>
          <w:rFonts w:cstheme="minorHAnsi"/>
        </w:rPr>
        <w:t xml:space="preserve">se.   </w:t>
      </w:r>
    </w:p>
    <w:p w14:paraId="6903CE93" w14:textId="77777777" w:rsidR="00243B24" w:rsidRPr="000C0268" w:rsidRDefault="00243B24" w:rsidP="0023318F">
      <w:pPr>
        <w:spacing w:after="0"/>
        <w:jc w:val="both"/>
        <w:rPr>
          <w:rFonts w:cstheme="minorHAnsi"/>
        </w:rPr>
      </w:pPr>
    </w:p>
    <w:p w14:paraId="5218D1FD" w14:textId="1265ADDF" w:rsidR="00243B24" w:rsidRPr="000C0268" w:rsidRDefault="00243B24" w:rsidP="45145898">
      <w:pPr>
        <w:spacing w:after="0"/>
        <w:ind w:right="-20"/>
        <w:jc w:val="both"/>
      </w:pPr>
      <w:r w:rsidRPr="45145898">
        <w:t>Remember to include your indirect cost rate agreement with your application in Grants.gov if your project’s budget will include indirect costs.  If your rate will not be approved by the application due date, attach the letter of renewal or letter of request that you sent to your cognizant agency.  This documentation is used as a placeholder until the rate is approved.  Recipients may not receive reimbursement for indirect costs until the rate is approved.</w:t>
      </w:r>
    </w:p>
    <w:p w14:paraId="1D3CC907" w14:textId="77777777" w:rsidR="00243B24" w:rsidRPr="000C0268" w:rsidRDefault="00243B24" w:rsidP="0023318F">
      <w:pPr>
        <w:spacing w:after="0"/>
        <w:ind w:right="-20"/>
        <w:jc w:val="both"/>
        <w:rPr>
          <w:rFonts w:cstheme="minorHAnsi"/>
        </w:rPr>
      </w:pPr>
    </w:p>
    <w:p w14:paraId="3FF8DD85" w14:textId="33E580DC" w:rsidR="00243B24" w:rsidRDefault="00243B24" w:rsidP="0023318F">
      <w:pPr>
        <w:spacing w:after="0"/>
        <w:ind w:right="-20"/>
        <w:jc w:val="both"/>
        <w:rPr>
          <w:rFonts w:cstheme="minorHAnsi"/>
        </w:rPr>
      </w:pPr>
      <w:r w:rsidRPr="000C0268">
        <w:rPr>
          <w:rFonts w:cstheme="minorHAnsi"/>
        </w:rPr>
        <w:t>To support the budgeted indirect costs, provide the calculations that were used to derive the amount, such as the base to which the indirect cost rate was applied, the rate, and the total amount.</w:t>
      </w:r>
      <w:bookmarkStart w:id="2" w:name="_APPENDIX_C"/>
      <w:bookmarkEnd w:id="2"/>
    </w:p>
    <w:p w14:paraId="068D5942" w14:textId="77777777" w:rsidR="00FE61E0" w:rsidRPr="000C0268" w:rsidRDefault="00FE61E0" w:rsidP="00243B24">
      <w:pPr>
        <w:spacing w:after="0"/>
        <w:ind w:right="-20"/>
        <w:rPr>
          <w:rFonts w:cstheme="minorHAnsi"/>
        </w:rPr>
      </w:pPr>
    </w:p>
    <w:tbl>
      <w:tblPr>
        <w:tblW w:w="0" w:type="auto"/>
        <w:jc w:val="center"/>
        <w:tblLook w:val="04A0" w:firstRow="1" w:lastRow="0" w:firstColumn="1" w:lastColumn="0" w:noHBand="0" w:noVBand="1"/>
      </w:tblPr>
      <w:tblGrid>
        <w:gridCol w:w="2424"/>
        <w:gridCol w:w="2623"/>
        <w:gridCol w:w="2541"/>
        <w:gridCol w:w="1762"/>
      </w:tblGrid>
      <w:tr w:rsidR="00243B24" w:rsidRPr="00AE76E2" w14:paraId="37107384" w14:textId="77777777" w:rsidTr="00435317">
        <w:trPr>
          <w:trHeight w:val="755"/>
          <w:jc w:val="center"/>
        </w:trPr>
        <w:tc>
          <w:tcPr>
            <w:tcW w:w="0" w:type="auto"/>
            <w:gridSpan w:val="4"/>
            <w:tcBorders>
              <w:top w:val="single" w:sz="4" w:space="0" w:color="auto"/>
              <w:left w:val="single" w:sz="4" w:space="0" w:color="auto"/>
              <w:right w:val="single" w:sz="4" w:space="0" w:color="auto"/>
            </w:tcBorders>
            <w:shd w:val="clear" w:color="000000" w:fill="000000" w:themeFill="text1"/>
            <w:vAlign w:val="center"/>
            <w:hideMark/>
          </w:tcPr>
          <w:p w14:paraId="0F0111B1" w14:textId="79E95175" w:rsidR="00243B24" w:rsidRPr="000C0268" w:rsidRDefault="00243B24" w:rsidP="00737F39">
            <w:pPr>
              <w:spacing w:after="0"/>
              <w:jc w:val="center"/>
              <w:rPr>
                <w:rFonts w:cstheme="minorHAnsi"/>
                <w:b/>
                <w:bCs/>
              </w:rPr>
            </w:pPr>
            <w:r w:rsidRPr="000C0268">
              <w:rPr>
                <w:rFonts w:cstheme="minorHAnsi"/>
                <w:b/>
                <w:bCs/>
              </w:rPr>
              <w:t xml:space="preserve">Indirect Cost Budget </w:t>
            </w:r>
            <w:r w:rsidR="00AE76E2" w:rsidRPr="00AE76E2">
              <w:rPr>
                <w:rFonts w:cstheme="minorHAnsi"/>
                <w:b/>
                <w:bCs/>
              </w:rPr>
              <w:t>Narrative</w:t>
            </w:r>
          </w:p>
        </w:tc>
      </w:tr>
      <w:tr w:rsidR="00AE7E29" w:rsidRPr="00AE76E2" w14:paraId="71A90FA9" w14:textId="77777777" w:rsidTr="00AE7E29">
        <w:trPr>
          <w:trHeight w:val="528"/>
          <w:jc w:val="center"/>
        </w:trPr>
        <w:tc>
          <w:tcPr>
            <w:tcW w:w="2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17B88" w14:textId="2A0416BE" w:rsidR="00243B24" w:rsidRPr="000C0268" w:rsidRDefault="00243B24" w:rsidP="00AE7E29">
            <w:pPr>
              <w:spacing w:after="0"/>
              <w:jc w:val="center"/>
              <w:rPr>
                <w:rFonts w:cstheme="minorHAnsi"/>
                <w:b/>
                <w:bCs/>
              </w:rPr>
            </w:pPr>
            <w:r w:rsidRPr="000C0268">
              <w:rPr>
                <w:rFonts w:cstheme="minorHAnsi"/>
                <w:b/>
                <w:bCs/>
              </w:rPr>
              <w:t>Type of Rate</w:t>
            </w:r>
          </w:p>
        </w:tc>
        <w:tc>
          <w:tcPr>
            <w:tcW w:w="2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7CF7F4" w14:textId="77777777" w:rsidR="00243B24" w:rsidRPr="000C0268" w:rsidRDefault="00243B24" w:rsidP="00AE7E29">
            <w:pPr>
              <w:spacing w:after="0"/>
              <w:jc w:val="center"/>
              <w:rPr>
                <w:rFonts w:cstheme="minorHAnsi"/>
                <w:b/>
                <w:bCs/>
              </w:rPr>
            </w:pPr>
            <w:r w:rsidRPr="000C0268">
              <w:rPr>
                <w:rFonts w:cstheme="minorHAnsi"/>
                <w:b/>
                <w:bCs/>
              </w:rPr>
              <w:t>Rate percentage</w:t>
            </w:r>
          </w:p>
        </w:tc>
        <w:tc>
          <w:tcPr>
            <w:tcW w:w="24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414D0A" w14:textId="77777777" w:rsidR="00243B24" w:rsidRPr="000C0268" w:rsidRDefault="00243B24" w:rsidP="00AE7E29">
            <w:pPr>
              <w:spacing w:after="0"/>
              <w:jc w:val="center"/>
              <w:rPr>
                <w:rFonts w:cstheme="minorHAnsi"/>
                <w:b/>
                <w:bCs/>
              </w:rPr>
            </w:pPr>
            <w:r w:rsidRPr="000C0268">
              <w:rPr>
                <w:rFonts w:cstheme="minorHAnsi"/>
                <w:b/>
                <w:bCs/>
              </w:rPr>
              <w:t>Base of Budgeted amount</w:t>
            </w:r>
          </w:p>
        </w:tc>
        <w:tc>
          <w:tcPr>
            <w:tcW w:w="17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56D25" w14:textId="08F00D88" w:rsidR="00243B24" w:rsidRPr="000C0268" w:rsidRDefault="00243B24" w:rsidP="00AE7E29">
            <w:pPr>
              <w:spacing w:after="0"/>
              <w:jc w:val="center"/>
              <w:rPr>
                <w:rFonts w:cstheme="minorHAnsi"/>
                <w:b/>
                <w:bCs/>
              </w:rPr>
            </w:pPr>
            <w:r w:rsidRPr="000C0268">
              <w:rPr>
                <w:rFonts w:cstheme="minorHAnsi"/>
                <w:b/>
                <w:bCs/>
              </w:rPr>
              <w:t>Total IDC Cost</w:t>
            </w:r>
          </w:p>
        </w:tc>
      </w:tr>
      <w:tr w:rsidR="00AE7E29" w:rsidRPr="00AE76E2" w14:paraId="2AB28021" w14:textId="77777777" w:rsidTr="00AE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708" w:type="dxa"/>
            <w:tcBorders>
              <w:bottom w:val="single" w:sz="4" w:space="0" w:color="auto"/>
            </w:tcBorders>
            <w:shd w:val="clear" w:color="auto" w:fill="auto"/>
            <w:vAlign w:val="center"/>
          </w:tcPr>
          <w:p w14:paraId="1D27A24C" w14:textId="77A18F75" w:rsidR="00243B24" w:rsidRDefault="00243B24" w:rsidP="000C0268">
            <w:pPr>
              <w:pStyle w:val="NoSpacing"/>
              <w:jc w:val="center"/>
              <w:rPr>
                <w:rFonts w:cstheme="minorHAnsi"/>
                <w:color w:val="auto"/>
                <w:sz w:val="22"/>
                <w:szCs w:val="22"/>
              </w:rPr>
            </w:pPr>
          </w:p>
          <w:p w14:paraId="7DCAC3D2" w14:textId="5CA0BAB5" w:rsidR="00FE3414" w:rsidRPr="000C0268" w:rsidRDefault="00FE3414" w:rsidP="000C0268">
            <w:pPr>
              <w:pStyle w:val="NoSpacing"/>
              <w:jc w:val="center"/>
              <w:rPr>
                <w:rFonts w:cstheme="minorHAnsi"/>
                <w:color w:val="auto"/>
                <w:sz w:val="22"/>
                <w:szCs w:val="22"/>
              </w:rPr>
            </w:pPr>
          </w:p>
        </w:tc>
        <w:tc>
          <w:tcPr>
            <w:tcW w:w="2417" w:type="dxa"/>
            <w:tcBorders>
              <w:bottom w:val="single" w:sz="4" w:space="0" w:color="auto"/>
            </w:tcBorders>
            <w:shd w:val="clear" w:color="auto" w:fill="auto"/>
            <w:vAlign w:val="center"/>
          </w:tcPr>
          <w:p w14:paraId="66C75230" w14:textId="0C097EB5" w:rsidR="00243B24" w:rsidRPr="000C0268" w:rsidRDefault="00243B24" w:rsidP="000C0268">
            <w:pPr>
              <w:pStyle w:val="NoSpacing"/>
              <w:jc w:val="center"/>
              <w:rPr>
                <w:rFonts w:cstheme="minorHAnsi"/>
                <w:color w:val="auto"/>
                <w:sz w:val="22"/>
                <w:szCs w:val="22"/>
              </w:rPr>
            </w:pPr>
          </w:p>
        </w:tc>
        <w:tc>
          <w:tcPr>
            <w:tcW w:w="2450" w:type="dxa"/>
            <w:tcBorders>
              <w:bottom w:val="single" w:sz="4" w:space="0" w:color="auto"/>
            </w:tcBorders>
            <w:shd w:val="clear" w:color="auto" w:fill="auto"/>
            <w:vAlign w:val="center"/>
          </w:tcPr>
          <w:p w14:paraId="07A8E1DE" w14:textId="59A9BA7C" w:rsidR="00243B24" w:rsidRPr="000C0268" w:rsidRDefault="00243B24" w:rsidP="000C0268">
            <w:pPr>
              <w:pStyle w:val="NoSpacing"/>
              <w:jc w:val="center"/>
              <w:rPr>
                <w:rFonts w:cstheme="minorHAnsi"/>
                <w:color w:val="auto"/>
                <w:sz w:val="22"/>
                <w:szCs w:val="22"/>
              </w:rPr>
            </w:pPr>
          </w:p>
        </w:tc>
        <w:tc>
          <w:tcPr>
            <w:tcW w:w="1775" w:type="dxa"/>
            <w:tcBorders>
              <w:bottom w:val="single" w:sz="4" w:space="0" w:color="auto"/>
            </w:tcBorders>
            <w:shd w:val="clear" w:color="auto" w:fill="auto"/>
            <w:vAlign w:val="center"/>
          </w:tcPr>
          <w:p w14:paraId="6007EA40" w14:textId="1A66176F" w:rsidR="00243B24" w:rsidRPr="000C0268" w:rsidRDefault="00243B24" w:rsidP="0023318F">
            <w:pPr>
              <w:pStyle w:val="Default"/>
              <w:jc w:val="center"/>
              <w:rPr>
                <w:rFonts w:asciiTheme="minorHAnsi" w:hAnsiTheme="minorHAnsi" w:cstheme="minorHAnsi"/>
                <w:color w:val="auto"/>
                <w:sz w:val="22"/>
                <w:szCs w:val="22"/>
              </w:rPr>
            </w:pPr>
          </w:p>
        </w:tc>
      </w:tr>
      <w:tr w:rsidR="00AE7E29" w:rsidRPr="00AE76E2" w14:paraId="3738DF05" w14:textId="77777777" w:rsidTr="00AE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708" w:type="dxa"/>
            <w:tcBorders>
              <w:bottom w:val="single" w:sz="4" w:space="0" w:color="auto"/>
            </w:tcBorders>
            <w:shd w:val="clear" w:color="auto" w:fill="auto"/>
            <w:vAlign w:val="center"/>
          </w:tcPr>
          <w:p w14:paraId="1CEA3487" w14:textId="674D8BCB" w:rsidR="00243B24" w:rsidRPr="000C0268" w:rsidRDefault="00243B24" w:rsidP="000C0268">
            <w:pPr>
              <w:pStyle w:val="NoSpacing"/>
              <w:jc w:val="center"/>
              <w:rPr>
                <w:rFonts w:cstheme="minorHAnsi"/>
                <w:color w:val="auto"/>
                <w:sz w:val="22"/>
                <w:szCs w:val="22"/>
              </w:rPr>
            </w:pPr>
          </w:p>
        </w:tc>
        <w:tc>
          <w:tcPr>
            <w:tcW w:w="2417" w:type="dxa"/>
            <w:tcBorders>
              <w:bottom w:val="single" w:sz="4" w:space="0" w:color="auto"/>
            </w:tcBorders>
            <w:shd w:val="clear" w:color="auto" w:fill="auto"/>
            <w:vAlign w:val="center"/>
          </w:tcPr>
          <w:p w14:paraId="5FEDDDE8" w14:textId="24F8E136" w:rsidR="00243B24" w:rsidRPr="000C0268" w:rsidRDefault="00243B24" w:rsidP="000C0268">
            <w:pPr>
              <w:pStyle w:val="NoSpacing"/>
              <w:jc w:val="center"/>
              <w:rPr>
                <w:rFonts w:cstheme="minorHAnsi"/>
                <w:color w:val="auto"/>
                <w:sz w:val="22"/>
                <w:szCs w:val="22"/>
              </w:rPr>
            </w:pPr>
          </w:p>
        </w:tc>
        <w:tc>
          <w:tcPr>
            <w:tcW w:w="2450" w:type="dxa"/>
            <w:tcBorders>
              <w:bottom w:val="single" w:sz="4" w:space="0" w:color="auto"/>
            </w:tcBorders>
            <w:shd w:val="clear" w:color="auto" w:fill="auto"/>
            <w:vAlign w:val="center"/>
          </w:tcPr>
          <w:p w14:paraId="4366F655" w14:textId="384965FD" w:rsidR="00243B24" w:rsidRPr="000C0268" w:rsidRDefault="00243B24" w:rsidP="000C0268">
            <w:pPr>
              <w:pStyle w:val="NoSpacing"/>
              <w:jc w:val="center"/>
              <w:rPr>
                <w:rFonts w:cstheme="minorHAnsi"/>
                <w:color w:val="auto"/>
                <w:sz w:val="22"/>
                <w:szCs w:val="22"/>
              </w:rPr>
            </w:pPr>
          </w:p>
        </w:tc>
        <w:tc>
          <w:tcPr>
            <w:tcW w:w="1775" w:type="dxa"/>
            <w:tcBorders>
              <w:bottom w:val="single" w:sz="4" w:space="0" w:color="auto"/>
            </w:tcBorders>
            <w:shd w:val="clear" w:color="auto" w:fill="auto"/>
            <w:vAlign w:val="center"/>
          </w:tcPr>
          <w:p w14:paraId="6004E7AE" w14:textId="3E09261A" w:rsidR="00243B24" w:rsidRPr="000C0268" w:rsidRDefault="00243B24" w:rsidP="000C0268">
            <w:pPr>
              <w:pStyle w:val="Default"/>
              <w:jc w:val="center"/>
              <w:rPr>
                <w:rFonts w:asciiTheme="minorHAnsi" w:hAnsiTheme="minorHAnsi" w:cstheme="minorHAnsi"/>
                <w:color w:val="auto"/>
                <w:sz w:val="22"/>
                <w:szCs w:val="22"/>
              </w:rPr>
            </w:pPr>
          </w:p>
        </w:tc>
      </w:tr>
      <w:tr w:rsidR="00243B24" w:rsidRPr="00AE76E2" w14:paraId="285A17CD" w14:textId="77777777" w:rsidTr="006B7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3"/>
          <w:jc w:val="center"/>
        </w:trPr>
        <w:tc>
          <w:tcPr>
            <w:tcW w:w="0" w:type="auto"/>
            <w:gridSpan w:val="4"/>
            <w:tcBorders>
              <w:bottom w:val="single" w:sz="4" w:space="0" w:color="auto"/>
            </w:tcBorders>
            <w:shd w:val="clear" w:color="auto" w:fill="auto"/>
          </w:tcPr>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1746"/>
            </w:tblGrid>
            <w:tr w:rsidR="00243B24" w:rsidRPr="00AE76E2" w14:paraId="3483BEB6" w14:textId="77777777" w:rsidTr="00737F39">
              <w:trPr>
                <w:trHeight w:val="606"/>
                <w:jc w:val="center"/>
              </w:trPr>
              <w:tc>
                <w:tcPr>
                  <w:tcW w:w="7594" w:type="dxa"/>
                  <w:shd w:val="clear" w:color="auto" w:fill="D9D9D9" w:themeFill="background1" w:themeFillShade="D9"/>
                  <w:vAlign w:val="center"/>
                </w:tcPr>
                <w:p w14:paraId="1BD0905F" w14:textId="77777777" w:rsidR="00243B24" w:rsidRPr="00737F39" w:rsidRDefault="00243B24" w:rsidP="00737F39">
                  <w:pPr>
                    <w:spacing w:after="0"/>
                    <w:jc w:val="center"/>
                    <w:rPr>
                      <w:rFonts w:eastAsia="Times New Roman" w:cstheme="minorHAnsi"/>
                      <w:b/>
                      <w:bCs/>
                      <w:i/>
                    </w:rPr>
                  </w:pPr>
                  <w:r w:rsidRPr="00737F39">
                    <w:rPr>
                      <w:rFonts w:eastAsia="Times New Roman" w:cstheme="minorHAnsi"/>
                      <w:b/>
                      <w:bCs/>
                      <w:i/>
                    </w:rPr>
                    <w:t xml:space="preserve">    Total Cost for Other:</w:t>
                  </w:r>
                </w:p>
              </w:tc>
              <w:tc>
                <w:tcPr>
                  <w:tcW w:w="1746" w:type="dxa"/>
                  <w:shd w:val="clear" w:color="auto" w:fill="D9D9D9" w:themeFill="background1" w:themeFillShade="D9"/>
                  <w:vAlign w:val="center"/>
                </w:tcPr>
                <w:p w14:paraId="2B3F3FEA" w14:textId="000777B6" w:rsidR="00243B24" w:rsidRPr="00737F39" w:rsidRDefault="00243B24" w:rsidP="00737F39">
                  <w:pPr>
                    <w:spacing w:after="0"/>
                    <w:jc w:val="center"/>
                    <w:rPr>
                      <w:rFonts w:eastAsia="Times New Roman" w:cstheme="minorHAnsi"/>
                      <w:b/>
                      <w:bCs/>
                      <w:i/>
                    </w:rPr>
                  </w:pPr>
                </w:p>
              </w:tc>
            </w:tr>
          </w:tbl>
          <w:p w14:paraId="3D3829A1" w14:textId="77777777" w:rsidR="00243B24" w:rsidRPr="000C0268" w:rsidRDefault="00243B24" w:rsidP="00435317">
            <w:pPr>
              <w:autoSpaceDE w:val="0"/>
              <w:autoSpaceDN w:val="0"/>
              <w:adjustRightInd w:val="0"/>
              <w:spacing w:after="0"/>
              <w:rPr>
                <w:rFonts w:cstheme="minorHAnsi"/>
                <w:bCs/>
              </w:rPr>
            </w:pPr>
          </w:p>
          <w:p w14:paraId="4C77BB52" w14:textId="434180CE" w:rsidR="00243B24" w:rsidRPr="000C0268" w:rsidRDefault="00243B24" w:rsidP="006B7A81">
            <w:pPr>
              <w:rPr>
                <w:rFonts w:cstheme="minorHAnsi"/>
                <w:bCs/>
              </w:rPr>
            </w:pPr>
          </w:p>
        </w:tc>
      </w:tr>
    </w:tbl>
    <w:p w14:paraId="50BC1AE1" w14:textId="22547B2A" w:rsidR="00A91549" w:rsidRPr="00732084" w:rsidRDefault="00A91549" w:rsidP="00DC45EE">
      <w:pPr>
        <w:spacing w:after="160" w:line="259" w:lineRule="auto"/>
        <w:rPr>
          <w:rFonts w:cstheme="minorHAnsi"/>
        </w:rPr>
      </w:pPr>
    </w:p>
    <w:sectPr w:rsidR="00A91549" w:rsidRPr="00732084" w:rsidSect="006B7A81">
      <w:headerReference w:type="default" r:id="rId12"/>
      <w:footerReference w:type="default" r:id="rId13"/>
      <w:pgSz w:w="12240" w:h="15840"/>
      <w:pgMar w:top="27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BA2F" w14:textId="77777777" w:rsidR="00A21C74" w:rsidRDefault="00A21C74" w:rsidP="00530498">
      <w:pPr>
        <w:spacing w:after="0"/>
      </w:pPr>
      <w:r>
        <w:separator/>
      </w:r>
    </w:p>
  </w:endnote>
  <w:endnote w:type="continuationSeparator" w:id="0">
    <w:p w14:paraId="637BE7FE" w14:textId="77777777" w:rsidR="00A21C74" w:rsidRDefault="00A21C74" w:rsidP="00530498">
      <w:pPr>
        <w:spacing w:after="0"/>
      </w:pPr>
      <w:r>
        <w:continuationSeparator/>
      </w:r>
    </w:p>
  </w:endnote>
  <w:endnote w:type="continuationNotice" w:id="1">
    <w:p w14:paraId="7DD42087" w14:textId="77777777" w:rsidR="00A21C74" w:rsidRDefault="00A21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285841"/>
      <w:docPartObj>
        <w:docPartGallery w:val="Page Numbers (Bottom of Page)"/>
        <w:docPartUnique/>
      </w:docPartObj>
    </w:sdtPr>
    <w:sdtEndPr>
      <w:rPr>
        <w:noProof/>
      </w:rPr>
    </w:sdtEndPr>
    <w:sdtContent>
      <w:p w14:paraId="4B8B1EC7" w14:textId="5EC39011" w:rsidR="00435317" w:rsidRDefault="0043531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D1B4C60" w14:textId="77777777" w:rsidR="00435317" w:rsidRDefault="0043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7DA7" w14:textId="77777777" w:rsidR="00A21C74" w:rsidRDefault="00A21C74" w:rsidP="00530498">
      <w:pPr>
        <w:spacing w:after="0"/>
      </w:pPr>
      <w:r>
        <w:separator/>
      </w:r>
    </w:p>
  </w:footnote>
  <w:footnote w:type="continuationSeparator" w:id="0">
    <w:p w14:paraId="247A895D" w14:textId="77777777" w:rsidR="00A21C74" w:rsidRDefault="00A21C74" w:rsidP="00530498">
      <w:pPr>
        <w:spacing w:after="0"/>
      </w:pPr>
      <w:r>
        <w:continuationSeparator/>
      </w:r>
    </w:p>
  </w:footnote>
  <w:footnote w:type="continuationNotice" w:id="1">
    <w:p w14:paraId="3F7AE886" w14:textId="77777777" w:rsidR="00A21C74" w:rsidRDefault="00A21C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128" w14:textId="21BD2550" w:rsidR="00435317" w:rsidRDefault="00435317" w:rsidP="00F376E4">
    <w:pPr>
      <w:pStyle w:val="Header"/>
      <w:tabs>
        <w:tab w:val="clear" w:pos="4680"/>
        <w:tab w:val="right" w:pos="9180"/>
        <w:tab w:val="left" w:pos="9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EC2"/>
    <w:multiLevelType w:val="hybridMultilevel"/>
    <w:tmpl w:val="1F987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42E76"/>
    <w:multiLevelType w:val="hybridMultilevel"/>
    <w:tmpl w:val="DB8A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A10A4"/>
    <w:multiLevelType w:val="hybridMultilevel"/>
    <w:tmpl w:val="FB6E3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5745B"/>
    <w:multiLevelType w:val="hybridMultilevel"/>
    <w:tmpl w:val="565EB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3F3426"/>
    <w:multiLevelType w:val="hybridMultilevel"/>
    <w:tmpl w:val="C23CF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612862"/>
    <w:multiLevelType w:val="hybridMultilevel"/>
    <w:tmpl w:val="D4F8C38A"/>
    <w:lvl w:ilvl="0" w:tplc="01DCA60A">
      <w:numFmt w:val="bullet"/>
      <w:lvlText w:val=""/>
      <w:lvlJc w:val="left"/>
      <w:pPr>
        <w:ind w:left="560" w:hanging="360"/>
      </w:pPr>
      <w:rPr>
        <w:rFonts w:ascii="Symbol" w:eastAsia="Symbol" w:hAnsi="Symbol" w:cs="Symbol" w:hint="default"/>
        <w:w w:val="100"/>
        <w:sz w:val="24"/>
        <w:szCs w:val="24"/>
        <w:lang w:val="en-US" w:eastAsia="en-US" w:bidi="en-US"/>
      </w:rPr>
    </w:lvl>
    <w:lvl w:ilvl="1" w:tplc="7760056E">
      <w:numFmt w:val="bullet"/>
      <w:lvlText w:val=""/>
      <w:lvlJc w:val="left"/>
      <w:pPr>
        <w:ind w:left="920" w:hanging="360"/>
      </w:pPr>
      <w:rPr>
        <w:rFonts w:ascii="Symbol" w:eastAsia="Symbol" w:hAnsi="Symbol" w:cs="Symbol" w:hint="default"/>
        <w:w w:val="100"/>
        <w:sz w:val="24"/>
        <w:szCs w:val="24"/>
        <w:lang w:val="en-US" w:eastAsia="en-US" w:bidi="en-US"/>
      </w:rPr>
    </w:lvl>
    <w:lvl w:ilvl="2" w:tplc="B20CE66A">
      <w:numFmt w:val="bullet"/>
      <w:lvlText w:val="•"/>
      <w:lvlJc w:val="left"/>
      <w:pPr>
        <w:ind w:left="920" w:hanging="360"/>
      </w:pPr>
      <w:rPr>
        <w:rFonts w:hint="default"/>
        <w:lang w:val="en-US" w:eastAsia="en-US" w:bidi="en-US"/>
      </w:rPr>
    </w:lvl>
    <w:lvl w:ilvl="3" w:tplc="1D62C2E6">
      <w:numFmt w:val="bullet"/>
      <w:lvlText w:val="•"/>
      <w:lvlJc w:val="left"/>
      <w:pPr>
        <w:ind w:left="2077" w:hanging="360"/>
      </w:pPr>
      <w:rPr>
        <w:rFonts w:hint="default"/>
        <w:lang w:val="en-US" w:eastAsia="en-US" w:bidi="en-US"/>
      </w:rPr>
    </w:lvl>
    <w:lvl w:ilvl="4" w:tplc="80D26C2E">
      <w:numFmt w:val="bullet"/>
      <w:lvlText w:val="•"/>
      <w:lvlJc w:val="left"/>
      <w:pPr>
        <w:ind w:left="3235" w:hanging="360"/>
      </w:pPr>
      <w:rPr>
        <w:rFonts w:hint="default"/>
        <w:lang w:val="en-US" w:eastAsia="en-US" w:bidi="en-US"/>
      </w:rPr>
    </w:lvl>
    <w:lvl w:ilvl="5" w:tplc="BB8EDBE4">
      <w:numFmt w:val="bullet"/>
      <w:lvlText w:val="•"/>
      <w:lvlJc w:val="left"/>
      <w:pPr>
        <w:ind w:left="4392" w:hanging="360"/>
      </w:pPr>
      <w:rPr>
        <w:rFonts w:hint="default"/>
        <w:lang w:val="en-US" w:eastAsia="en-US" w:bidi="en-US"/>
      </w:rPr>
    </w:lvl>
    <w:lvl w:ilvl="6" w:tplc="3EB05766">
      <w:numFmt w:val="bullet"/>
      <w:lvlText w:val="•"/>
      <w:lvlJc w:val="left"/>
      <w:pPr>
        <w:ind w:left="5550" w:hanging="360"/>
      </w:pPr>
      <w:rPr>
        <w:rFonts w:hint="default"/>
        <w:lang w:val="en-US" w:eastAsia="en-US" w:bidi="en-US"/>
      </w:rPr>
    </w:lvl>
    <w:lvl w:ilvl="7" w:tplc="5EB81216">
      <w:numFmt w:val="bullet"/>
      <w:lvlText w:val="•"/>
      <w:lvlJc w:val="left"/>
      <w:pPr>
        <w:ind w:left="6707" w:hanging="360"/>
      </w:pPr>
      <w:rPr>
        <w:rFonts w:hint="default"/>
        <w:lang w:val="en-US" w:eastAsia="en-US" w:bidi="en-US"/>
      </w:rPr>
    </w:lvl>
    <w:lvl w:ilvl="8" w:tplc="3B14B9C4">
      <w:numFmt w:val="bullet"/>
      <w:lvlText w:val="•"/>
      <w:lvlJc w:val="left"/>
      <w:pPr>
        <w:ind w:left="7865" w:hanging="360"/>
      </w:pPr>
      <w:rPr>
        <w:rFonts w:hint="default"/>
        <w:lang w:val="en-US" w:eastAsia="en-US" w:bidi="en-US"/>
      </w:rPr>
    </w:lvl>
  </w:abstractNum>
  <w:abstractNum w:abstractNumId="6" w15:restartNumberingAfterBreak="0">
    <w:nsid w:val="378E78F7"/>
    <w:multiLevelType w:val="hybridMultilevel"/>
    <w:tmpl w:val="FCE22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2B01DD"/>
    <w:multiLevelType w:val="hybridMultilevel"/>
    <w:tmpl w:val="45E4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EF9"/>
    <w:multiLevelType w:val="hybridMultilevel"/>
    <w:tmpl w:val="86781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D35D03"/>
    <w:multiLevelType w:val="hybridMultilevel"/>
    <w:tmpl w:val="67E06FE6"/>
    <w:lvl w:ilvl="0" w:tplc="6B5C1CD6">
      <w:start w:val="1"/>
      <w:numFmt w:val="decimal"/>
      <w:lvlText w:val="%1."/>
      <w:lvlJc w:val="left"/>
      <w:pPr>
        <w:ind w:left="260" w:hanging="260"/>
      </w:pPr>
      <w:rPr>
        <w:rFonts w:hint="default"/>
        <w:b/>
        <w:u w:val="none" w:color="000000"/>
        <w:lang w:val="en-US" w:eastAsia="en-US" w:bidi="en-US"/>
      </w:rPr>
    </w:lvl>
    <w:lvl w:ilvl="1" w:tplc="196A7D74">
      <w:start w:val="1"/>
      <w:numFmt w:val="lowerRoman"/>
      <w:lvlText w:val="%2)"/>
      <w:lvlJc w:val="left"/>
      <w:pPr>
        <w:ind w:left="1107" w:hanging="207"/>
        <w:jc w:val="right"/>
      </w:pPr>
      <w:rPr>
        <w:rFonts w:hint="default"/>
        <w:u w:val="thick" w:color="000000"/>
        <w:lang w:val="en-US" w:eastAsia="en-US" w:bidi="en-US"/>
      </w:rPr>
    </w:lvl>
    <w:lvl w:ilvl="2" w:tplc="2CAC25C0">
      <w:start w:val="2"/>
      <w:numFmt w:val="lowerLetter"/>
      <w:lvlText w:val="%3)"/>
      <w:lvlJc w:val="left"/>
      <w:pPr>
        <w:ind w:left="1914" w:hanging="274"/>
        <w:jc w:val="right"/>
      </w:pPr>
      <w:rPr>
        <w:rFonts w:hint="default"/>
        <w:w w:val="99"/>
        <w:u w:val="thick" w:color="000000"/>
        <w:lang w:val="en-US" w:eastAsia="en-US" w:bidi="en-US"/>
      </w:rPr>
    </w:lvl>
    <w:lvl w:ilvl="3" w:tplc="576AF42A">
      <w:start w:val="1"/>
      <w:numFmt w:val="upperLetter"/>
      <w:lvlText w:val="%4)"/>
      <w:lvlJc w:val="left"/>
      <w:pPr>
        <w:ind w:left="2562" w:hanging="312"/>
        <w:jc w:val="right"/>
      </w:pPr>
      <w:rPr>
        <w:rFonts w:hint="default"/>
        <w:b/>
        <w:w w:val="99"/>
        <w:u w:val="thick" w:color="000000"/>
        <w:lang w:val="en-US" w:eastAsia="en-US" w:bidi="en-US"/>
      </w:rPr>
    </w:lvl>
    <w:lvl w:ilvl="4" w:tplc="D89C6142">
      <w:start w:val="1"/>
      <w:numFmt w:val="decimal"/>
      <w:lvlText w:val="(%5)"/>
      <w:lvlJc w:val="left"/>
      <w:pPr>
        <w:ind w:left="3081" w:hanging="312"/>
      </w:pPr>
      <w:rPr>
        <w:rFonts w:ascii="Times New Roman" w:eastAsia="Times New Roman" w:hAnsi="Times New Roman" w:cs="Times New Roman" w:hint="default"/>
        <w:spacing w:val="-1"/>
        <w:w w:val="99"/>
        <w:sz w:val="24"/>
        <w:szCs w:val="24"/>
        <w:lang w:val="en-US" w:eastAsia="en-US" w:bidi="en-US"/>
      </w:rPr>
    </w:lvl>
    <w:lvl w:ilvl="5" w:tplc="B456E37A">
      <w:start w:val="1"/>
      <w:numFmt w:val="lowerRoman"/>
      <w:lvlText w:val="(%6)."/>
      <w:lvlJc w:val="left"/>
      <w:pPr>
        <w:ind w:left="3801" w:hanging="312"/>
      </w:pPr>
      <w:rPr>
        <w:rFonts w:ascii="Times New Roman" w:eastAsia="Times New Roman" w:hAnsi="Times New Roman" w:cs="Times New Roman" w:hint="default"/>
        <w:spacing w:val="-5"/>
        <w:w w:val="99"/>
        <w:sz w:val="24"/>
        <w:szCs w:val="24"/>
        <w:lang w:val="en-US" w:eastAsia="en-US" w:bidi="en-US"/>
      </w:rPr>
    </w:lvl>
    <w:lvl w:ilvl="6" w:tplc="4A84FDBA">
      <w:numFmt w:val="bullet"/>
      <w:lvlText w:val="•"/>
      <w:lvlJc w:val="left"/>
      <w:pPr>
        <w:ind w:left="2680" w:hanging="312"/>
      </w:pPr>
      <w:rPr>
        <w:rFonts w:hint="default"/>
        <w:lang w:val="en-US" w:eastAsia="en-US" w:bidi="en-US"/>
      </w:rPr>
    </w:lvl>
    <w:lvl w:ilvl="7" w:tplc="574091C6">
      <w:numFmt w:val="bullet"/>
      <w:lvlText w:val="•"/>
      <w:lvlJc w:val="left"/>
      <w:pPr>
        <w:ind w:left="3080" w:hanging="312"/>
      </w:pPr>
      <w:rPr>
        <w:rFonts w:hint="default"/>
        <w:lang w:val="en-US" w:eastAsia="en-US" w:bidi="en-US"/>
      </w:rPr>
    </w:lvl>
    <w:lvl w:ilvl="8" w:tplc="ECB44D92">
      <w:numFmt w:val="bullet"/>
      <w:lvlText w:val="•"/>
      <w:lvlJc w:val="left"/>
      <w:pPr>
        <w:ind w:left="3340" w:hanging="312"/>
      </w:pPr>
      <w:rPr>
        <w:rFonts w:hint="default"/>
        <w:lang w:val="en-US" w:eastAsia="en-US" w:bidi="en-US"/>
      </w:rPr>
    </w:lvl>
  </w:abstractNum>
  <w:abstractNum w:abstractNumId="10" w15:restartNumberingAfterBreak="0">
    <w:nsid w:val="47C769AD"/>
    <w:multiLevelType w:val="hybridMultilevel"/>
    <w:tmpl w:val="BE2A04CC"/>
    <w:lvl w:ilvl="0" w:tplc="04090001">
      <w:start w:val="1"/>
      <w:numFmt w:val="bullet"/>
      <w:lvlText w:val=""/>
      <w:lvlJc w:val="left"/>
      <w:pPr>
        <w:ind w:left="720" w:hanging="360"/>
      </w:pPr>
      <w:rPr>
        <w:rFonts w:ascii="Symbol" w:hAnsi="Symbol" w:hint="default"/>
      </w:rPr>
    </w:lvl>
    <w:lvl w:ilvl="1" w:tplc="0ED8E43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43AC1"/>
    <w:multiLevelType w:val="hybridMultilevel"/>
    <w:tmpl w:val="6E0E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61335"/>
    <w:multiLevelType w:val="hybridMultilevel"/>
    <w:tmpl w:val="735A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5524F"/>
    <w:multiLevelType w:val="hybridMultilevel"/>
    <w:tmpl w:val="90441B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624A84"/>
    <w:multiLevelType w:val="hybridMultilevel"/>
    <w:tmpl w:val="DC44E13C"/>
    <w:lvl w:ilvl="0" w:tplc="B2480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E48A9"/>
    <w:multiLevelType w:val="hybridMultilevel"/>
    <w:tmpl w:val="4984E516"/>
    <w:lvl w:ilvl="0" w:tplc="04090013">
      <w:start w:val="1"/>
      <w:numFmt w:val="upperRoman"/>
      <w:lvlText w:val="%1."/>
      <w:lvlJc w:val="right"/>
      <w:pPr>
        <w:ind w:left="1080" w:hanging="720"/>
      </w:pPr>
      <w:rPr>
        <w:rFonts w:hint="default"/>
        <w:b/>
        <w:bCs/>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43A4B9E"/>
    <w:multiLevelType w:val="hybridMultilevel"/>
    <w:tmpl w:val="6012F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7F0833"/>
    <w:multiLevelType w:val="hybridMultilevel"/>
    <w:tmpl w:val="FCE22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AA400D"/>
    <w:multiLevelType w:val="hybridMultilevel"/>
    <w:tmpl w:val="779E8C0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9" w15:restartNumberingAfterBreak="0">
    <w:nsid w:val="757F6C2F"/>
    <w:multiLevelType w:val="hybridMultilevel"/>
    <w:tmpl w:val="2A487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9559D"/>
    <w:multiLevelType w:val="hybridMultilevel"/>
    <w:tmpl w:val="24CC1AEA"/>
    <w:lvl w:ilvl="0" w:tplc="C284D3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643077">
    <w:abstractNumId w:val="13"/>
  </w:num>
  <w:num w:numId="2" w16cid:durableId="910426368">
    <w:abstractNumId w:val="0"/>
  </w:num>
  <w:num w:numId="3" w16cid:durableId="1144158084">
    <w:abstractNumId w:val="14"/>
  </w:num>
  <w:num w:numId="4" w16cid:durableId="666592480">
    <w:abstractNumId w:val="8"/>
  </w:num>
  <w:num w:numId="5" w16cid:durableId="1302152103">
    <w:abstractNumId w:val="4"/>
  </w:num>
  <w:num w:numId="6" w16cid:durableId="254362474">
    <w:abstractNumId w:val="20"/>
  </w:num>
  <w:num w:numId="7" w16cid:durableId="358624005">
    <w:abstractNumId w:val="6"/>
  </w:num>
  <w:num w:numId="8" w16cid:durableId="804083759">
    <w:abstractNumId w:val="17"/>
  </w:num>
  <w:num w:numId="9" w16cid:durableId="586499439">
    <w:abstractNumId w:val="2"/>
  </w:num>
  <w:num w:numId="10" w16cid:durableId="303316502">
    <w:abstractNumId w:val="10"/>
  </w:num>
  <w:num w:numId="11" w16cid:durableId="1775829839">
    <w:abstractNumId w:val="18"/>
  </w:num>
  <w:num w:numId="12" w16cid:durableId="866212861">
    <w:abstractNumId w:val="3"/>
  </w:num>
  <w:num w:numId="13" w16cid:durableId="1327317774">
    <w:abstractNumId w:val="16"/>
  </w:num>
  <w:num w:numId="14" w16cid:durableId="1849825999">
    <w:abstractNumId w:val="7"/>
  </w:num>
  <w:num w:numId="15" w16cid:durableId="1030452032">
    <w:abstractNumId w:val="19"/>
  </w:num>
  <w:num w:numId="16" w16cid:durableId="1808014776">
    <w:abstractNumId w:val="9"/>
  </w:num>
  <w:num w:numId="17" w16cid:durableId="1629126648">
    <w:abstractNumId w:val="15"/>
  </w:num>
  <w:num w:numId="18" w16cid:durableId="949507194">
    <w:abstractNumId w:val="5"/>
  </w:num>
  <w:num w:numId="19" w16cid:durableId="1753157916">
    <w:abstractNumId w:val="12"/>
  </w:num>
  <w:num w:numId="20" w16cid:durableId="1102917814">
    <w:abstractNumId w:val="11"/>
  </w:num>
  <w:num w:numId="21" w16cid:durableId="188825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14"/>
    <w:rsid w:val="00000874"/>
    <w:rsid w:val="0001271F"/>
    <w:rsid w:val="00015FB6"/>
    <w:rsid w:val="00017571"/>
    <w:rsid w:val="000222CF"/>
    <w:rsid w:val="00022AA0"/>
    <w:rsid w:val="00027F6C"/>
    <w:rsid w:val="00033B70"/>
    <w:rsid w:val="0004129F"/>
    <w:rsid w:val="000479B7"/>
    <w:rsid w:val="00063024"/>
    <w:rsid w:val="00073A96"/>
    <w:rsid w:val="0007734F"/>
    <w:rsid w:val="00082C40"/>
    <w:rsid w:val="00093B5B"/>
    <w:rsid w:val="000A28D6"/>
    <w:rsid w:val="000A7488"/>
    <w:rsid w:val="000B260E"/>
    <w:rsid w:val="000B5934"/>
    <w:rsid w:val="000C0268"/>
    <w:rsid w:val="000E0775"/>
    <w:rsid w:val="000E2F17"/>
    <w:rsid w:val="000E48E3"/>
    <w:rsid w:val="000E4E17"/>
    <w:rsid w:val="000F438D"/>
    <w:rsid w:val="000F5344"/>
    <w:rsid w:val="000F6252"/>
    <w:rsid w:val="000F7427"/>
    <w:rsid w:val="00114A42"/>
    <w:rsid w:val="00144D74"/>
    <w:rsid w:val="00144DB7"/>
    <w:rsid w:val="00150B6B"/>
    <w:rsid w:val="00164624"/>
    <w:rsid w:val="0017707C"/>
    <w:rsid w:val="001820E1"/>
    <w:rsid w:val="0018254D"/>
    <w:rsid w:val="00184BB2"/>
    <w:rsid w:val="00186719"/>
    <w:rsid w:val="00194412"/>
    <w:rsid w:val="00197E98"/>
    <w:rsid w:val="001B05D6"/>
    <w:rsid w:val="001B0B9B"/>
    <w:rsid w:val="001C02CF"/>
    <w:rsid w:val="001C06C3"/>
    <w:rsid w:val="001D09BD"/>
    <w:rsid w:val="001D2A22"/>
    <w:rsid w:val="001E57A4"/>
    <w:rsid w:val="001E7098"/>
    <w:rsid w:val="001F4DBB"/>
    <w:rsid w:val="00214F4B"/>
    <w:rsid w:val="0023318F"/>
    <w:rsid w:val="00243B24"/>
    <w:rsid w:val="002469F5"/>
    <w:rsid w:val="0025301C"/>
    <w:rsid w:val="002574B0"/>
    <w:rsid w:val="002629A2"/>
    <w:rsid w:val="00266E49"/>
    <w:rsid w:val="00271FE2"/>
    <w:rsid w:val="0027425C"/>
    <w:rsid w:val="00280761"/>
    <w:rsid w:val="00283465"/>
    <w:rsid w:val="00297722"/>
    <w:rsid w:val="00297DC0"/>
    <w:rsid w:val="002A5B92"/>
    <w:rsid w:val="002A6E28"/>
    <w:rsid w:val="002B7E7E"/>
    <w:rsid w:val="002C27F5"/>
    <w:rsid w:val="002C6B5D"/>
    <w:rsid w:val="002E3A3A"/>
    <w:rsid w:val="002E45CF"/>
    <w:rsid w:val="002E654D"/>
    <w:rsid w:val="002F7D40"/>
    <w:rsid w:val="00305643"/>
    <w:rsid w:val="0031509A"/>
    <w:rsid w:val="00324BE0"/>
    <w:rsid w:val="00343975"/>
    <w:rsid w:val="003524F3"/>
    <w:rsid w:val="00357035"/>
    <w:rsid w:val="003626B6"/>
    <w:rsid w:val="00382992"/>
    <w:rsid w:val="00384681"/>
    <w:rsid w:val="0039093F"/>
    <w:rsid w:val="00392089"/>
    <w:rsid w:val="003A5220"/>
    <w:rsid w:val="003C0F01"/>
    <w:rsid w:val="003D16E0"/>
    <w:rsid w:val="003D1B95"/>
    <w:rsid w:val="003D2BCE"/>
    <w:rsid w:val="003E4E17"/>
    <w:rsid w:val="003E6840"/>
    <w:rsid w:val="003F3E90"/>
    <w:rsid w:val="003F51AA"/>
    <w:rsid w:val="00403406"/>
    <w:rsid w:val="0040653A"/>
    <w:rsid w:val="0043264D"/>
    <w:rsid w:val="00435317"/>
    <w:rsid w:val="00460B0E"/>
    <w:rsid w:val="00463500"/>
    <w:rsid w:val="00467CBD"/>
    <w:rsid w:val="004A37AC"/>
    <w:rsid w:val="004B491A"/>
    <w:rsid w:val="004D3CF7"/>
    <w:rsid w:val="004E43DD"/>
    <w:rsid w:val="004F44EA"/>
    <w:rsid w:val="00502395"/>
    <w:rsid w:val="00521745"/>
    <w:rsid w:val="005253AB"/>
    <w:rsid w:val="00530498"/>
    <w:rsid w:val="0054089A"/>
    <w:rsid w:val="00554BBB"/>
    <w:rsid w:val="00562393"/>
    <w:rsid w:val="00572575"/>
    <w:rsid w:val="00574A57"/>
    <w:rsid w:val="00575E05"/>
    <w:rsid w:val="00590F86"/>
    <w:rsid w:val="005B77D4"/>
    <w:rsid w:val="005C1718"/>
    <w:rsid w:val="005C1EA6"/>
    <w:rsid w:val="005C2133"/>
    <w:rsid w:val="005D7168"/>
    <w:rsid w:val="005F039F"/>
    <w:rsid w:val="005F13B3"/>
    <w:rsid w:val="00606332"/>
    <w:rsid w:val="00614BCC"/>
    <w:rsid w:val="00615C5F"/>
    <w:rsid w:val="0062096A"/>
    <w:rsid w:val="00637916"/>
    <w:rsid w:val="00640ED9"/>
    <w:rsid w:val="00642F58"/>
    <w:rsid w:val="006446AE"/>
    <w:rsid w:val="00680D2D"/>
    <w:rsid w:val="006900C5"/>
    <w:rsid w:val="006B7A81"/>
    <w:rsid w:val="006B7CE0"/>
    <w:rsid w:val="006E34C5"/>
    <w:rsid w:val="006E388A"/>
    <w:rsid w:val="006F113E"/>
    <w:rsid w:val="006F201F"/>
    <w:rsid w:val="006F61A6"/>
    <w:rsid w:val="006F67D3"/>
    <w:rsid w:val="00700B8F"/>
    <w:rsid w:val="0070681F"/>
    <w:rsid w:val="00706A60"/>
    <w:rsid w:val="0072132C"/>
    <w:rsid w:val="00732084"/>
    <w:rsid w:val="00732722"/>
    <w:rsid w:val="00734243"/>
    <w:rsid w:val="007370D6"/>
    <w:rsid w:val="00737F39"/>
    <w:rsid w:val="007405B0"/>
    <w:rsid w:val="00747F38"/>
    <w:rsid w:val="00750C43"/>
    <w:rsid w:val="00754FAD"/>
    <w:rsid w:val="00756AAE"/>
    <w:rsid w:val="00762E5C"/>
    <w:rsid w:val="0078197E"/>
    <w:rsid w:val="007904E8"/>
    <w:rsid w:val="007B2580"/>
    <w:rsid w:val="007B2F65"/>
    <w:rsid w:val="007D471F"/>
    <w:rsid w:val="007F3B5D"/>
    <w:rsid w:val="008030DF"/>
    <w:rsid w:val="00807984"/>
    <w:rsid w:val="00813453"/>
    <w:rsid w:val="00820574"/>
    <w:rsid w:val="0083371E"/>
    <w:rsid w:val="00837742"/>
    <w:rsid w:val="008410B3"/>
    <w:rsid w:val="00846EFA"/>
    <w:rsid w:val="00850CE6"/>
    <w:rsid w:val="00873382"/>
    <w:rsid w:val="008740E7"/>
    <w:rsid w:val="00880E59"/>
    <w:rsid w:val="008A3BD6"/>
    <w:rsid w:val="008C1CCA"/>
    <w:rsid w:val="008C5830"/>
    <w:rsid w:val="008D289A"/>
    <w:rsid w:val="008D43CA"/>
    <w:rsid w:val="008D48C1"/>
    <w:rsid w:val="008E204C"/>
    <w:rsid w:val="0090108C"/>
    <w:rsid w:val="00915399"/>
    <w:rsid w:val="0091767E"/>
    <w:rsid w:val="00924623"/>
    <w:rsid w:val="009304F6"/>
    <w:rsid w:val="00935B91"/>
    <w:rsid w:val="0093613B"/>
    <w:rsid w:val="00950228"/>
    <w:rsid w:val="00953A17"/>
    <w:rsid w:val="00954511"/>
    <w:rsid w:val="009667BC"/>
    <w:rsid w:val="00972F8E"/>
    <w:rsid w:val="009734C8"/>
    <w:rsid w:val="00986740"/>
    <w:rsid w:val="00992814"/>
    <w:rsid w:val="009935CE"/>
    <w:rsid w:val="009A0CD1"/>
    <w:rsid w:val="009A4FF9"/>
    <w:rsid w:val="009A6489"/>
    <w:rsid w:val="009A7602"/>
    <w:rsid w:val="009B13F3"/>
    <w:rsid w:val="009C31CF"/>
    <w:rsid w:val="009D1657"/>
    <w:rsid w:val="00A0743F"/>
    <w:rsid w:val="00A21C74"/>
    <w:rsid w:val="00A33531"/>
    <w:rsid w:val="00A3406C"/>
    <w:rsid w:val="00A365BD"/>
    <w:rsid w:val="00A5015F"/>
    <w:rsid w:val="00A50BB4"/>
    <w:rsid w:val="00A50D12"/>
    <w:rsid w:val="00A51DDE"/>
    <w:rsid w:val="00A60A29"/>
    <w:rsid w:val="00A67942"/>
    <w:rsid w:val="00A87BFF"/>
    <w:rsid w:val="00A91549"/>
    <w:rsid w:val="00A94ABC"/>
    <w:rsid w:val="00AA49D9"/>
    <w:rsid w:val="00AA501E"/>
    <w:rsid w:val="00AB182F"/>
    <w:rsid w:val="00AC6C4C"/>
    <w:rsid w:val="00AD203D"/>
    <w:rsid w:val="00AD435B"/>
    <w:rsid w:val="00AD5369"/>
    <w:rsid w:val="00AE6BA0"/>
    <w:rsid w:val="00AE76E2"/>
    <w:rsid w:val="00AE7E29"/>
    <w:rsid w:val="00AF612F"/>
    <w:rsid w:val="00AF660A"/>
    <w:rsid w:val="00AF6E71"/>
    <w:rsid w:val="00AF7B8F"/>
    <w:rsid w:val="00B00621"/>
    <w:rsid w:val="00B05B74"/>
    <w:rsid w:val="00B1054C"/>
    <w:rsid w:val="00B112B5"/>
    <w:rsid w:val="00B237D3"/>
    <w:rsid w:val="00B26640"/>
    <w:rsid w:val="00B327BE"/>
    <w:rsid w:val="00B34041"/>
    <w:rsid w:val="00B348DB"/>
    <w:rsid w:val="00B46CE3"/>
    <w:rsid w:val="00B60F96"/>
    <w:rsid w:val="00B61040"/>
    <w:rsid w:val="00B7239C"/>
    <w:rsid w:val="00B73EEA"/>
    <w:rsid w:val="00B76236"/>
    <w:rsid w:val="00B8116A"/>
    <w:rsid w:val="00B876F1"/>
    <w:rsid w:val="00B91B3F"/>
    <w:rsid w:val="00B92E9F"/>
    <w:rsid w:val="00B94193"/>
    <w:rsid w:val="00B96676"/>
    <w:rsid w:val="00B97CBD"/>
    <w:rsid w:val="00BB6057"/>
    <w:rsid w:val="00BD276C"/>
    <w:rsid w:val="00BD5378"/>
    <w:rsid w:val="00BD5617"/>
    <w:rsid w:val="00BE179D"/>
    <w:rsid w:val="00C10AD5"/>
    <w:rsid w:val="00C11E42"/>
    <w:rsid w:val="00C2585D"/>
    <w:rsid w:val="00C32074"/>
    <w:rsid w:val="00C37893"/>
    <w:rsid w:val="00C44B0F"/>
    <w:rsid w:val="00C70762"/>
    <w:rsid w:val="00C74DB5"/>
    <w:rsid w:val="00C80739"/>
    <w:rsid w:val="00C851D5"/>
    <w:rsid w:val="00C877F0"/>
    <w:rsid w:val="00C9444C"/>
    <w:rsid w:val="00C976A1"/>
    <w:rsid w:val="00CA1E16"/>
    <w:rsid w:val="00CA3864"/>
    <w:rsid w:val="00CA7870"/>
    <w:rsid w:val="00CB200B"/>
    <w:rsid w:val="00CB7D57"/>
    <w:rsid w:val="00CC0121"/>
    <w:rsid w:val="00CC0199"/>
    <w:rsid w:val="00CC0501"/>
    <w:rsid w:val="00CC1C7A"/>
    <w:rsid w:val="00CE268A"/>
    <w:rsid w:val="00CF4FD1"/>
    <w:rsid w:val="00D018D6"/>
    <w:rsid w:val="00D10398"/>
    <w:rsid w:val="00D14AAA"/>
    <w:rsid w:val="00D21B49"/>
    <w:rsid w:val="00D31EA4"/>
    <w:rsid w:val="00D37C52"/>
    <w:rsid w:val="00D5146B"/>
    <w:rsid w:val="00D741B2"/>
    <w:rsid w:val="00D77CEF"/>
    <w:rsid w:val="00D86A12"/>
    <w:rsid w:val="00DA7416"/>
    <w:rsid w:val="00DC1E67"/>
    <w:rsid w:val="00DC45EE"/>
    <w:rsid w:val="00DD258F"/>
    <w:rsid w:val="00DD2CDB"/>
    <w:rsid w:val="00DD3967"/>
    <w:rsid w:val="00DF2DB0"/>
    <w:rsid w:val="00E01EEC"/>
    <w:rsid w:val="00E211B2"/>
    <w:rsid w:val="00E413FB"/>
    <w:rsid w:val="00E44245"/>
    <w:rsid w:val="00E460FF"/>
    <w:rsid w:val="00E507A4"/>
    <w:rsid w:val="00E5580B"/>
    <w:rsid w:val="00E61C04"/>
    <w:rsid w:val="00E8206F"/>
    <w:rsid w:val="00E84ACC"/>
    <w:rsid w:val="00E8636B"/>
    <w:rsid w:val="00E90DF7"/>
    <w:rsid w:val="00E94802"/>
    <w:rsid w:val="00E95CEC"/>
    <w:rsid w:val="00E96BA4"/>
    <w:rsid w:val="00EA068D"/>
    <w:rsid w:val="00EA6B0D"/>
    <w:rsid w:val="00EB3775"/>
    <w:rsid w:val="00EB5B01"/>
    <w:rsid w:val="00ED229B"/>
    <w:rsid w:val="00ED47AB"/>
    <w:rsid w:val="00EE18F9"/>
    <w:rsid w:val="00EF1724"/>
    <w:rsid w:val="00EF18BB"/>
    <w:rsid w:val="00EF660D"/>
    <w:rsid w:val="00F03998"/>
    <w:rsid w:val="00F052E0"/>
    <w:rsid w:val="00F31764"/>
    <w:rsid w:val="00F36239"/>
    <w:rsid w:val="00F376E4"/>
    <w:rsid w:val="00F47781"/>
    <w:rsid w:val="00F53DF2"/>
    <w:rsid w:val="00F545B1"/>
    <w:rsid w:val="00F546D4"/>
    <w:rsid w:val="00F55316"/>
    <w:rsid w:val="00F57B22"/>
    <w:rsid w:val="00F6319A"/>
    <w:rsid w:val="00F653F7"/>
    <w:rsid w:val="00F92BCC"/>
    <w:rsid w:val="00FA52B1"/>
    <w:rsid w:val="00FB4CFC"/>
    <w:rsid w:val="00FB5A45"/>
    <w:rsid w:val="00FC7755"/>
    <w:rsid w:val="00FD42BA"/>
    <w:rsid w:val="00FE0547"/>
    <w:rsid w:val="00FE3414"/>
    <w:rsid w:val="00FE61E0"/>
    <w:rsid w:val="00FF758F"/>
    <w:rsid w:val="00FF7AFE"/>
    <w:rsid w:val="0B0AFCDA"/>
    <w:rsid w:val="0C893979"/>
    <w:rsid w:val="128B7EBA"/>
    <w:rsid w:val="12A01E28"/>
    <w:rsid w:val="1442A287"/>
    <w:rsid w:val="223A9A8E"/>
    <w:rsid w:val="22D7DED4"/>
    <w:rsid w:val="23A14945"/>
    <w:rsid w:val="27F1596F"/>
    <w:rsid w:val="292BE24E"/>
    <w:rsid w:val="2B5FFDD0"/>
    <w:rsid w:val="317F720E"/>
    <w:rsid w:val="32479845"/>
    <w:rsid w:val="32C1DEE3"/>
    <w:rsid w:val="3D572016"/>
    <w:rsid w:val="3F11B948"/>
    <w:rsid w:val="414D17B8"/>
    <w:rsid w:val="437B872C"/>
    <w:rsid w:val="45145898"/>
    <w:rsid w:val="489EE6D6"/>
    <w:rsid w:val="4A0980B3"/>
    <w:rsid w:val="4FB1FCC6"/>
    <w:rsid w:val="52E99D88"/>
    <w:rsid w:val="53973A9C"/>
    <w:rsid w:val="5622D1E1"/>
    <w:rsid w:val="5ACA45BE"/>
    <w:rsid w:val="61C449A3"/>
    <w:rsid w:val="61D0BB5E"/>
    <w:rsid w:val="6916F9B9"/>
    <w:rsid w:val="6A04E301"/>
    <w:rsid w:val="6AFF5AD7"/>
    <w:rsid w:val="6BC05DD1"/>
    <w:rsid w:val="6D5C2E32"/>
    <w:rsid w:val="6D6DD848"/>
    <w:rsid w:val="6DD30A58"/>
    <w:rsid w:val="7001F48B"/>
    <w:rsid w:val="721CA0A7"/>
    <w:rsid w:val="736C014A"/>
    <w:rsid w:val="74A0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8A23"/>
  <w15:chartTrackingRefBased/>
  <w15:docId w15:val="{760B998F-F362-4542-8340-81D13F08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98"/>
    <w:pPr>
      <w:spacing w:after="240" w:line="240" w:lineRule="auto"/>
    </w:pPr>
  </w:style>
  <w:style w:type="paragraph" w:styleId="Heading1">
    <w:name w:val="heading 1"/>
    <w:basedOn w:val="Normal"/>
    <w:next w:val="Normal"/>
    <w:link w:val="Heading1Char"/>
    <w:uiPriority w:val="9"/>
    <w:qFormat/>
    <w:rsid w:val="0043264D"/>
    <w:pPr>
      <w:keepNext/>
      <w:keepLines/>
      <w:spacing w:before="120" w:after="0"/>
      <w:outlineLvl w:val="0"/>
    </w:pPr>
    <w:rPr>
      <w:rFonts w:ascii="Arial" w:eastAsiaTheme="majorEastAsia" w:hAnsi="Arial"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3264D"/>
    <w:pPr>
      <w:keepNext/>
      <w:keepLines/>
      <w:spacing w:before="120" w:after="120"/>
      <w:outlineLvl w:val="1"/>
    </w:pPr>
    <w:rPr>
      <w:rFonts w:ascii="Arial" w:eastAsiaTheme="majorEastAsia" w:hAnsi="Arial" w:cstheme="majorBidi"/>
      <w:b/>
      <w:color w:val="44546A" w:themeColor="text2"/>
      <w:sz w:val="26"/>
      <w:szCs w:val="26"/>
    </w:rPr>
  </w:style>
  <w:style w:type="paragraph" w:styleId="Heading3">
    <w:name w:val="heading 3"/>
    <w:basedOn w:val="Normal"/>
    <w:next w:val="Normal"/>
    <w:link w:val="Heading3Char"/>
    <w:uiPriority w:val="9"/>
    <w:unhideWhenUsed/>
    <w:qFormat/>
    <w:rsid w:val="0043264D"/>
    <w:pPr>
      <w:keepNext/>
      <w:keepLines/>
      <w:spacing w:before="120" w:after="120"/>
      <w:ind w:left="360" w:hanging="360"/>
      <w:outlineLvl w:val="2"/>
    </w:pPr>
    <w:rPr>
      <w:rFonts w:ascii="Arial" w:eastAsiaTheme="majorEastAsia" w:hAnsi="Arial"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850C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50C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4D"/>
    <w:rPr>
      <w:rFonts w:ascii="Arial" w:eastAsiaTheme="majorEastAsia" w:hAnsi="Arial" w:cstheme="majorBidi"/>
      <w:b/>
      <w:color w:val="2E74B5" w:themeColor="accent1" w:themeShade="BF"/>
      <w:sz w:val="32"/>
      <w:szCs w:val="32"/>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
    <w:basedOn w:val="Normal"/>
    <w:link w:val="ListParagraphChar"/>
    <w:uiPriority w:val="34"/>
    <w:qFormat/>
    <w:rsid w:val="00992814"/>
    <w:pPr>
      <w:ind w:left="720"/>
      <w:contextualSpacing/>
    </w:pPr>
  </w:style>
  <w:style w:type="character" w:styleId="CommentReference">
    <w:name w:val="annotation reference"/>
    <w:basedOn w:val="DefaultParagraphFont"/>
    <w:uiPriority w:val="99"/>
    <w:semiHidden/>
    <w:unhideWhenUsed/>
    <w:rsid w:val="000F438D"/>
    <w:rPr>
      <w:sz w:val="16"/>
      <w:szCs w:val="16"/>
    </w:rPr>
  </w:style>
  <w:style w:type="paragraph" w:styleId="CommentText">
    <w:name w:val="annotation text"/>
    <w:basedOn w:val="Normal"/>
    <w:link w:val="CommentTextChar"/>
    <w:uiPriority w:val="99"/>
    <w:semiHidden/>
    <w:unhideWhenUsed/>
    <w:rsid w:val="000F438D"/>
    <w:rPr>
      <w:sz w:val="20"/>
      <w:szCs w:val="20"/>
    </w:rPr>
  </w:style>
  <w:style w:type="character" w:customStyle="1" w:styleId="CommentTextChar">
    <w:name w:val="Comment Text Char"/>
    <w:basedOn w:val="DefaultParagraphFont"/>
    <w:link w:val="CommentText"/>
    <w:uiPriority w:val="99"/>
    <w:semiHidden/>
    <w:rsid w:val="000F438D"/>
    <w:rPr>
      <w:sz w:val="20"/>
      <w:szCs w:val="20"/>
    </w:rPr>
  </w:style>
  <w:style w:type="paragraph" w:styleId="CommentSubject">
    <w:name w:val="annotation subject"/>
    <w:basedOn w:val="CommentText"/>
    <w:next w:val="CommentText"/>
    <w:link w:val="CommentSubjectChar"/>
    <w:uiPriority w:val="99"/>
    <w:semiHidden/>
    <w:unhideWhenUsed/>
    <w:rsid w:val="000F438D"/>
    <w:rPr>
      <w:b/>
      <w:bCs/>
    </w:rPr>
  </w:style>
  <w:style w:type="character" w:customStyle="1" w:styleId="CommentSubjectChar">
    <w:name w:val="Comment Subject Char"/>
    <w:basedOn w:val="CommentTextChar"/>
    <w:link w:val="CommentSubject"/>
    <w:uiPriority w:val="99"/>
    <w:semiHidden/>
    <w:rsid w:val="000F438D"/>
    <w:rPr>
      <w:b/>
      <w:bCs/>
      <w:sz w:val="20"/>
      <w:szCs w:val="20"/>
    </w:rPr>
  </w:style>
  <w:style w:type="paragraph" w:styleId="BalloonText">
    <w:name w:val="Balloon Text"/>
    <w:basedOn w:val="Normal"/>
    <w:link w:val="BalloonTextChar"/>
    <w:uiPriority w:val="99"/>
    <w:semiHidden/>
    <w:unhideWhenUsed/>
    <w:rsid w:val="000F43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38D"/>
    <w:rPr>
      <w:rFonts w:ascii="Segoe UI" w:hAnsi="Segoe UI" w:cs="Segoe UI"/>
      <w:sz w:val="18"/>
      <w:szCs w:val="18"/>
    </w:rPr>
  </w:style>
  <w:style w:type="character" w:styleId="Hyperlink">
    <w:name w:val="Hyperlink"/>
    <w:basedOn w:val="DefaultParagraphFont"/>
    <w:uiPriority w:val="99"/>
    <w:unhideWhenUsed/>
    <w:rsid w:val="000F438D"/>
    <w:rPr>
      <w:color w:val="0563C1" w:themeColor="hyperlink"/>
      <w:u w:val="single"/>
    </w:rPr>
  </w:style>
  <w:style w:type="character" w:customStyle="1" w:styleId="Heading2Char">
    <w:name w:val="Heading 2 Char"/>
    <w:basedOn w:val="DefaultParagraphFont"/>
    <w:link w:val="Heading2"/>
    <w:uiPriority w:val="9"/>
    <w:rsid w:val="0043264D"/>
    <w:rPr>
      <w:rFonts w:ascii="Arial" w:eastAsiaTheme="majorEastAsia" w:hAnsi="Arial" w:cstheme="majorBidi"/>
      <w:b/>
      <w:color w:val="44546A" w:themeColor="text2"/>
      <w:sz w:val="26"/>
      <w:szCs w:val="26"/>
    </w:rPr>
  </w:style>
  <w:style w:type="character" w:customStyle="1" w:styleId="Heading3Char">
    <w:name w:val="Heading 3 Char"/>
    <w:basedOn w:val="DefaultParagraphFont"/>
    <w:link w:val="Heading3"/>
    <w:uiPriority w:val="9"/>
    <w:rsid w:val="0043264D"/>
    <w:rPr>
      <w:rFonts w:ascii="Arial" w:eastAsiaTheme="majorEastAsia" w:hAnsi="Arial" w:cstheme="majorBidi"/>
      <w:b/>
      <w:color w:val="2E74B5" w:themeColor="accent1" w:themeShade="BF"/>
      <w:sz w:val="24"/>
      <w:szCs w:val="24"/>
    </w:rPr>
  </w:style>
  <w:style w:type="paragraph" w:styleId="Header">
    <w:name w:val="header"/>
    <w:basedOn w:val="Normal"/>
    <w:link w:val="HeaderChar"/>
    <w:uiPriority w:val="99"/>
    <w:unhideWhenUsed/>
    <w:rsid w:val="00530498"/>
    <w:pPr>
      <w:tabs>
        <w:tab w:val="center" w:pos="4680"/>
        <w:tab w:val="right" w:pos="9360"/>
      </w:tabs>
      <w:spacing w:after="0"/>
    </w:pPr>
  </w:style>
  <w:style w:type="character" w:customStyle="1" w:styleId="HeaderChar">
    <w:name w:val="Header Char"/>
    <w:basedOn w:val="DefaultParagraphFont"/>
    <w:link w:val="Header"/>
    <w:uiPriority w:val="99"/>
    <w:rsid w:val="00530498"/>
  </w:style>
  <w:style w:type="paragraph" w:styleId="Footer">
    <w:name w:val="footer"/>
    <w:basedOn w:val="Normal"/>
    <w:link w:val="FooterChar"/>
    <w:uiPriority w:val="99"/>
    <w:unhideWhenUsed/>
    <w:rsid w:val="00530498"/>
    <w:pPr>
      <w:tabs>
        <w:tab w:val="center" w:pos="4680"/>
        <w:tab w:val="right" w:pos="9360"/>
      </w:tabs>
      <w:spacing w:after="0"/>
    </w:pPr>
  </w:style>
  <w:style w:type="character" w:customStyle="1" w:styleId="FooterChar">
    <w:name w:val="Footer Char"/>
    <w:basedOn w:val="DefaultParagraphFont"/>
    <w:link w:val="Footer"/>
    <w:uiPriority w:val="99"/>
    <w:rsid w:val="00530498"/>
  </w:style>
  <w:style w:type="paragraph" w:styleId="NoSpacing">
    <w:name w:val="No Spacing"/>
    <w:uiPriority w:val="1"/>
    <w:qFormat/>
    <w:rsid w:val="00FB4CFC"/>
    <w:pPr>
      <w:spacing w:after="0" w:line="240" w:lineRule="auto"/>
    </w:pPr>
    <w:rPr>
      <w:color w:val="44546A" w:themeColor="text2"/>
      <w:sz w:val="20"/>
      <w:szCs w:val="20"/>
    </w:rPr>
  </w:style>
  <w:style w:type="paragraph" w:styleId="Title">
    <w:name w:val="Title"/>
    <w:basedOn w:val="Normal"/>
    <w:next w:val="Normal"/>
    <w:link w:val="TitleChar"/>
    <w:uiPriority w:val="10"/>
    <w:qFormat/>
    <w:rsid w:val="0043264D"/>
    <w:pPr>
      <w:spacing w:after="0"/>
      <w:contextualSpacing/>
    </w:pPr>
    <w:rPr>
      <w:rFonts w:ascii="Arial" w:eastAsiaTheme="majorEastAsia" w:hAnsi="Arial" w:cs="Arial"/>
      <w:b/>
      <w:color w:val="44546A" w:themeColor="text2"/>
      <w:spacing w:val="-10"/>
      <w:kern w:val="28"/>
      <w:sz w:val="40"/>
      <w:szCs w:val="56"/>
    </w:rPr>
  </w:style>
  <w:style w:type="character" w:customStyle="1" w:styleId="TitleChar">
    <w:name w:val="Title Char"/>
    <w:basedOn w:val="DefaultParagraphFont"/>
    <w:link w:val="Title"/>
    <w:uiPriority w:val="10"/>
    <w:rsid w:val="0043264D"/>
    <w:rPr>
      <w:rFonts w:ascii="Arial" w:eastAsiaTheme="majorEastAsia" w:hAnsi="Arial" w:cs="Arial"/>
      <w:b/>
      <w:color w:val="44546A" w:themeColor="text2"/>
      <w:spacing w:val="-10"/>
      <w:kern w:val="28"/>
      <w:sz w:val="40"/>
      <w:szCs w:val="56"/>
    </w:rPr>
  </w:style>
  <w:style w:type="paragraph" w:styleId="TOCHeading">
    <w:name w:val="TOC Heading"/>
    <w:basedOn w:val="Heading1"/>
    <w:next w:val="Normal"/>
    <w:uiPriority w:val="39"/>
    <w:unhideWhenUsed/>
    <w:qFormat/>
    <w:rsid w:val="009B13F3"/>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9B13F3"/>
    <w:pPr>
      <w:spacing w:after="100"/>
    </w:pPr>
  </w:style>
  <w:style w:type="paragraph" w:styleId="TOC2">
    <w:name w:val="toc 2"/>
    <w:basedOn w:val="Normal"/>
    <w:next w:val="Normal"/>
    <w:autoRedefine/>
    <w:uiPriority w:val="39"/>
    <w:unhideWhenUsed/>
    <w:rsid w:val="009B13F3"/>
    <w:pPr>
      <w:spacing w:after="100"/>
      <w:ind w:left="220"/>
    </w:pPr>
  </w:style>
  <w:style w:type="paragraph" w:styleId="TOC3">
    <w:name w:val="toc 3"/>
    <w:basedOn w:val="Normal"/>
    <w:next w:val="Normal"/>
    <w:autoRedefine/>
    <w:uiPriority w:val="39"/>
    <w:unhideWhenUsed/>
    <w:rsid w:val="009B13F3"/>
    <w:pPr>
      <w:spacing w:after="100"/>
      <w:ind w:left="440"/>
    </w:pPr>
  </w:style>
  <w:style w:type="character" w:customStyle="1" w:styleId="Heading4Char">
    <w:name w:val="Heading 4 Char"/>
    <w:basedOn w:val="DefaultParagraphFont"/>
    <w:link w:val="Heading4"/>
    <w:uiPriority w:val="9"/>
    <w:rsid w:val="00850CE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50CE6"/>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807984"/>
    <w:rPr>
      <w:color w:val="808080"/>
    </w:rPr>
  </w:style>
  <w:style w:type="paragraph" w:styleId="Revision">
    <w:name w:val="Revision"/>
    <w:hidden/>
    <w:uiPriority w:val="99"/>
    <w:semiHidden/>
    <w:rsid w:val="00F653F7"/>
    <w:pPr>
      <w:spacing w:after="0" w:line="240" w:lineRule="auto"/>
    </w:pPr>
  </w:style>
  <w:style w:type="table" w:styleId="TableGrid">
    <w:name w:val="Table Grid"/>
    <w:basedOn w:val="TableNormal"/>
    <w:uiPriority w:val="39"/>
    <w:rsid w:val="0060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60B0E"/>
    <w:pPr>
      <w:widowControl w:val="0"/>
      <w:autoSpaceDE w:val="0"/>
      <w:autoSpaceDN w:val="0"/>
      <w:spacing w:after="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60B0E"/>
    <w:rPr>
      <w:rFonts w:ascii="Times New Roman" w:eastAsia="Times New Roman" w:hAnsi="Times New Roman" w:cs="Times New Roman"/>
      <w:sz w:val="24"/>
      <w:szCs w:val="24"/>
      <w:lang w:bidi="en-US"/>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locked/>
    <w:rsid w:val="00144D74"/>
  </w:style>
  <w:style w:type="paragraph" w:customStyle="1" w:styleId="TableParagraph">
    <w:name w:val="Table Paragraph"/>
    <w:basedOn w:val="Normal"/>
    <w:uiPriority w:val="1"/>
    <w:qFormat/>
    <w:rsid w:val="00243B24"/>
    <w:pPr>
      <w:widowControl w:val="0"/>
      <w:autoSpaceDE w:val="0"/>
      <w:autoSpaceDN w:val="0"/>
      <w:spacing w:after="0"/>
    </w:pPr>
    <w:rPr>
      <w:rFonts w:ascii="Times New Roman" w:eastAsia="Times New Roman" w:hAnsi="Times New Roman" w:cs="Times New Roman"/>
      <w:lang w:bidi="en-US"/>
    </w:rPr>
  </w:style>
  <w:style w:type="paragraph" w:customStyle="1" w:styleId="Default">
    <w:name w:val="Default"/>
    <w:rsid w:val="00243B2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2021-05-25T00:00:00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8f509ee-0e07-4739-86e5-4c23e80f2294">
      <UserInfo>
        <DisplayName>Lohmeyer, John (FMCSA)</DisplayName>
        <AccountId>937</AccountId>
        <AccountType/>
      </UserInfo>
      <UserInfo>
        <DisplayName>Kelly, Thomas (FMCSA)</DisplayName>
        <AccountId>28</AccountId>
        <AccountType/>
      </UserInfo>
      <UserInfo>
        <DisplayName>Cunningham, Wendy (FMCSA)</DisplayName>
        <AccountId>25</AccountId>
        <AccountType/>
      </UserInfo>
      <UserInfo>
        <DisplayName>Soto, Francisco (FMCSA)</DisplayName>
        <AccountId>95</AccountId>
        <AccountType/>
      </UserInfo>
      <UserInfo>
        <DisplayName>Conroy, Bettina (FMCSA)</DisplayName>
        <AccountId>13</AccountId>
        <AccountType/>
      </UserInfo>
      <UserInfo>
        <DisplayName>Brooks, Montika (FMCSA)</DisplayName>
        <AccountId>510</AccountId>
        <AccountType/>
      </UserInfo>
      <UserInfo>
        <DisplayName>Martin, Thomas C (FMCSA)</DisplayName>
        <AccountId>49</AccountId>
        <AccountType/>
      </UserInfo>
      <UserInfo>
        <DisplayName>Ross, James (FMCSA)</DisplayName>
        <AccountId>76</AccountId>
        <AccountType/>
      </UserInfo>
      <UserInfo>
        <DisplayName>Nelson Jr, Thomas (FMCSA)</DisplayName>
        <AccountId>613</AccountId>
        <AccountType/>
      </UserInfo>
    </SharedWithUsers>
    <lcf76f155ced4ddcb4097134ff3c332f xmlns="0f44cddf-27c8-4f62-9e27-36c83d96c4be">
      <Terms xmlns="http://schemas.microsoft.com/office/infopath/2007/PartnerControls"/>
    </lcf76f155ced4ddcb4097134ff3c332f>
    <TaxCatchAll xmlns="58f509ee-0e07-4739-86e5-4c23e80f2294" xsi:nil="true"/>
    <Commentfromreview xmlns="0f44cddf-27c8-4f62-9e27-36c83d96c4be" xsi:nil="tru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0C1B9B7DDD6664C883AD13CED12E765" ma:contentTypeVersion="20" ma:contentTypeDescription="Create a new document." ma:contentTypeScope="" ma:versionID="d899b6393d12b07c79edfd9fe789a3e4">
  <xsd:schema xmlns:xsd="http://www.w3.org/2001/XMLSchema" xmlns:xs="http://www.w3.org/2001/XMLSchema" xmlns:p="http://schemas.microsoft.com/office/2006/metadata/properties" xmlns:ns2="0f44cddf-27c8-4f62-9e27-36c83d96c4be" xmlns:ns3="58f509ee-0e07-4739-86e5-4c23e80f2294" targetNamespace="http://schemas.microsoft.com/office/2006/metadata/properties" ma:root="true" ma:fieldsID="ec5dbeb75be18b6f39b71437ccce4c52" ns2:_="" ns3:_="">
    <xsd:import namespace="0f44cddf-27c8-4f62-9e27-36c83d96c4be"/>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Commentfromrevie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cddf-27c8-4f62-9e27-36c83d96c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fromreview" ma:index="22" nillable="true" ma:displayName="Comment from review " ma:format="Dropdown" ma:internalName="Commentfromreview">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f641a7-791b-4bc0-a1bb-74a48bba16fd}" ma:internalName="TaxCatchAll" ma:showField="CatchAllData" ma:web="58f509ee-0e07-4739-86e5-4c23e80f2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DD1FDD-C01D-4CB7-A245-3300BF1251D4}">
  <ds:schemaRefs>
    <ds:schemaRef ds:uri="http://schemas.microsoft.com/office/2006/metadata/properties"/>
    <ds:schemaRef ds:uri="http://schemas.microsoft.com/office/infopath/2007/PartnerControls"/>
    <ds:schemaRef ds:uri="58f509ee-0e07-4739-86e5-4c23e80f2294"/>
    <ds:schemaRef ds:uri="0f44cddf-27c8-4f62-9e27-36c83d96c4be"/>
  </ds:schemaRefs>
</ds:datastoreItem>
</file>

<file path=customXml/itemProps3.xml><?xml version="1.0" encoding="utf-8"?>
<ds:datastoreItem xmlns:ds="http://schemas.openxmlformats.org/officeDocument/2006/customXml" ds:itemID="{2EBCF634-F3B1-44D1-BBD4-652518A1D0DD}">
  <ds:schemaRefs>
    <ds:schemaRef ds:uri="http://schemas.microsoft.com/sharepoint/v3/contenttype/forms"/>
  </ds:schemaRefs>
</ds:datastoreItem>
</file>

<file path=customXml/itemProps4.xml><?xml version="1.0" encoding="utf-8"?>
<ds:datastoreItem xmlns:ds="http://schemas.openxmlformats.org/officeDocument/2006/customXml" ds:itemID="{8DDA085F-464D-4ACD-B495-2F884D3B8D56}">
  <ds:schemaRefs>
    <ds:schemaRef ds:uri="http://schemas.openxmlformats.org/officeDocument/2006/bibliography"/>
  </ds:schemaRefs>
</ds:datastoreItem>
</file>

<file path=customXml/itemProps5.xml><?xml version="1.0" encoding="utf-8"?>
<ds:datastoreItem xmlns:ds="http://schemas.openxmlformats.org/officeDocument/2006/customXml" ds:itemID="{8389E7F6-75B7-4179-901C-4D90770D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cddf-27c8-4f62-9e27-36c83d96c4be"/>
    <ds:schemaRef ds:uri="58f509ee-0e07-4739-86e5-4c23e80f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Fiscal Year (FY) 2022High Priority- Commercial Motor Vehicle (HP-CMV) Project Template</vt:lpstr>
    </vt:vector>
  </TitlesOfParts>
  <Company>USDOT-Volpe Center</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(FY) 2022High Priority- Commercial Motor Vehicle (HP-CMV) Project Template</dc:title>
  <dc:subject/>
  <dc:creator>Stowe, Kelly A(Volpe)</dc:creator>
  <cp:keywords/>
  <dc:description/>
  <cp:lastModifiedBy>Shaughnessy, Brendan (FMCSA)</cp:lastModifiedBy>
  <cp:revision>4</cp:revision>
  <dcterms:created xsi:type="dcterms:W3CDTF">2024-11-20T18:56:00Z</dcterms:created>
  <dcterms:modified xsi:type="dcterms:W3CDTF">2025-01-08T18:40:00Z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0x010100B0C1B9B7DDD6664C883AD13CED12E765</vt:lpwstr>
  </property>
  <property fmtid="{D5CDD505-2E9C-101B-9397-08002B2CF9AE}" pid="3" name="MediaServiceImageTags">
    <vt:lpwstr/>
  </property>
</Properties>
</file>