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49226" w14:textId="413AB4AD" w:rsidR="006758BD" w:rsidRPr="008E5C3B" w:rsidRDefault="008227C5" w:rsidP="00C8244A">
      <w:pPr>
        <w:jc w:val="center"/>
        <w:rPr>
          <w:b/>
          <w:color w:val="2F5496" w:themeColor="accent5" w:themeShade="BF"/>
        </w:rPr>
      </w:pPr>
      <w:r w:rsidRPr="008E5C3B">
        <w:rPr>
          <w:b/>
          <w:color w:val="2F5496" w:themeColor="accent5" w:themeShade="BF"/>
        </w:rPr>
        <w:t>BIG</w:t>
      </w:r>
      <w:r w:rsidR="00BD1385" w:rsidRPr="008E5C3B">
        <w:rPr>
          <w:b/>
          <w:color w:val="2F5496" w:themeColor="accent5" w:themeShade="BF"/>
        </w:rPr>
        <w:t>-</w:t>
      </w:r>
      <w:r w:rsidR="00F4263C" w:rsidRPr="008E5C3B">
        <w:rPr>
          <w:b/>
          <w:color w:val="2F5496" w:themeColor="accent5" w:themeShade="BF"/>
        </w:rPr>
        <w:t>ST</w:t>
      </w:r>
      <w:r w:rsidRPr="008E5C3B">
        <w:rPr>
          <w:b/>
          <w:color w:val="2F5496" w:themeColor="accent5" w:themeShade="BF"/>
        </w:rPr>
        <w:t xml:space="preserve"> BAA</w:t>
      </w:r>
      <w:r w:rsidR="00412EE6" w:rsidRPr="008E5C3B">
        <w:rPr>
          <w:b/>
          <w:color w:val="2F5496" w:themeColor="accent5" w:themeShade="BF"/>
        </w:rPr>
        <w:t xml:space="preserve"> (HM0476-</w:t>
      </w:r>
      <w:r w:rsidR="00BD1385" w:rsidRPr="008E5C3B">
        <w:rPr>
          <w:b/>
          <w:color w:val="2F5496" w:themeColor="accent5" w:themeShade="BF"/>
        </w:rPr>
        <w:t>23</w:t>
      </w:r>
      <w:r w:rsidR="00412EE6" w:rsidRPr="008E5C3B">
        <w:rPr>
          <w:b/>
          <w:color w:val="2F5496" w:themeColor="accent5" w:themeShade="BF"/>
        </w:rPr>
        <w:t>-BAA-</w:t>
      </w:r>
      <w:r w:rsidR="00BD1385" w:rsidRPr="008E5C3B">
        <w:rPr>
          <w:b/>
          <w:color w:val="2F5496" w:themeColor="accent5" w:themeShade="BF"/>
        </w:rPr>
        <w:t>0001</w:t>
      </w:r>
      <w:r w:rsidR="00412EE6" w:rsidRPr="008E5C3B">
        <w:rPr>
          <w:b/>
          <w:color w:val="2F5496" w:themeColor="accent5" w:themeShade="BF"/>
        </w:rPr>
        <w:t>)</w:t>
      </w:r>
    </w:p>
    <w:p w14:paraId="0F42175F" w14:textId="744CD046" w:rsidR="00093522" w:rsidRDefault="00093522" w:rsidP="00093522">
      <w:pPr>
        <w:spacing w:after="0" w:line="240" w:lineRule="auto"/>
        <w:jc w:val="center"/>
        <w:rPr>
          <w:rStyle w:val="Strong"/>
          <w:bCs/>
        </w:rPr>
      </w:pPr>
      <w:r w:rsidRPr="00FC292A">
        <w:rPr>
          <w:b/>
        </w:rPr>
        <w:t xml:space="preserve">Topic # </w:t>
      </w:r>
      <w:r w:rsidR="003169C5">
        <w:rPr>
          <w:b/>
        </w:rPr>
        <w:t>02</w:t>
      </w:r>
      <w:r w:rsidR="003169C5" w:rsidRPr="00FC292A">
        <w:rPr>
          <w:b/>
        </w:rPr>
        <w:t xml:space="preserve"> </w:t>
      </w:r>
      <w:r w:rsidRPr="00FC292A">
        <w:rPr>
          <w:b/>
        </w:rPr>
        <w:t>–</w:t>
      </w:r>
      <w:r w:rsidRPr="00FC292A">
        <w:rPr>
          <w:rStyle w:val="Strong"/>
          <w:bCs/>
        </w:rPr>
        <w:t xml:space="preserve"> </w:t>
      </w:r>
      <w:r w:rsidR="00C8244A" w:rsidRPr="00C8244A">
        <w:rPr>
          <w:rStyle w:val="Strong"/>
          <w:bCs/>
        </w:rPr>
        <w:t>Magnifying University Science Expertise (MUSE)</w:t>
      </w:r>
    </w:p>
    <w:p w14:paraId="415E5CED" w14:textId="77777777" w:rsidR="006E063C" w:rsidRPr="00DB4212" w:rsidRDefault="006E063C" w:rsidP="00093522">
      <w:pPr>
        <w:spacing w:after="0" w:line="240" w:lineRule="auto"/>
        <w:jc w:val="center"/>
        <w:rPr>
          <w:sz w:val="14"/>
        </w:rPr>
      </w:pPr>
    </w:p>
    <w:p w14:paraId="20248A90" w14:textId="53B06E7D" w:rsidR="00C8244A" w:rsidRPr="00461711" w:rsidRDefault="00C8244A" w:rsidP="00C8244A">
      <w:pPr>
        <w:rPr>
          <w:color w:val="FF0000"/>
        </w:rPr>
      </w:pPr>
      <w:r w:rsidRPr="00461711">
        <w:rPr>
          <w:color w:val="FF0000"/>
        </w:rPr>
        <w:t>For instructions on submission</w:t>
      </w:r>
      <w:r>
        <w:rPr>
          <w:color w:val="FF0000"/>
        </w:rPr>
        <w:t xml:space="preserve"> of</w:t>
      </w:r>
      <w:r w:rsidRPr="00461711">
        <w:rPr>
          <w:color w:val="FF0000"/>
        </w:rPr>
        <w:t xml:space="preserve"> </w:t>
      </w:r>
      <w:r>
        <w:rPr>
          <w:color w:val="FF0000"/>
        </w:rPr>
        <w:t xml:space="preserve">abstracts and proposals </w:t>
      </w:r>
      <w:r w:rsidRPr="00461711">
        <w:rPr>
          <w:color w:val="FF0000"/>
        </w:rPr>
        <w:t>and evaluation of proposals, please review BIG-ST BAA General Solicitation</w:t>
      </w:r>
      <w:r>
        <w:rPr>
          <w:color w:val="FF0000"/>
        </w:rPr>
        <w:t xml:space="preserve"> (HM047623BAA0001)</w:t>
      </w:r>
      <w:r w:rsidRPr="00461711">
        <w:rPr>
          <w:color w:val="FF0000"/>
        </w:rPr>
        <w:t xml:space="preserve"> and specifically </w:t>
      </w:r>
      <w:r>
        <w:rPr>
          <w:color w:val="FF0000"/>
        </w:rPr>
        <w:t>‘</w:t>
      </w:r>
      <w:r w:rsidRPr="00461711">
        <w:rPr>
          <w:color w:val="FF0000"/>
        </w:rPr>
        <w:t>Appendix 5 - Grants and Cooperative Agreements Proposal Preparation &amp; Submission Instructions</w:t>
      </w:r>
      <w:r>
        <w:rPr>
          <w:color w:val="FF0000"/>
        </w:rPr>
        <w:t>’</w:t>
      </w:r>
      <w:r w:rsidRPr="00461711">
        <w:rPr>
          <w:color w:val="FF0000"/>
        </w:rPr>
        <w:t xml:space="preserve"> which is embedded on page 39 of the </w:t>
      </w:r>
      <w:r>
        <w:rPr>
          <w:color w:val="FF0000"/>
        </w:rPr>
        <w:t>g</w:t>
      </w:r>
      <w:r w:rsidRPr="00461711">
        <w:rPr>
          <w:color w:val="FF0000"/>
        </w:rPr>
        <w:t xml:space="preserve">eneral </w:t>
      </w:r>
      <w:r>
        <w:rPr>
          <w:color w:val="FF0000"/>
        </w:rPr>
        <w:t>s</w:t>
      </w:r>
      <w:r w:rsidRPr="00461711">
        <w:rPr>
          <w:color w:val="FF0000"/>
        </w:rPr>
        <w:t>olicitation file.</w:t>
      </w:r>
    </w:p>
    <w:p w14:paraId="14553787" w14:textId="74E3BECD" w:rsidR="00093522" w:rsidRPr="00FC292A" w:rsidRDefault="00093522" w:rsidP="00093522">
      <w:pPr>
        <w:spacing w:after="40"/>
        <w:outlineLvl w:val="0"/>
        <w:rPr>
          <w:rFonts w:eastAsia="Calibri"/>
          <w:b/>
          <w:color w:val="2F5496"/>
        </w:rPr>
      </w:pPr>
      <w:r w:rsidRPr="00FC292A">
        <w:rPr>
          <w:rFonts w:eastAsia="Calibri"/>
          <w:b/>
          <w:color w:val="2F5496"/>
        </w:rPr>
        <w:t>Document Change History</w:t>
      </w:r>
    </w:p>
    <w:tbl>
      <w:tblPr>
        <w:tblStyle w:val="TableGrid1"/>
        <w:tblW w:w="9481" w:type="dxa"/>
        <w:tblLook w:val="04A0" w:firstRow="1" w:lastRow="0" w:firstColumn="1" w:lastColumn="0" w:noHBand="0" w:noVBand="1"/>
      </w:tblPr>
      <w:tblGrid>
        <w:gridCol w:w="1451"/>
        <w:gridCol w:w="8030"/>
      </w:tblGrid>
      <w:tr w:rsidR="00093522" w:rsidRPr="00FC292A" w14:paraId="13281740" w14:textId="77777777" w:rsidTr="00745A3A">
        <w:trPr>
          <w:trHeight w:val="328"/>
        </w:trPr>
        <w:tc>
          <w:tcPr>
            <w:tcW w:w="1451" w:type="dxa"/>
          </w:tcPr>
          <w:p w14:paraId="243FFA01" w14:textId="77777777" w:rsidR="00093522" w:rsidRPr="00FC292A" w:rsidRDefault="00093522" w:rsidP="00745A3A">
            <w:pPr>
              <w:rPr>
                <w:rFonts w:eastAsia="Calibri"/>
                <w:b/>
              </w:rPr>
            </w:pPr>
            <w:r w:rsidRPr="00FC292A">
              <w:rPr>
                <w:rFonts w:eastAsia="Calibri"/>
                <w:b/>
              </w:rPr>
              <w:t>Date</w:t>
            </w:r>
          </w:p>
        </w:tc>
        <w:tc>
          <w:tcPr>
            <w:tcW w:w="8030" w:type="dxa"/>
          </w:tcPr>
          <w:p w14:paraId="4566C889" w14:textId="77777777" w:rsidR="00093522" w:rsidRPr="00FC292A" w:rsidRDefault="00093522" w:rsidP="00745A3A">
            <w:pPr>
              <w:rPr>
                <w:rFonts w:eastAsia="Calibri"/>
                <w:b/>
              </w:rPr>
            </w:pPr>
            <w:r w:rsidRPr="00FC292A">
              <w:rPr>
                <w:rFonts w:eastAsia="Calibri"/>
                <w:b/>
              </w:rPr>
              <w:t>Description</w:t>
            </w:r>
          </w:p>
        </w:tc>
      </w:tr>
      <w:tr w:rsidR="00093522" w:rsidRPr="00FC292A" w14:paraId="114C508E" w14:textId="77777777" w:rsidTr="00745A3A">
        <w:trPr>
          <w:trHeight w:val="309"/>
        </w:trPr>
        <w:tc>
          <w:tcPr>
            <w:tcW w:w="1451" w:type="dxa"/>
          </w:tcPr>
          <w:p w14:paraId="04109FCF" w14:textId="44E98D13" w:rsidR="00093522" w:rsidRPr="00FC292A" w:rsidRDefault="00042FF5" w:rsidP="00745A3A">
            <w:pPr>
              <w:rPr>
                <w:rFonts w:eastAsia="Calibri"/>
              </w:rPr>
            </w:pPr>
            <w:r>
              <w:rPr>
                <w:rFonts w:eastAsia="Calibri"/>
              </w:rPr>
              <w:t>03/20/2024</w:t>
            </w:r>
          </w:p>
        </w:tc>
        <w:tc>
          <w:tcPr>
            <w:tcW w:w="8030" w:type="dxa"/>
          </w:tcPr>
          <w:p w14:paraId="0CCF8C76" w14:textId="25C13900" w:rsidR="00093522" w:rsidRPr="00FC292A" w:rsidRDefault="00042FF5" w:rsidP="00745A3A">
            <w:pPr>
              <w:rPr>
                <w:rFonts w:eastAsia="Calibri"/>
              </w:rPr>
            </w:pPr>
            <w:r>
              <w:rPr>
                <w:rFonts w:eastAsia="Calibri"/>
              </w:rPr>
              <w:t>Topic Call 02 posted</w:t>
            </w:r>
          </w:p>
        </w:tc>
      </w:tr>
      <w:tr w:rsidR="00093522" w:rsidRPr="00FC292A" w14:paraId="61575497" w14:textId="77777777" w:rsidTr="00745A3A">
        <w:trPr>
          <w:trHeight w:val="309"/>
        </w:trPr>
        <w:tc>
          <w:tcPr>
            <w:tcW w:w="1451" w:type="dxa"/>
          </w:tcPr>
          <w:p w14:paraId="37BB0837" w14:textId="620CA503" w:rsidR="00093522" w:rsidRPr="00FC292A" w:rsidRDefault="00042FF5" w:rsidP="00745A3A">
            <w:pPr>
              <w:rPr>
                <w:rFonts w:eastAsia="Calibri"/>
              </w:rPr>
            </w:pPr>
            <w:r>
              <w:rPr>
                <w:rFonts w:eastAsia="Calibri"/>
              </w:rPr>
              <w:t>04/16/2024</w:t>
            </w:r>
          </w:p>
        </w:tc>
        <w:tc>
          <w:tcPr>
            <w:tcW w:w="8030" w:type="dxa"/>
          </w:tcPr>
          <w:p w14:paraId="3AA05807" w14:textId="77777777" w:rsidR="00042FF5" w:rsidRDefault="00042FF5" w:rsidP="00745A3A">
            <w:pPr>
              <w:rPr>
                <w:rFonts w:eastAsia="Calibri"/>
                <w:highlight w:val="yellow"/>
              </w:rPr>
            </w:pPr>
            <w:r>
              <w:rPr>
                <w:rFonts w:eastAsia="Calibri"/>
                <w:highlight w:val="yellow"/>
              </w:rPr>
              <w:t>Topic Call 02, Revision 1 posted.</w:t>
            </w:r>
          </w:p>
          <w:p w14:paraId="1D36FB67" w14:textId="140CBADD" w:rsidR="00093522" w:rsidRPr="00FC292A" w:rsidRDefault="00042FF5" w:rsidP="00745A3A">
            <w:pPr>
              <w:rPr>
                <w:rFonts w:eastAsia="Calibri"/>
                <w:highlight w:val="yellow"/>
              </w:rPr>
            </w:pPr>
            <w:r>
              <w:rPr>
                <w:rFonts w:eastAsia="Calibri"/>
                <w:highlight w:val="yellow"/>
              </w:rPr>
              <w:t>Budget Section was updated; Appendix 1 - Q&amp;A was added.</w:t>
            </w:r>
          </w:p>
        </w:tc>
      </w:tr>
      <w:tr w:rsidR="00093522" w:rsidRPr="00FC292A" w14:paraId="27570473" w14:textId="77777777" w:rsidTr="00745A3A">
        <w:trPr>
          <w:trHeight w:val="309"/>
        </w:trPr>
        <w:tc>
          <w:tcPr>
            <w:tcW w:w="1451" w:type="dxa"/>
          </w:tcPr>
          <w:p w14:paraId="6E550B34" w14:textId="77777777" w:rsidR="00093522" w:rsidRPr="00FC292A" w:rsidRDefault="00093522" w:rsidP="00745A3A">
            <w:pPr>
              <w:rPr>
                <w:rFonts w:eastAsia="Calibri"/>
              </w:rPr>
            </w:pPr>
          </w:p>
        </w:tc>
        <w:tc>
          <w:tcPr>
            <w:tcW w:w="8030" w:type="dxa"/>
          </w:tcPr>
          <w:p w14:paraId="4F9BCEBD" w14:textId="77777777" w:rsidR="00093522" w:rsidRPr="00FC292A" w:rsidRDefault="00093522" w:rsidP="00745A3A">
            <w:pPr>
              <w:rPr>
                <w:rFonts w:eastAsia="Calibri"/>
              </w:rPr>
            </w:pPr>
          </w:p>
        </w:tc>
      </w:tr>
      <w:tr w:rsidR="00093522" w:rsidRPr="00FC292A" w14:paraId="7A146D5E" w14:textId="77777777" w:rsidTr="00745A3A">
        <w:trPr>
          <w:trHeight w:val="309"/>
        </w:trPr>
        <w:tc>
          <w:tcPr>
            <w:tcW w:w="1451" w:type="dxa"/>
          </w:tcPr>
          <w:p w14:paraId="505276CF" w14:textId="77777777" w:rsidR="00093522" w:rsidRPr="00FC292A" w:rsidRDefault="00093522" w:rsidP="00745A3A">
            <w:pPr>
              <w:rPr>
                <w:rFonts w:eastAsia="Calibri"/>
              </w:rPr>
            </w:pPr>
          </w:p>
        </w:tc>
        <w:tc>
          <w:tcPr>
            <w:tcW w:w="8030" w:type="dxa"/>
          </w:tcPr>
          <w:p w14:paraId="06A4C489" w14:textId="77777777" w:rsidR="00093522" w:rsidRPr="00FC292A" w:rsidRDefault="00093522" w:rsidP="00745A3A">
            <w:pPr>
              <w:rPr>
                <w:rFonts w:eastAsia="Calibri"/>
              </w:rPr>
            </w:pPr>
          </w:p>
        </w:tc>
      </w:tr>
    </w:tbl>
    <w:p w14:paraId="2F01BBA0" w14:textId="77777777" w:rsidR="00093522" w:rsidRPr="00FC292A" w:rsidRDefault="00093522" w:rsidP="00DB4212">
      <w:pPr>
        <w:spacing w:after="0"/>
        <w:rPr>
          <w:b/>
          <w:color w:val="2F5496" w:themeColor="accent5" w:themeShade="BF"/>
        </w:rPr>
      </w:pPr>
    </w:p>
    <w:p w14:paraId="18FE9ED5" w14:textId="77777777" w:rsidR="00BD1385" w:rsidRPr="00FC292A" w:rsidRDefault="00890C3E" w:rsidP="00890C3E">
      <w:pPr>
        <w:rPr>
          <w:color w:val="2F5496" w:themeColor="accent5" w:themeShade="BF"/>
        </w:rPr>
      </w:pPr>
      <w:r w:rsidRPr="00FC292A">
        <w:rPr>
          <w:b/>
          <w:color w:val="2F5496" w:themeColor="accent5" w:themeShade="BF"/>
        </w:rPr>
        <w:t>Title</w:t>
      </w:r>
      <w:r w:rsidRPr="00FC292A">
        <w:rPr>
          <w:color w:val="2F5496" w:themeColor="accent5" w:themeShade="BF"/>
        </w:rPr>
        <w:t xml:space="preserve"> </w:t>
      </w:r>
    </w:p>
    <w:p w14:paraId="3667DFBA" w14:textId="661DD75B" w:rsidR="00890C3E" w:rsidRPr="006E063C" w:rsidRDefault="006E063C" w:rsidP="00890C3E">
      <w:r w:rsidRPr="006E063C">
        <w:t xml:space="preserve">Magnifying University </w:t>
      </w:r>
      <w:r w:rsidR="00D37C21">
        <w:t>Science</w:t>
      </w:r>
      <w:r w:rsidRPr="006E063C">
        <w:t xml:space="preserve"> Expertise (MUSE)</w:t>
      </w:r>
    </w:p>
    <w:p w14:paraId="5C816AC9" w14:textId="490B51BF" w:rsidR="008165BF" w:rsidRPr="00FC292A" w:rsidRDefault="002A0E07" w:rsidP="00412F40">
      <w:r w:rsidRPr="00FC292A">
        <w:rPr>
          <w:rStyle w:val="Strong"/>
          <w:color w:val="2F5496" w:themeColor="accent5" w:themeShade="BF"/>
        </w:rPr>
        <w:t>Expected Awards</w:t>
      </w:r>
      <w:r w:rsidR="00B3528B" w:rsidRPr="00FC292A">
        <w:rPr>
          <w:color w:val="2F5496" w:themeColor="accent5" w:themeShade="BF"/>
        </w:rPr>
        <w:t xml:space="preserve"> </w:t>
      </w:r>
    </w:p>
    <w:p w14:paraId="67EF79BA" w14:textId="1F9631BC" w:rsidR="00A36462" w:rsidRDefault="00A36462" w:rsidP="00A36462">
      <w:r>
        <w:t xml:space="preserve">Intent of this Topic Call is the award of </w:t>
      </w:r>
      <w:r w:rsidR="00312928" w:rsidRPr="002C168F">
        <w:rPr>
          <w:u w:val="single"/>
        </w:rPr>
        <w:t>academic g</w:t>
      </w:r>
      <w:r w:rsidRPr="002C168F">
        <w:rPr>
          <w:u w:val="single"/>
        </w:rPr>
        <w:t>rants</w:t>
      </w:r>
      <w:r w:rsidR="00312928" w:rsidRPr="002C168F">
        <w:rPr>
          <w:u w:val="single"/>
        </w:rPr>
        <w:t xml:space="preserve"> only</w:t>
      </w:r>
      <w:r>
        <w:t>.</w:t>
      </w:r>
    </w:p>
    <w:p w14:paraId="62FDE656" w14:textId="5FFEB6A9" w:rsidR="00F1101D" w:rsidRPr="006E063C" w:rsidRDefault="00F1101D" w:rsidP="00F1101D">
      <w:r w:rsidRPr="006E063C">
        <w:t xml:space="preserve">The Government plans to make </w:t>
      </w:r>
      <w:r w:rsidR="00303EEF">
        <w:t>1</w:t>
      </w:r>
      <w:r w:rsidR="006E063C" w:rsidRPr="006E063C">
        <w:t xml:space="preserve"> – 3 </w:t>
      </w:r>
      <w:r w:rsidRPr="006E063C">
        <w:t>award</w:t>
      </w:r>
      <w:r w:rsidR="006E063C" w:rsidRPr="006E063C">
        <w:t>s</w:t>
      </w:r>
      <w:r w:rsidR="00303EEF">
        <w:t xml:space="preserve"> per </w:t>
      </w:r>
      <w:r w:rsidR="00312928">
        <w:t xml:space="preserve">subject </w:t>
      </w:r>
      <w:r w:rsidR="00303EEF">
        <w:t>area (described below)</w:t>
      </w:r>
      <w:r w:rsidRPr="006E063C">
        <w:t xml:space="preserve">, but may make </w:t>
      </w:r>
      <w:r w:rsidR="006E063C" w:rsidRPr="006E063C">
        <w:t xml:space="preserve">fewer (including possibly none) or more based both on the quality of the submissions and the availability of funding.  </w:t>
      </w:r>
    </w:p>
    <w:p w14:paraId="287BEAB5" w14:textId="42780A38" w:rsidR="009E1B7D" w:rsidRPr="00FC292A" w:rsidRDefault="006406EB" w:rsidP="009E1B7D">
      <w:pPr>
        <w:spacing w:after="40"/>
        <w:outlineLvl w:val="0"/>
        <w:rPr>
          <w:rFonts w:eastAsia="Calibri"/>
        </w:rPr>
      </w:pPr>
      <w:r w:rsidRPr="00FC292A">
        <w:rPr>
          <w:rFonts w:eastAsia="Calibri"/>
          <w:b/>
          <w:color w:val="2F5496"/>
        </w:rPr>
        <w:t>Budget</w:t>
      </w:r>
    </w:p>
    <w:p w14:paraId="5AE77403" w14:textId="36894537" w:rsidR="006406EB" w:rsidRDefault="006406EB" w:rsidP="003169C5">
      <w:pPr>
        <w:rPr>
          <w:rFonts w:eastAsia="Calibri"/>
        </w:rPr>
      </w:pPr>
      <w:r w:rsidRPr="00FC292A">
        <w:rPr>
          <w:rFonts w:eastAsia="Calibri"/>
        </w:rPr>
        <w:t xml:space="preserve">The </w:t>
      </w:r>
      <w:r w:rsidRPr="006E063C">
        <w:rPr>
          <w:rFonts w:eastAsia="Calibri"/>
        </w:rPr>
        <w:t xml:space="preserve">estimated </w:t>
      </w:r>
      <w:r w:rsidR="003169C5">
        <w:rPr>
          <w:rFonts w:eastAsia="Calibri"/>
        </w:rPr>
        <w:t xml:space="preserve">budget </w:t>
      </w:r>
      <w:r w:rsidRPr="006E063C">
        <w:rPr>
          <w:rFonts w:eastAsia="Calibri"/>
        </w:rPr>
        <w:t>range is as follows:</w:t>
      </w:r>
      <w:r w:rsidR="001F5B03" w:rsidRPr="006E063C">
        <w:rPr>
          <w:rFonts w:eastAsia="Calibri"/>
        </w:rPr>
        <w:t xml:space="preserve"> </w:t>
      </w:r>
      <w:r w:rsidR="00A2094F" w:rsidRPr="00DB4212">
        <w:rPr>
          <w:rFonts w:eastAsia="Calibri"/>
        </w:rPr>
        <w:t xml:space="preserve">up to </w:t>
      </w:r>
      <w:r w:rsidR="006E063C" w:rsidRPr="00DB4212">
        <w:rPr>
          <w:rFonts w:eastAsia="Calibri"/>
        </w:rPr>
        <w:t>$</w:t>
      </w:r>
      <w:r w:rsidR="00DA5328" w:rsidRPr="00DB4212">
        <w:rPr>
          <w:rFonts w:eastAsia="Calibri"/>
        </w:rPr>
        <w:t>5</w:t>
      </w:r>
      <w:r w:rsidR="006E063C" w:rsidRPr="00DB4212">
        <w:rPr>
          <w:rFonts w:eastAsia="Calibri"/>
        </w:rPr>
        <w:t xml:space="preserve">00k per </w:t>
      </w:r>
      <w:r w:rsidR="00312928">
        <w:rPr>
          <w:rFonts w:eastAsia="Calibri"/>
        </w:rPr>
        <w:t>grant per year</w:t>
      </w:r>
      <w:r w:rsidR="00312928" w:rsidRPr="00DB4212">
        <w:rPr>
          <w:rFonts w:eastAsia="Calibri"/>
        </w:rPr>
        <w:t xml:space="preserve"> </w:t>
      </w:r>
      <w:r w:rsidR="003169C5" w:rsidRPr="00DB4212">
        <w:rPr>
          <w:rFonts w:eastAsia="Calibri"/>
        </w:rPr>
        <w:t>(with a max</w:t>
      </w:r>
      <w:r w:rsidR="003169C5">
        <w:rPr>
          <w:rFonts w:eastAsia="Calibri"/>
        </w:rPr>
        <w:t>.</w:t>
      </w:r>
      <w:r w:rsidR="003169C5" w:rsidRPr="00DB4212">
        <w:rPr>
          <w:rFonts w:eastAsia="Calibri"/>
        </w:rPr>
        <w:t xml:space="preserve"> of $2.5M per </w:t>
      </w:r>
      <w:r w:rsidR="003169C5">
        <w:rPr>
          <w:rFonts w:eastAsia="Calibri"/>
        </w:rPr>
        <w:t>grant</w:t>
      </w:r>
      <w:r w:rsidR="003169C5" w:rsidRPr="00DB4212">
        <w:rPr>
          <w:rFonts w:eastAsia="Calibri"/>
        </w:rPr>
        <w:t xml:space="preserve"> over a 5-year period).</w:t>
      </w:r>
    </w:p>
    <w:p w14:paraId="363A4602" w14:textId="5233D58A" w:rsidR="00042FF5" w:rsidRPr="00FC292A" w:rsidRDefault="00042FF5" w:rsidP="00042FF5">
      <w:r w:rsidRPr="005F69E4">
        <w:rPr>
          <w:highlight w:val="yellow"/>
        </w:rPr>
        <w:t>Note: While a travel budget is allowed for both subject areas of this topic call, for subject area 2, Geodesy (sections 2.2. and 3.2.2), the travel budget cannot exceed 5% of the overall proposed budget.</w:t>
      </w:r>
    </w:p>
    <w:p w14:paraId="1BF5F7A9" w14:textId="432B651F" w:rsidR="00944992" w:rsidRPr="00FC292A" w:rsidRDefault="00944992" w:rsidP="00412F40">
      <w:pPr>
        <w:rPr>
          <w:rStyle w:val="Strong"/>
        </w:rPr>
      </w:pPr>
      <w:r w:rsidRPr="00FC292A">
        <w:rPr>
          <w:rStyle w:val="Strong"/>
          <w:color w:val="2F5496" w:themeColor="accent5" w:themeShade="BF"/>
        </w:rPr>
        <w:t>Topic Technology Readiness Level (TRL)</w:t>
      </w:r>
      <w:r w:rsidR="000C1350" w:rsidRPr="00FC292A">
        <w:rPr>
          <w:rStyle w:val="Strong"/>
          <w:color w:val="2F5496" w:themeColor="accent5" w:themeShade="BF"/>
        </w:rPr>
        <w:t xml:space="preserve">:  </w:t>
      </w:r>
    </w:p>
    <w:p w14:paraId="6E5A849C" w14:textId="3FD6682E" w:rsidR="00042FF5" w:rsidRDefault="00944992" w:rsidP="003E2643">
      <w:pPr>
        <w:spacing w:after="0"/>
      </w:pPr>
      <w:r w:rsidRPr="00FC292A">
        <w:t xml:space="preserve">This BAA Topic </w:t>
      </w:r>
      <w:r w:rsidR="00312928">
        <w:t xml:space="preserve">is </w:t>
      </w:r>
      <w:r w:rsidRPr="00FC292A">
        <w:t xml:space="preserve">limited to projects that meet Technology Readiness Level (TRL) definitions in </w:t>
      </w:r>
      <w:r w:rsidRPr="006E063C">
        <w:t xml:space="preserve">the TRL range </w:t>
      </w:r>
      <w:r w:rsidR="006E063C" w:rsidRPr="006E063C">
        <w:t>1</w:t>
      </w:r>
      <w:r w:rsidRPr="006E063C">
        <w:t>–</w:t>
      </w:r>
      <w:r w:rsidR="006E063C" w:rsidRPr="006E063C">
        <w:t>6</w:t>
      </w:r>
      <w:r w:rsidRPr="006E063C">
        <w:t xml:space="preserve">. </w:t>
      </w:r>
    </w:p>
    <w:p w14:paraId="1F679038" w14:textId="77777777" w:rsidR="00042FF5" w:rsidRDefault="00042FF5">
      <w:r>
        <w:br w:type="page"/>
      </w:r>
      <w:bookmarkStart w:id="0" w:name="_GoBack"/>
      <w:bookmarkEnd w:id="0"/>
    </w:p>
    <w:p w14:paraId="43B660B2" w14:textId="77777777" w:rsidR="00A52485" w:rsidRPr="0018364B" w:rsidRDefault="003470CA" w:rsidP="003E2643">
      <w:pPr>
        <w:spacing w:after="0"/>
        <w:rPr>
          <w:rStyle w:val="Strong"/>
          <w:color w:val="2F5496" w:themeColor="accent5" w:themeShade="BF"/>
        </w:rPr>
      </w:pPr>
      <w:r w:rsidRPr="0018364B">
        <w:rPr>
          <w:rStyle w:val="Strong"/>
          <w:color w:val="2F5496" w:themeColor="accent5" w:themeShade="BF"/>
        </w:rPr>
        <w:lastRenderedPageBreak/>
        <w:t>Dates</w:t>
      </w:r>
    </w:p>
    <w:p w14:paraId="32E1D860" w14:textId="0DD62B52" w:rsidR="008E0319" w:rsidRPr="00FC292A" w:rsidRDefault="008E0319" w:rsidP="003E2643">
      <w:pPr>
        <w:pStyle w:val="Caption"/>
        <w:tabs>
          <w:tab w:val="left" w:pos="5940"/>
        </w:tabs>
        <w:spacing w:after="0"/>
        <w:rPr>
          <w:i w:val="0"/>
        </w:rPr>
      </w:pPr>
      <w:r w:rsidRPr="00FC292A">
        <w:rPr>
          <w:i w:val="0"/>
          <w:sz w:val="20"/>
          <w:szCs w:val="20"/>
        </w:rPr>
        <w:t>Table 1 Dates</w:t>
      </w:r>
    </w:p>
    <w:tbl>
      <w:tblPr>
        <w:tblStyle w:val="TableGrid"/>
        <w:tblW w:w="0" w:type="auto"/>
        <w:tblLook w:val="04A0" w:firstRow="1" w:lastRow="0" w:firstColumn="1" w:lastColumn="0" w:noHBand="0" w:noVBand="1"/>
      </w:tblPr>
      <w:tblGrid>
        <w:gridCol w:w="2695"/>
        <w:gridCol w:w="3240"/>
      </w:tblGrid>
      <w:tr w:rsidR="003470CA" w:rsidRPr="00FC292A" w14:paraId="0601FC08" w14:textId="77777777" w:rsidTr="00890C3E">
        <w:trPr>
          <w:trHeight w:val="246"/>
        </w:trPr>
        <w:tc>
          <w:tcPr>
            <w:tcW w:w="2695" w:type="dxa"/>
            <w:vAlign w:val="center"/>
          </w:tcPr>
          <w:p w14:paraId="3CAEA60B" w14:textId="77777777" w:rsidR="003470CA" w:rsidRPr="00FC292A" w:rsidRDefault="003470CA" w:rsidP="00890C3E">
            <w:pPr>
              <w:rPr>
                <w:color w:val="000000" w:themeColor="text1"/>
              </w:rPr>
            </w:pPr>
            <w:r w:rsidRPr="00FC292A">
              <w:rPr>
                <w:color w:val="000000" w:themeColor="text1"/>
              </w:rPr>
              <w:t>Topic Posting</w:t>
            </w:r>
          </w:p>
        </w:tc>
        <w:tc>
          <w:tcPr>
            <w:tcW w:w="3240" w:type="dxa"/>
            <w:vAlign w:val="center"/>
          </w:tcPr>
          <w:p w14:paraId="1324CE10" w14:textId="67D6DC53" w:rsidR="003470CA" w:rsidRPr="00587CB3" w:rsidRDefault="00A100A1" w:rsidP="00890C3E">
            <w:r>
              <w:t>20</w:t>
            </w:r>
            <w:r w:rsidR="00F93C6C">
              <w:t xml:space="preserve"> March</w:t>
            </w:r>
            <w:r w:rsidR="004071B6">
              <w:t xml:space="preserve"> 2024</w:t>
            </w:r>
          </w:p>
        </w:tc>
      </w:tr>
      <w:tr w:rsidR="003470CA" w:rsidRPr="00FC292A" w14:paraId="59D3FA84" w14:textId="77777777" w:rsidTr="00890C3E">
        <w:trPr>
          <w:trHeight w:val="246"/>
        </w:trPr>
        <w:tc>
          <w:tcPr>
            <w:tcW w:w="2695" w:type="dxa"/>
            <w:shd w:val="clear" w:color="auto" w:fill="E7E6E6" w:themeFill="background2"/>
            <w:vAlign w:val="center"/>
          </w:tcPr>
          <w:p w14:paraId="152E6592" w14:textId="77777777" w:rsidR="003470CA" w:rsidRPr="00FC292A" w:rsidRDefault="003470CA" w:rsidP="00890C3E">
            <w:pPr>
              <w:rPr>
                <w:b/>
                <w:color w:val="000000" w:themeColor="text1"/>
              </w:rPr>
            </w:pPr>
            <w:r w:rsidRPr="00FC292A">
              <w:rPr>
                <w:b/>
                <w:color w:val="000000" w:themeColor="text1"/>
              </w:rPr>
              <w:t>Questions Due</w:t>
            </w:r>
          </w:p>
        </w:tc>
        <w:tc>
          <w:tcPr>
            <w:tcW w:w="3240" w:type="dxa"/>
            <w:shd w:val="clear" w:color="auto" w:fill="E7E6E6" w:themeFill="background2"/>
            <w:vAlign w:val="center"/>
          </w:tcPr>
          <w:p w14:paraId="2FFB6164" w14:textId="048A3295" w:rsidR="003470CA" w:rsidRPr="00587CB3" w:rsidRDefault="00AA4EC8" w:rsidP="00890C3E">
            <w:r>
              <w:t>0</w:t>
            </w:r>
            <w:r w:rsidR="00A100A1">
              <w:t>2</w:t>
            </w:r>
            <w:r w:rsidR="004071B6" w:rsidRPr="00587CB3">
              <w:t xml:space="preserve"> April 2024 @ 05:00pm ET</w:t>
            </w:r>
          </w:p>
        </w:tc>
      </w:tr>
      <w:tr w:rsidR="003470CA" w:rsidRPr="00FC292A" w14:paraId="59A920BB" w14:textId="77777777" w:rsidTr="00890C3E">
        <w:trPr>
          <w:trHeight w:val="246"/>
        </w:trPr>
        <w:tc>
          <w:tcPr>
            <w:tcW w:w="2695" w:type="dxa"/>
            <w:vAlign w:val="center"/>
          </w:tcPr>
          <w:p w14:paraId="343E74D8" w14:textId="77777777" w:rsidR="003470CA" w:rsidRPr="00FC292A" w:rsidRDefault="003470CA" w:rsidP="00890C3E">
            <w:pPr>
              <w:rPr>
                <w:color w:val="000000" w:themeColor="text1"/>
              </w:rPr>
            </w:pPr>
            <w:r w:rsidRPr="00FC292A">
              <w:rPr>
                <w:color w:val="000000" w:themeColor="text1"/>
              </w:rPr>
              <w:t>Q&amp;A Posting</w:t>
            </w:r>
          </w:p>
        </w:tc>
        <w:tc>
          <w:tcPr>
            <w:tcW w:w="3240" w:type="dxa"/>
            <w:vAlign w:val="center"/>
          </w:tcPr>
          <w:p w14:paraId="5B15429B" w14:textId="16E1382A" w:rsidR="003470CA" w:rsidRPr="00587CB3" w:rsidRDefault="00A100A1" w:rsidP="00890C3E">
            <w:r>
              <w:t>16</w:t>
            </w:r>
            <w:r w:rsidR="00F93C6C">
              <w:t xml:space="preserve"> April 2024</w:t>
            </w:r>
          </w:p>
        </w:tc>
      </w:tr>
      <w:tr w:rsidR="003470CA" w:rsidRPr="00FC292A" w14:paraId="4CC7E4A1" w14:textId="77777777" w:rsidTr="00890C3E">
        <w:trPr>
          <w:trHeight w:val="246"/>
        </w:trPr>
        <w:tc>
          <w:tcPr>
            <w:tcW w:w="2695" w:type="dxa"/>
            <w:shd w:val="clear" w:color="auto" w:fill="E7E6E6" w:themeFill="background2"/>
            <w:vAlign w:val="center"/>
          </w:tcPr>
          <w:p w14:paraId="48597967" w14:textId="77777777" w:rsidR="003470CA" w:rsidRPr="00FC292A" w:rsidRDefault="003470CA" w:rsidP="00890C3E">
            <w:pPr>
              <w:rPr>
                <w:b/>
              </w:rPr>
            </w:pPr>
            <w:r w:rsidRPr="00FC292A">
              <w:rPr>
                <w:b/>
              </w:rPr>
              <w:t>Abstracts Due</w:t>
            </w:r>
          </w:p>
        </w:tc>
        <w:tc>
          <w:tcPr>
            <w:tcW w:w="3240" w:type="dxa"/>
            <w:shd w:val="clear" w:color="auto" w:fill="E7E6E6" w:themeFill="background2"/>
            <w:vAlign w:val="center"/>
          </w:tcPr>
          <w:p w14:paraId="2B934B99" w14:textId="34E13B81" w:rsidR="003470CA" w:rsidRPr="00587CB3" w:rsidRDefault="00A100A1" w:rsidP="00890C3E">
            <w:r>
              <w:t>23</w:t>
            </w:r>
            <w:r w:rsidR="00F93C6C">
              <w:t xml:space="preserve"> </w:t>
            </w:r>
            <w:r w:rsidR="00AA4EC8">
              <w:t>April</w:t>
            </w:r>
            <w:r w:rsidR="00F93C6C">
              <w:t xml:space="preserve"> 2024 </w:t>
            </w:r>
            <w:r w:rsidR="00F93C6C" w:rsidRPr="001B4190">
              <w:t>@ 05:00pm ET</w:t>
            </w:r>
          </w:p>
        </w:tc>
      </w:tr>
      <w:tr w:rsidR="003470CA" w:rsidRPr="00FC292A" w14:paraId="26AC7044" w14:textId="77777777" w:rsidTr="00890C3E">
        <w:trPr>
          <w:trHeight w:val="246"/>
        </w:trPr>
        <w:tc>
          <w:tcPr>
            <w:tcW w:w="2695" w:type="dxa"/>
            <w:vAlign w:val="center"/>
          </w:tcPr>
          <w:p w14:paraId="2B9AC93C" w14:textId="77777777" w:rsidR="003470CA" w:rsidRPr="00FC292A" w:rsidRDefault="003470CA" w:rsidP="00890C3E">
            <w:r w:rsidRPr="00FC292A">
              <w:t>Abstract Feedback</w:t>
            </w:r>
          </w:p>
        </w:tc>
        <w:tc>
          <w:tcPr>
            <w:tcW w:w="3240" w:type="dxa"/>
            <w:vAlign w:val="center"/>
          </w:tcPr>
          <w:p w14:paraId="6C26C6FB" w14:textId="63026ADD" w:rsidR="003470CA" w:rsidRPr="00587CB3" w:rsidRDefault="00A100A1" w:rsidP="00890C3E">
            <w:r>
              <w:t>14</w:t>
            </w:r>
            <w:r w:rsidR="00AA4EC8">
              <w:t xml:space="preserve"> May</w:t>
            </w:r>
            <w:r w:rsidR="00F93C6C">
              <w:t xml:space="preserve"> 2024 </w:t>
            </w:r>
            <w:r w:rsidR="00F93C6C" w:rsidRPr="001B4190">
              <w:t>@ 05:00pm ET</w:t>
            </w:r>
          </w:p>
        </w:tc>
      </w:tr>
      <w:tr w:rsidR="003470CA" w:rsidRPr="00FC292A" w14:paraId="2F674D06" w14:textId="77777777" w:rsidTr="00890C3E">
        <w:trPr>
          <w:trHeight w:val="246"/>
        </w:trPr>
        <w:tc>
          <w:tcPr>
            <w:tcW w:w="2695" w:type="dxa"/>
            <w:shd w:val="clear" w:color="auto" w:fill="E7E6E6" w:themeFill="background2"/>
            <w:vAlign w:val="center"/>
          </w:tcPr>
          <w:p w14:paraId="405B9587" w14:textId="77777777" w:rsidR="003470CA" w:rsidRPr="00FC292A" w:rsidRDefault="003470CA" w:rsidP="00890C3E">
            <w:pPr>
              <w:rPr>
                <w:b/>
              </w:rPr>
            </w:pPr>
            <w:r w:rsidRPr="00FC292A">
              <w:rPr>
                <w:b/>
              </w:rPr>
              <w:t>Proposals Due</w:t>
            </w:r>
          </w:p>
        </w:tc>
        <w:tc>
          <w:tcPr>
            <w:tcW w:w="3240" w:type="dxa"/>
            <w:shd w:val="clear" w:color="auto" w:fill="E7E6E6" w:themeFill="background2"/>
            <w:vAlign w:val="center"/>
          </w:tcPr>
          <w:p w14:paraId="2116A663" w14:textId="36F2C66E" w:rsidR="003470CA" w:rsidRPr="003E2643" w:rsidRDefault="00A100A1" w:rsidP="003E2643">
            <w:r>
              <w:t>07</w:t>
            </w:r>
            <w:r w:rsidR="00360E2B">
              <w:t xml:space="preserve"> June</w:t>
            </w:r>
            <w:r w:rsidR="00F93C6C">
              <w:t xml:space="preserve"> 2024 </w:t>
            </w:r>
            <w:r w:rsidR="00F93C6C" w:rsidRPr="001B4190">
              <w:t>@ 05:00pm ET</w:t>
            </w:r>
          </w:p>
        </w:tc>
      </w:tr>
      <w:tr w:rsidR="003470CA" w:rsidRPr="00FC292A" w14:paraId="2F6A9FE8" w14:textId="77777777" w:rsidTr="00890C3E">
        <w:trPr>
          <w:trHeight w:val="246"/>
        </w:trPr>
        <w:tc>
          <w:tcPr>
            <w:tcW w:w="2695" w:type="dxa"/>
            <w:shd w:val="clear" w:color="auto" w:fill="auto"/>
            <w:vAlign w:val="center"/>
          </w:tcPr>
          <w:p w14:paraId="2902B426" w14:textId="27F22854" w:rsidR="003470CA" w:rsidRPr="00FC292A" w:rsidRDefault="00174C90" w:rsidP="00890C3E">
            <w:pPr>
              <w:spacing w:after="80"/>
              <w:rPr>
                <w:b/>
              </w:rPr>
            </w:pPr>
            <w:bookmarkStart w:id="1" w:name="_Hlk126922047"/>
            <w:r w:rsidRPr="00FC292A">
              <w:rPr>
                <w:rStyle w:val="Strong"/>
                <w:b w:val="0"/>
              </w:rPr>
              <w:t>Estimated Period of Performance Start:</w:t>
            </w:r>
            <w:bookmarkEnd w:id="1"/>
          </w:p>
        </w:tc>
        <w:tc>
          <w:tcPr>
            <w:tcW w:w="3240" w:type="dxa"/>
            <w:shd w:val="clear" w:color="auto" w:fill="auto"/>
            <w:vAlign w:val="center"/>
          </w:tcPr>
          <w:p w14:paraId="67C5EEE4" w14:textId="5FA4506E" w:rsidR="003470CA" w:rsidRPr="00FC292A" w:rsidRDefault="00360E2B" w:rsidP="00890C3E">
            <w:pPr>
              <w:rPr>
                <w:color w:val="FF0000"/>
              </w:rPr>
            </w:pPr>
            <w:r>
              <w:t>01 September 2024</w:t>
            </w:r>
          </w:p>
        </w:tc>
      </w:tr>
    </w:tbl>
    <w:p w14:paraId="2856A090" w14:textId="77777777" w:rsidR="00B806AA" w:rsidRPr="00FC292A" w:rsidRDefault="00B806AA" w:rsidP="002C168F"/>
    <w:p w14:paraId="7379E286" w14:textId="7087BD7E" w:rsidR="001C07E0" w:rsidRPr="00FC292A" w:rsidRDefault="001C07E0" w:rsidP="001C07E0">
      <w:pPr>
        <w:spacing w:after="40"/>
        <w:outlineLvl w:val="0"/>
        <w:rPr>
          <w:b/>
        </w:rPr>
      </w:pPr>
      <w:r w:rsidRPr="00FC292A">
        <w:rPr>
          <w:rFonts w:eastAsia="Calibri"/>
          <w:b/>
          <w:color w:val="2F5496"/>
        </w:rPr>
        <w:t>Point of Contact (POC)</w:t>
      </w:r>
      <w:r w:rsidRPr="00FC292A">
        <w:rPr>
          <w:b/>
        </w:rPr>
        <w:t xml:space="preserve"> </w:t>
      </w:r>
    </w:p>
    <w:p w14:paraId="3835C713" w14:textId="77777777" w:rsidR="00981100" w:rsidRPr="00FC292A" w:rsidRDefault="00981100" w:rsidP="00981100">
      <w:pPr>
        <w:spacing w:after="40"/>
        <w:outlineLvl w:val="0"/>
        <w:rPr>
          <w:rFonts w:eastAsia="Calibri"/>
        </w:rPr>
      </w:pPr>
      <w:r w:rsidRPr="00FC292A">
        <w:rPr>
          <w:rFonts w:eastAsia="Calibri"/>
        </w:rPr>
        <w:t xml:space="preserve">Please send all questions and submissions to the Contracting Officer (CO): Daniela Garavito </w:t>
      </w:r>
    </w:p>
    <w:p w14:paraId="0222E58B" w14:textId="1294ED5E" w:rsidR="00981100" w:rsidRPr="00FC292A" w:rsidRDefault="00981100" w:rsidP="00981100">
      <w:pPr>
        <w:spacing w:after="40"/>
        <w:outlineLvl w:val="0"/>
        <w:rPr>
          <w:rFonts w:eastAsia="Calibri"/>
        </w:rPr>
      </w:pPr>
      <w:r w:rsidRPr="00FC292A">
        <w:rPr>
          <w:rFonts w:eastAsia="Calibri"/>
        </w:rPr>
        <w:t xml:space="preserve">Email Address: </w:t>
      </w:r>
      <w:r w:rsidR="00735E37" w:rsidRPr="00FC292A">
        <w:t>BIGSTBAA@nga.mil</w:t>
      </w:r>
    </w:p>
    <w:p w14:paraId="5BD23C32" w14:textId="2FB8A968" w:rsidR="00890C3E" w:rsidRPr="00FC292A" w:rsidRDefault="00981100" w:rsidP="00981100">
      <w:pPr>
        <w:spacing w:after="40"/>
        <w:outlineLvl w:val="0"/>
        <w:rPr>
          <w:rFonts w:eastAsia="Calibri"/>
        </w:rPr>
      </w:pPr>
      <w:r w:rsidRPr="00FC292A">
        <w:rPr>
          <w:rFonts w:ascii="Segoe UI Symbol" w:eastAsia="Calibri" w:hAnsi="Segoe UI Symbol" w:cs="Segoe UI Symbol"/>
        </w:rPr>
        <w:t>➔</w:t>
      </w:r>
      <w:r w:rsidRPr="00FC292A">
        <w:rPr>
          <w:rFonts w:eastAsia="Calibri"/>
        </w:rPr>
        <w:t xml:space="preserve"> Use the following email subject for all email correspondence: ‘TOPIC </w:t>
      </w:r>
      <w:r w:rsidR="003169C5">
        <w:rPr>
          <w:rFonts w:eastAsia="Calibri"/>
        </w:rPr>
        <w:t>02</w:t>
      </w:r>
      <w:r w:rsidR="003169C5" w:rsidRPr="00FC292A">
        <w:rPr>
          <w:rFonts w:eastAsia="Calibri"/>
        </w:rPr>
        <w:t xml:space="preserve"> </w:t>
      </w:r>
      <w:r w:rsidR="00735E37" w:rsidRPr="00FC292A">
        <w:rPr>
          <w:rFonts w:eastAsia="Calibri"/>
        </w:rPr>
        <w:t>–</w:t>
      </w:r>
      <w:r w:rsidR="003169C5">
        <w:rPr>
          <w:rFonts w:eastAsia="Calibri"/>
        </w:rPr>
        <w:t>MUSE</w:t>
      </w:r>
      <w:r w:rsidRPr="00FC292A">
        <w:rPr>
          <w:rFonts w:eastAsia="Calibri"/>
        </w:rPr>
        <w:t>’</w:t>
      </w:r>
    </w:p>
    <w:p w14:paraId="196985D3" w14:textId="77777777" w:rsidR="00981100" w:rsidRPr="00FC292A" w:rsidRDefault="00981100" w:rsidP="002C168F"/>
    <w:p w14:paraId="2A545F64" w14:textId="452C5C76" w:rsidR="00D3680C" w:rsidRPr="00D40759" w:rsidRDefault="00D3680C" w:rsidP="00F54972">
      <w:pPr>
        <w:pStyle w:val="Heading1"/>
      </w:pPr>
      <w:r w:rsidRPr="00D40759">
        <w:t>Topic Research Opportunity Description</w:t>
      </w:r>
    </w:p>
    <w:p w14:paraId="7347AF88" w14:textId="1FA7A87B" w:rsidR="003169C5" w:rsidRDefault="00312928" w:rsidP="002C168F">
      <w:r>
        <w:t xml:space="preserve">This </w:t>
      </w:r>
      <w:r w:rsidR="00694735">
        <w:t>T</w:t>
      </w:r>
      <w:r>
        <w:t xml:space="preserve">opic </w:t>
      </w:r>
      <w:r w:rsidR="00694735">
        <w:t>C</w:t>
      </w:r>
      <w:r>
        <w:t>all</w:t>
      </w:r>
      <w:r w:rsidR="00C61895">
        <w:t xml:space="preserve"> seeks to </w:t>
      </w:r>
      <w:r w:rsidR="006B0ACB" w:rsidRPr="006B0ACB">
        <w:t>increase the breadth and depth of knowledge to key science and technology areas of need to the geospatial intelligence (GEOINT) community</w:t>
      </w:r>
      <w:r w:rsidR="006B0ACB">
        <w:t xml:space="preserve"> and</w:t>
      </w:r>
      <w:r w:rsidR="006B0ACB" w:rsidRPr="006B0ACB">
        <w:t xml:space="preserve"> </w:t>
      </w:r>
      <w:r w:rsidR="00C61895">
        <w:t>advance the state of practice</w:t>
      </w:r>
      <w:r w:rsidR="00DA5328">
        <w:t xml:space="preserve"> </w:t>
      </w:r>
      <w:r w:rsidR="005B2190">
        <w:t xml:space="preserve">in </w:t>
      </w:r>
      <w:r w:rsidR="00897235">
        <w:t xml:space="preserve">two </w:t>
      </w:r>
      <w:r>
        <w:t xml:space="preserve">subject </w:t>
      </w:r>
      <w:r w:rsidR="00347D81">
        <w:t>area</w:t>
      </w:r>
      <w:r w:rsidR="00C61895">
        <w:t>s</w:t>
      </w:r>
      <w:r w:rsidR="005B2190">
        <w:t xml:space="preserve">: </w:t>
      </w:r>
    </w:p>
    <w:p w14:paraId="0F5152D4" w14:textId="5A47B5C0" w:rsidR="003169C5" w:rsidRPr="009E1BE4" w:rsidRDefault="005B2190" w:rsidP="003169C5">
      <w:pPr>
        <w:pStyle w:val="ListParagraph"/>
        <w:numPr>
          <w:ilvl w:val="0"/>
          <w:numId w:val="32"/>
        </w:numPr>
        <w:rPr>
          <w:color w:val="2F5496" w:themeColor="accent5" w:themeShade="BF"/>
        </w:rPr>
      </w:pPr>
      <w:r w:rsidRPr="009E1BE4">
        <w:rPr>
          <w:color w:val="2F5496" w:themeColor="accent5" w:themeShade="BF"/>
        </w:rPr>
        <w:t>Synthetic Aperture Radar</w:t>
      </w:r>
      <w:r w:rsidR="00C8244A">
        <w:rPr>
          <w:color w:val="2F5496" w:themeColor="accent5" w:themeShade="BF"/>
        </w:rPr>
        <w:t xml:space="preserve"> (SAR)</w:t>
      </w:r>
      <w:r w:rsidRPr="009E1BE4">
        <w:rPr>
          <w:color w:val="2F5496" w:themeColor="accent5" w:themeShade="BF"/>
        </w:rPr>
        <w:t xml:space="preserve"> </w:t>
      </w:r>
    </w:p>
    <w:p w14:paraId="327E2BE4" w14:textId="0C145EB8" w:rsidR="003169C5" w:rsidRPr="009E1BE4" w:rsidRDefault="005B2190" w:rsidP="003169C5">
      <w:pPr>
        <w:pStyle w:val="ListParagraph"/>
        <w:numPr>
          <w:ilvl w:val="0"/>
          <w:numId w:val="32"/>
        </w:numPr>
        <w:rPr>
          <w:color w:val="2F5496" w:themeColor="accent5" w:themeShade="BF"/>
        </w:rPr>
      </w:pPr>
      <w:r w:rsidRPr="009E1BE4">
        <w:rPr>
          <w:color w:val="2F5496" w:themeColor="accent5" w:themeShade="BF"/>
        </w:rPr>
        <w:t>Geodesy</w:t>
      </w:r>
    </w:p>
    <w:p w14:paraId="6B04AAB2" w14:textId="77777777" w:rsidR="008344FE" w:rsidRPr="009E1BE4" w:rsidRDefault="008344FE" w:rsidP="002C168F">
      <w:pPr>
        <w:pStyle w:val="ListParagraph"/>
        <w:ind w:left="1440"/>
        <w:rPr>
          <w:color w:val="2F5496" w:themeColor="accent5" w:themeShade="BF"/>
        </w:rPr>
      </w:pPr>
    </w:p>
    <w:p w14:paraId="0C23A354" w14:textId="5959BA9B" w:rsidR="003060EC" w:rsidRDefault="003060EC" w:rsidP="005A15DC">
      <w:pPr>
        <w:pStyle w:val="Heading1"/>
      </w:pPr>
      <w:r w:rsidRPr="005A15DC">
        <w:t>Background and Purpose</w:t>
      </w:r>
    </w:p>
    <w:p w14:paraId="4A68DA78" w14:textId="5D8CDC03" w:rsidR="00312928" w:rsidRDefault="003612C2" w:rsidP="002C168F">
      <w:r>
        <w:t xml:space="preserve">As stated above, this </w:t>
      </w:r>
      <w:r w:rsidR="00C8244A">
        <w:t>t</w:t>
      </w:r>
      <w:r w:rsidR="00E468C4">
        <w:t xml:space="preserve">opic </w:t>
      </w:r>
      <w:r w:rsidR="00C8244A">
        <w:t>c</w:t>
      </w:r>
      <w:r w:rsidR="00E468C4">
        <w:t xml:space="preserve">all is broken </w:t>
      </w:r>
      <w:r w:rsidR="00312928">
        <w:t xml:space="preserve">out </w:t>
      </w:r>
      <w:r w:rsidR="00E468C4">
        <w:t xml:space="preserve">into </w:t>
      </w:r>
      <w:r w:rsidR="00B80F09">
        <w:t xml:space="preserve">two </w:t>
      </w:r>
      <w:r w:rsidR="00E468C4">
        <w:t xml:space="preserve">different </w:t>
      </w:r>
      <w:r w:rsidR="00312928">
        <w:t xml:space="preserve">subject </w:t>
      </w:r>
      <w:r w:rsidR="00C8244A">
        <w:t>a</w:t>
      </w:r>
      <w:r w:rsidR="00663C50">
        <w:t>rea</w:t>
      </w:r>
      <w:r w:rsidR="007E7385">
        <w:t>s</w:t>
      </w:r>
      <w:r w:rsidR="00312928">
        <w:t xml:space="preserve">, which are </w:t>
      </w:r>
      <w:r w:rsidR="0054325C">
        <w:t xml:space="preserve">detailed in this section and </w:t>
      </w:r>
      <w:r w:rsidR="00C61895">
        <w:t>S</w:t>
      </w:r>
      <w:r w:rsidR="0054325C">
        <w:t xml:space="preserve">ection 3.2.  </w:t>
      </w:r>
    </w:p>
    <w:p w14:paraId="38BB56FB" w14:textId="2BE03A66" w:rsidR="008D66F9" w:rsidRPr="00574D22" w:rsidRDefault="008D66F9" w:rsidP="002C168F">
      <w:r>
        <w:rPr>
          <w:u w:val="single"/>
        </w:rPr>
        <w:t>Each subject area requires the separate submission of an abstract</w:t>
      </w:r>
      <w:r w:rsidR="00E03BB1">
        <w:rPr>
          <w:u w:val="single"/>
        </w:rPr>
        <w:t xml:space="preserve"> and</w:t>
      </w:r>
      <w:r w:rsidR="008344FE">
        <w:rPr>
          <w:u w:val="single"/>
        </w:rPr>
        <w:t xml:space="preserve"> </w:t>
      </w:r>
      <w:r>
        <w:rPr>
          <w:u w:val="single"/>
        </w:rPr>
        <w:t>proposal.</w:t>
      </w:r>
      <w:r w:rsidRPr="00574D22">
        <w:t xml:space="preserve"> Any proposal which attempts to address more than one subject area in a single submission will not be considered.  </w:t>
      </w:r>
    </w:p>
    <w:p w14:paraId="59FF9747" w14:textId="178C4DF8" w:rsidR="00312928" w:rsidRPr="008D66F9" w:rsidRDefault="007B5030" w:rsidP="002C168F">
      <w:r>
        <w:t xml:space="preserve">An institution and a principal investigator </w:t>
      </w:r>
      <w:r w:rsidR="008D66F9">
        <w:t>are permitted to make a submission for</w:t>
      </w:r>
      <w:r w:rsidR="008112C7">
        <w:t xml:space="preserve"> </w:t>
      </w:r>
      <w:r w:rsidR="00312928">
        <w:t xml:space="preserve">more than one subject </w:t>
      </w:r>
      <w:r w:rsidR="008112C7">
        <w:t>area</w:t>
      </w:r>
      <w:r w:rsidR="00312928">
        <w:t xml:space="preserve">. </w:t>
      </w:r>
    </w:p>
    <w:p w14:paraId="1F2B44F2" w14:textId="7FE1346E" w:rsidR="004779BA" w:rsidRDefault="007B5030" w:rsidP="002C168F">
      <w:r w:rsidRPr="007B5030">
        <w:t>Note:</w:t>
      </w:r>
      <w:r>
        <w:rPr>
          <w:u w:val="single"/>
        </w:rPr>
        <w:t xml:space="preserve"> </w:t>
      </w:r>
      <w:r w:rsidR="004779BA" w:rsidRPr="0042365D">
        <w:rPr>
          <w:u w:val="single"/>
        </w:rPr>
        <w:t xml:space="preserve">Abstracts and </w:t>
      </w:r>
      <w:r w:rsidR="00C8244A">
        <w:rPr>
          <w:u w:val="single"/>
        </w:rPr>
        <w:t>p</w:t>
      </w:r>
      <w:r w:rsidR="004779BA" w:rsidRPr="0042365D">
        <w:rPr>
          <w:u w:val="single"/>
        </w:rPr>
        <w:t xml:space="preserve">roposals shall clearly identify which of the </w:t>
      </w:r>
      <w:r w:rsidR="008223D8">
        <w:rPr>
          <w:u w:val="single"/>
        </w:rPr>
        <w:t>two</w:t>
      </w:r>
      <w:r w:rsidR="00EF633D">
        <w:rPr>
          <w:u w:val="single"/>
        </w:rPr>
        <w:t xml:space="preserve"> </w:t>
      </w:r>
      <w:r w:rsidR="008D66F9">
        <w:rPr>
          <w:u w:val="single"/>
        </w:rPr>
        <w:t xml:space="preserve">subject </w:t>
      </w:r>
      <w:r w:rsidR="00C8244A">
        <w:rPr>
          <w:u w:val="single"/>
        </w:rPr>
        <w:t>a</w:t>
      </w:r>
      <w:r>
        <w:rPr>
          <w:u w:val="single"/>
        </w:rPr>
        <w:t xml:space="preserve">reas </w:t>
      </w:r>
      <w:r w:rsidR="002635BB">
        <w:rPr>
          <w:u w:val="single"/>
        </w:rPr>
        <w:t>they are</w:t>
      </w:r>
      <w:r w:rsidR="00DE645E">
        <w:rPr>
          <w:u w:val="single"/>
        </w:rPr>
        <w:t xml:space="preserve"> </w:t>
      </w:r>
      <w:r w:rsidR="008D66F9">
        <w:rPr>
          <w:u w:val="single"/>
        </w:rPr>
        <w:t>address</w:t>
      </w:r>
      <w:r w:rsidR="00DE645E">
        <w:rPr>
          <w:u w:val="single"/>
        </w:rPr>
        <w:t>ing</w:t>
      </w:r>
      <w:r w:rsidR="008D66F9">
        <w:rPr>
          <w:u w:val="single"/>
        </w:rPr>
        <w:t>.</w:t>
      </w:r>
    </w:p>
    <w:p w14:paraId="1F56358D" w14:textId="7DA55BE4" w:rsidR="008344FE" w:rsidRDefault="00BF0B68" w:rsidP="008344FE">
      <w:r>
        <w:t xml:space="preserve">The following sections provide specific information for each of the </w:t>
      </w:r>
      <w:r w:rsidR="008223D8">
        <w:t>two</w:t>
      </w:r>
      <w:r w:rsidR="00EF633D">
        <w:t xml:space="preserve"> </w:t>
      </w:r>
      <w:r w:rsidR="008D66F9">
        <w:t xml:space="preserve">subject </w:t>
      </w:r>
      <w:r w:rsidR="00C8244A">
        <w:t>a</w:t>
      </w:r>
      <w:r w:rsidR="00663C50">
        <w:t>rea</w:t>
      </w:r>
      <w:r>
        <w:t>s.</w:t>
      </w:r>
    </w:p>
    <w:p w14:paraId="63A6EB8C" w14:textId="77777777" w:rsidR="008344FE" w:rsidRDefault="008344FE">
      <w:r>
        <w:br w:type="page"/>
      </w:r>
    </w:p>
    <w:p w14:paraId="1B83FE7A" w14:textId="4C09EDFB" w:rsidR="009D56A3" w:rsidRDefault="008344FE" w:rsidP="003B47A3">
      <w:pPr>
        <w:pStyle w:val="Heading2"/>
        <w:numPr>
          <w:ilvl w:val="1"/>
          <w:numId w:val="52"/>
        </w:numPr>
      </w:pPr>
      <w:r>
        <w:lastRenderedPageBreak/>
        <w:t xml:space="preserve"> </w:t>
      </w:r>
      <w:r w:rsidR="008D66F9">
        <w:t xml:space="preserve">Subject </w:t>
      </w:r>
      <w:r w:rsidR="00CE3922">
        <w:t xml:space="preserve">Area 1: </w:t>
      </w:r>
      <w:r w:rsidR="009D56A3">
        <w:t>Synthetic Aperture Radar</w:t>
      </w:r>
    </w:p>
    <w:p w14:paraId="254A692A" w14:textId="071E040B" w:rsidR="00D62EA4" w:rsidRDefault="00D06A63" w:rsidP="00D62EA4">
      <w:r>
        <w:t xml:space="preserve">Synthetic Aperture Radar (SAR) is a critical imaging domain for intelligence use due to its day &amp; night, all-weather imaging capability. There are many parts of the world that are frequently cloud-covered, and in these places, SAR may be the only way to see what is occurring on the ground.  </w:t>
      </w:r>
      <w:r w:rsidR="00D62EA4">
        <w:t xml:space="preserve">This makes SAR a necessary tool when </w:t>
      </w:r>
      <w:r w:rsidR="00AC6DF9">
        <w:t>an analyst</w:t>
      </w:r>
      <w:r w:rsidR="00D62EA4">
        <w:t xml:space="preserve"> must see what is happening now and can’t wait for ideal conditions, as is the case for many intelligence missions. Simply put, GEOINT would not be nearly as reliable and consistent without SAR.</w:t>
      </w:r>
    </w:p>
    <w:p w14:paraId="37DAB34C" w14:textId="77777777" w:rsidR="00AC6DF9" w:rsidRDefault="00AC6DF9" w:rsidP="00AC6DF9">
      <w:r>
        <w:t>SAR works by transmitting a series of radar pulses from a moving platform at an assumed stationary region of the ground.  Each radar pulse illuminates an area of ground several kilometers wide, and gives a one-dimensional measurement of range. To obtain an image, one can think of either tomographic projection [1], or as measuring the amount of doppler shift between each (assumed stationary) object caused by the motion of the platform [2, 3].  In addition to the references cited above, an excellent overview of SAR and its applications can be found in Ager [4].</w:t>
      </w:r>
    </w:p>
    <w:p w14:paraId="65381CE6" w14:textId="4DD171D8" w:rsidR="00D62EA4" w:rsidRDefault="00D62EA4" w:rsidP="002C168F">
      <w:r>
        <w:t>Beyond the all-weather capability, SAR</w:t>
      </w:r>
      <w:r w:rsidR="00D06A63">
        <w:t xml:space="preserve"> also provides rich data that can be processed in a number of ways to extract features of interest, </w:t>
      </w:r>
      <w:r>
        <w:t xml:space="preserve">even features which are significantly sub-pixel, </w:t>
      </w:r>
      <w:r w:rsidR="00D06A63">
        <w:t xml:space="preserve">and can under some circumstances be a more repeatable imaging modality for automated algorithms to process. </w:t>
      </w:r>
      <w:r>
        <w:t>These have direct applicability to providing automated monitoring and tip/cue to both analysts and other collector</w:t>
      </w:r>
      <w:r w:rsidR="00B303B2">
        <w:t xml:space="preserve">s at speed and scale which is a </w:t>
      </w:r>
      <w:r w:rsidR="00DD7932">
        <w:t>mission/</w:t>
      </w:r>
      <w:r w:rsidR="00B303B2">
        <w:t>mandate that NGA must perform every day</w:t>
      </w:r>
      <w:r>
        <w:t xml:space="preserve">.  </w:t>
      </w:r>
    </w:p>
    <w:p w14:paraId="53FD7454" w14:textId="633325DA" w:rsidR="003E2643" w:rsidRDefault="00D06A63" w:rsidP="002C168F">
      <w:r>
        <w:t>Despite these advantages</w:t>
      </w:r>
      <w:r w:rsidR="00B303B2">
        <w:t>, SAR’s</w:t>
      </w:r>
      <w:r w:rsidR="00D62EA4">
        <w:t xml:space="preserve"> preference among many GEOINT professionals lags well behind </w:t>
      </w:r>
      <w:r w:rsidR="00B303B2">
        <w:t>its optical counterpart. While there will always be imaging modality differences and SAR will never look as normal as optical imagery to</w:t>
      </w:r>
      <w:r w:rsidR="00DB7A76">
        <w:t xml:space="preserve"> the </w:t>
      </w:r>
      <w:r w:rsidR="00B303B2">
        <w:t>human</w:t>
      </w:r>
      <w:r w:rsidR="00AC6DF9">
        <w:t xml:space="preserve"> </w:t>
      </w:r>
      <w:r w:rsidR="00B303B2">
        <w:t xml:space="preserve">eye, we believe that familiarity with SAR is a key </w:t>
      </w:r>
      <w:r w:rsidR="005C4161">
        <w:t xml:space="preserve">reason </w:t>
      </w:r>
      <w:r w:rsidR="006F0804">
        <w:t>for</w:t>
      </w:r>
      <w:r w:rsidR="00B303B2">
        <w:t xml:space="preserve"> this </w:t>
      </w:r>
      <w:r w:rsidR="006F0804">
        <w:t>situation</w:t>
      </w:r>
      <w:r w:rsidR="00B303B2">
        <w:t xml:space="preserve">. This subject therefore seeks to </w:t>
      </w:r>
      <w:r w:rsidR="000109C6">
        <w:t xml:space="preserve">increase </w:t>
      </w:r>
      <w:r w:rsidR="00E819CC">
        <w:t xml:space="preserve">knowledge, </w:t>
      </w:r>
      <w:r w:rsidR="000109C6">
        <w:t xml:space="preserve">exposure, understanding, </w:t>
      </w:r>
      <w:r w:rsidR="00B303B2">
        <w:t>awareness</w:t>
      </w:r>
      <w:r w:rsidR="00AC6DF9">
        <w:t>,</w:t>
      </w:r>
      <w:r w:rsidR="00B303B2">
        <w:t xml:space="preserve"> and familiarity of SAR </w:t>
      </w:r>
      <w:r w:rsidR="009B7EE2">
        <w:t>in</w:t>
      </w:r>
      <w:r w:rsidR="00B303B2">
        <w:t xml:space="preserve"> the next generation of GEOINT professionals, thereby increasing use and adoption of this imaging modality </w:t>
      </w:r>
      <w:r w:rsidR="00E819CC">
        <w:t xml:space="preserve">on </w:t>
      </w:r>
      <w:r w:rsidR="00B303B2">
        <w:t>which NGA and its GEOINT partners rel</w:t>
      </w:r>
      <w:r w:rsidR="00AC6DF9">
        <w:t>y</w:t>
      </w:r>
      <w:r w:rsidR="00B303B2">
        <w:t xml:space="preserve"> on extensively, </w:t>
      </w:r>
      <w:r w:rsidR="000109C6">
        <w:t xml:space="preserve">thus </w:t>
      </w:r>
      <w:r w:rsidR="00B303B2">
        <w:t xml:space="preserve">reducing in-house training NGA and its partners must provide to new hires. </w:t>
      </w:r>
    </w:p>
    <w:p w14:paraId="3C40132F" w14:textId="77777777" w:rsidR="003E2643" w:rsidRDefault="003E2643">
      <w:r>
        <w:br w:type="page"/>
      </w:r>
    </w:p>
    <w:p w14:paraId="0B86E250" w14:textId="33894359" w:rsidR="00CA55A5" w:rsidRDefault="00401FEB" w:rsidP="003B47A3">
      <w:pPr>
        <w:pStyle w:val="Heading2"/>
        <w:numPr>
          <w:ilvl w:val="1"/>
          <w:numId w:val="52"/>
        </w:numPr>
      </w:pPr>
      <w:r>
        <w:lastRenderedPageBreak/>
        <w:t xml:space="preserve"> </w:t>
      </w:r>
      <w:r w:rsidR="008D66F9">
        <w:t>Subject</w:t>
      </w:r>
      <w:r w:rsidR="00CE3922">
        <w:t xml:space="preserve"> Area 2: </w:t>
      </w:r>
      <w:r w:rsidR="00CA55A5">
        <w:t>Geodesy</w:t>
      </w:r>
    </w:p>
    <w:p w14:paraId="5878DE27" w14:textId="77777777" w:rsidR="003E2906" w:rsidRDefault="003E2906" w:rsidP="002C168F">
      <w:r>
        <w:t xml:space="preserve">The Geodesy mission of the NGA’s Mapping, Charting and Geodesy (MC&amp;G) domain </w:t>
      </w:r>
      <w:r w:rsidRPr="00C47436">
        <w:t xml:space="preserve">is to </w:t>
      </w:r>
      <w:r>
        <w:t xml:space="preserve">better understand the earth to improve navigation, mapping, charting, tides, and geodetic products as called out in U.S. Code Title 10, Subtitle A, Part 1, Chapter 22. </w:t>
      </w:r>
      <w:r w:rsidRPr="004D1910">
        <w:t>T</w:t>
      </w:r>
      <w:r>
        <w:t>o address this mission,</w:t>
      </w:r>
      <w:r w:rsidRPr="004D1910">
        <w:t xml:space="preserve"> NGA</w:t>
      </w:r>
      <w:r>
        <w:t xml:space="preserve"> created the</w:t>
      </w:r>
      <w:r w:rsidRPr="004D1910">
        <w:t xml:space="preserve"> World Geodetic System (WGS)</w:t>
      </w:r>
      <w:r>
        <w:t>. NGA’s WGS</w:t>
      </w:r>
      <w:r w:rsidRPr="004D1910">
        <w:t xml:space="preserve"> is a system of geodetic systems; at its heart is the terrestrial reference frame (TRF). The Earth Gravitational Model 2008 (EGM2008), and World Magnetic Model (WMM) are two geodetic models within WGS. Future WGS iterations could contain new models of plate motion and tides (both solid earth and ocean).</w:t>
      </w:r>
    </w:p>
    <w:p w14:paraId="418E86C8" w14:textId="21C688BF" w:rsidR="004D1910" w:rsidRPr="004D1910" w:rsidRDefault="004D1910" w:rsidP="002C168F">
      <w:r w:rsidRPr="004D1910">
        <w:t xml:space="preserve">Geodesy is the science that studies the size, shape, and orientation of the earth in space, its gravity field, and how its shape and orientation, in relation to the stars and the earth’s gravity field, are changing over time. The earth’s orientation and motion through space is defined relative to the stars that are in the celestial sphere. A location in this celestial sphere is defined in terms of its coordinates in the Celestial Reference Frame (CRF), similar to the earth’s latitude and longitude system used to plot positions within the Terrestrial Reference Frame (TRF) for points residing on a reference ellipsoid. </w:t>
      </w:r>
    </w:p>
    <w:p w14:paraId="13D57FC0" w14:textId="77777777" w:rsidR="004D1910" w:rsidRPr="004D1910" w:rsidRDefault="004D1910" w:rsidP="002C168F">
      <w:r w:rsidRPr="004D1910">
        <w:t xml:space="preserve">While geodetic science is a very old, dating back to the ancient Greeks trying to understand the size and shape of the earth, it is a very important and highly relevant science today, when over 4 billion users rely on the Global Positioning System (GPS) each day to determine their position on earth. It is because of the desire to accurately determine one’s position, and understand our planet and its temporal evolution, that geodesy is one of the few science disciplines that cares about accuracies of parts per billion. </w:t>
      </w:r>
    </w:p>
    <w:p w14:paraId="416DD40E" w14:textId="3404F0A7" w:rsidR="003E2643" w:rsidRDefault="004D1910" w:rsidP="002C168F">
      <w:r w:rsidRPr="004D1910">
        <w:t>Although the relative importance of geodetic sciences to modern society has been on the increase over the past couple of decades, the research conducted, and the number of students being trained in geodetic sciences has greatly declined in U</w:t>
      </w:r>
      <w:r w:rsidR="008344FE">
        <w:t>.</w:t>
      </w:r>
      <w:r w:rsidRPr="004D1910">
        <w:t>S</w:t>
      </w:r>
      <w:r w:rsidR="008344FE">
        <w:t>.</w:t>
      </w:r>
      <w:r w:rsidRPr="004D1910">
        <w:t xml:space="preserve"> colleges and universities, jeopardizing future advancements and the future geodetic sciences workforce in the United States. U</w:t>
      </w:r>
      <w:r w:rsidR="008D66F9">
        <w:t>.</w:t>
      </w:r>
      <w:r w:rsidRPr="004D1910">
        <w:t>S</w:t>
      </w:r>
      <w:r w:rsidR="008D66F9">
        <w:t>.</w:t>
      </w:r>
      <w:r w:rsidRPr="004D1910">
        <w:t xml:space="preserve"> government agencies involved in geodetic research and development are finding it harder to recruit personnel that is highly educated and skilled in geodetic work.</w:t>
      </w:r>
    </w:p>
    <w:p w14:paraId="3C911916" w14:textId="77777777" w:rsidR="003E2643" w:rsidRDefault="003E2643">
      <w:r>
        <w:br w:type="page"/>
      </w:r>
    </w:p>
    <w:p w14:paraId="681B9975" w14:textId="364C31AF" w:rsidR="008A19C0" w:rsidRDefault="003060EC" w:rsidP="005A15DC">
      <w:pPr>
        <w:pStyle w:val="Heading1"/>
      </w:pPr>
      <w:r w:rsidRPr="005A15DC">
        <w:lastRenderedPageBreak/>
        <w:t xml:space="preserve">Project Structure/Scope </w:t>
      </w:r>
    </w:p>
    <w:p w14:paraId="16404723" w14:textId="4309818C" w:rsidR="0038725F" w:rsidRDefault="001A4D08" w:rsidP="00962D74">
      <w:r>
        <w:t xml:space="preserve">Proposers have considerable latitude to construct their project to match their individual objectives, provided they achieve the goals set out </w:t>
      </w:r>
      <w:r w:rsidR="008A5D4F">
        <w:t xml:space="preserve">for </w:t>
      </w:r>
      <w:r w:rsidR="00D21EB1">
        <w:t xml:space="preserve">each </w:t>
      </w:r>
      <w:r w:rsidR="008D66F9">
        <w:t>subject</w:t>
      </w:r>
      <w:r w:rsidR="00D21EB1">
        <w:t xml:space="preserve"> area, as discussed in </w:t>
      </w:r>
      <w:r w:rsidR="00C8244A">
        <w:t xml:space="preserve">section </w:t>
      </w:r>
      <w:r w:rsidR="00D21EB1">
        <w:t>3.2</w:t>
      </w:r>
      <w:r w:rsidR="008A5D4F">
        <w:t>.  T</w:t>
      </w:r>
      <w:r w:rsidR="0038725F">
        <w:t xml:space="preserve">he proposal </w:t>
      </w:r>
      <w:r w:rsidR="003E242B">
        <w:t xml:space="preserve">shall </w:t>
      </w:r>
      <w:r w:rsidR="0038725F" w:rsidRPr="009A03C0">
        <w:t>provide a clear breakdown of what the</w:t>
      </w:r>
      <w:r w:rsidR="00BA4626" w:rsidRPr="009A03C0">
        <w:t xml:space="preserve"> proposer</w:t>
      </w:r>
      <w:r w:rsidR="0038725F" w:rsidRPr="009A03C0">
        <w:t xml:space="preserve"> intend</w:t>
      </w:r>
      <w:r w:rsidR="00BA4626" w:rsidRPr="009A03C0">
        <w:t>s</w:t>
      </w:r>
      <w:r w:rsidR="0038725F" w:rsidRPr="009A03C0">
        <w:t xml:space="preserve"> to pursue </w:t>
      </w:r>
      <w:r w:rsidR="00B92F88">
        <w:t xml:space="preserve">in </w:t>
      </w:r>
      <w:r w:rsidR="007E7385">
        <w:t>each award year</w:t>
      </w:r>
      <w:r w:rsidR="0038725F">
        <w:t xml:space="preserve">, along with a schedule </w:t>
      </w:r>
      <w:r w:rsidR="00C8244A">
        <w:t xml:space="preserve">and detailed milestones </w:t>
      </w:r>
      <w:r w:rsidR="0038725F">
        <w:t>for these activities</w:t>
      </w:r>
      <w:r w:rsidR="007E7385">
        <w:t>.</w:t>
      </w:r>
      <w:r w:rsidR="0038725F">
        <w:t xml:space="preserve"> </w:t>
      </w:r>
    </w:p>
    <w:p w14:paraId="7C3ACA3C" w14:textId="3F291CE0" w:rsidR="00597FB0" w:rsidRDefault="00F73837" w:rsidP="003B47A3">
      <w:pPr>
        <w:pStyle w:val="Heading2"/>
      </w:pPr>
      <w:r>
        <w:t xml:space="preserve">3.1 </w:t>
      </w:r>
      <w:r w:rsidR="0090783C">
        <w:t>Overarching Proposal Requirements</w:t>
      </w:r>
    </w:p>
    <w:p w14:paraId="36CFD3DC" w14:textId="4121E671" w:rsidR="009B7105" w:rsidRDefault="007F466D" w:rsidP="00AE170E">
      <w:r>
        <w:t xml:space="preserve">The proposal </w:t>
      </w:r>
      <w:r w:rsidR="0020214F">
        <w:t xml:space="preserve">shall </w:t>
      </w:r>
      <w:r>
        <w:t xml:space="preserve">assume at least a quarterly engagement with the government to review status and progress. </w:t>
      </w:r>
      <w:r w:rsidR="006C2224">
        <w:t>Additionally</w:t>
      </w:r>
      <w:r>
        <w:t xml:space="preserve">, while no promise of a career fair or hiring event is made to those selected for </w:t>
      </w:r>
      <w:r w:rsidR="006726C6">
        <w:t>award</w:t>
      </w:r>
      <w:r>
        <w:t xml:space="preserve">, the proposers </w:t>
      </w:r>
      <w:r w:rsidR="00633B50">
        <w:t xml:space="preserve">shall </w:t>
      </w:r>
      <w:r>
        <w:t xml:space="preserve">facilitate such an event </w:t>
      </w:r>
      <w:r w:rsidR="00DF2DE4">
        <w:t xml:space="preserve">at their location </w:t>
      </w:r>
      <w:r>
        <w:t xml:space="preserve">should NGA decide to do so.  </w:t>
      </w:r>
    </w:p>
    <w:p w14:paraId="04FB567E" w14:textId="418A9913" w:rsidR="00435E9F" w:rsidRDefault="00F73837" w:rsidP="003B47A3">
      <w:pPr>
        <w:pStyle w:val="Heading2"/>
      </w:pPr>
      <w:r>
        <w:t xml:space="preserve">3.2 </w:t>
      </w:r>
      <w:r w:rsidR="00ED52C2">
        <w:t xml:space="preserve">Technical Requirements for each </w:t>
      </w:r>
      <w:r w:rsidR="008D66F9">
        <w:t>Subject</w:t>
      </w:r>
      <w:r w:rsidR="00663C50">
        <w:t xml:space="preserve"> Area</w:t>
      </w:r>
    </w:p>
    <w:p w14:paraId="42EBA23A" w14:textId="5EBB9D17" w:rsidR="00F14FC8" w:rsidRDefault="00F14FC8">
      <w:pPr>
        <w:pStyle w:val="Heading3"/>
        <w:numPr>
          <w:ilvl w:val="0"/>
          <w:numId w:val="0"/>
        </w:numPr>
        <w:ind w:left="720"/>
      </w:pPr>
      <w:r>
        <w:t xml:space="preserve">3.2.1 </w:t>
      </w:r>
      <w:r w:rsidR="008D66F9">
        <w:t>Subject</w:t>
      </w:r>
      <w:r w:rsidR="00F45B5B">
        <w:t xml:space="preserve"> Area 1: </w:t>
      </w:r>
      <w:r>
        <w:t>Synthetic Aperture Radar</w:t>
      </w:r>
      <w:r w:rsidR="00633B50">
        <w:t xml:space="preserve"> (SAR)</w:t>
      </w:r>
    </w:p>
    <w:p w14:paraId="60AD5CF4" w14:textId="5E867543" w:rsidR="002C757F" w:rsidRDefault="002C0304" w:rsidP="002C0304">
      <w:pPr>
        <w:ind w:left="720"/>
      </w:pPr>
      <w:r>
        <w:t xml:space="preserve">The goal of this </w:t>
      </w:r>
      <w:r w:rsidR="008D66F9">
        <w:t>subject</w:t>
      </w:r>
      <w:r w:rsidR="00C67677">
        <w:t xml:space="preserve"> area </w:t>
      </w:r>
      <w:r>
        <w:t xml:space="preserve">is to </w:t>
      </w:r>
      <w:bookmarkStart w:id="2" w:name="_Hlk152158665"/>
      <w:r>
        <w:t>increase exposure and understanding of synthetic aperture radar</w:t>
      </w:r>
      <w:bookmarkEnd w:id="2"/>
      <w:r>
        <w:t xml:space="preserve">, and the intent is to allow considerable latitude to proposers to focus on topics of interest to them and advance the state of practice in SAR research while also increasing student involvement.  </w:t>
      </w:r>
    </w:p>
    <w:p w14:paraId="1E73E829" w14:textId="674D797B" w:rsidR="007D3EBA" w:rsidRDefault="007D3EBA" w:rsidP="007D3EBA">
      <w:pPr>
        <w:ind w:left="720"/>
      </w:pPr>
      <w:r>
        <w:t xml:space="preserve">With the goal of creating a broad foundation that will allow students to move into a variety of SAR related work roles, this </w:t>
      </w:r>
      <w:r w:rsidR="008D66F9">
        <w:t>subject</w:t>
      </w:r>
      <w:r>
        <w:t xml:space="preserve"> area requires student exposure to a broad set of SAR areas, including sensor design, image formation, data analysis and ground truth experience; as a minimum, proposals shall address how they will expose students to these four areas (see details following this paragraph).  Beyond the mentioned areas, proposals are free to explore additional areas, like upstream sensor design and data collection, variations in collection methodology (e.g., </w:t>
      </w:r>
      <w:r w:rsidRPr="005D0F08">
        <w:t xml:space="preserve">multiple-input and multiple-output </w:t>
      </w:r>
      <w:r>
        <w:t xml:space="preserve">(MIMO) or continuous waveforms), downstream exploitation, exploitation of moving objects in a SAR scene, and related SAR topics or combinations of topics that could be relevant to identifying and tracking objects in SAR imagery. Equally, proposals that focus on more classical SAR approaches, but which provide excellent student involvement and interest are equally welcome.  </w:t>
      </w:r>
    </w:p>
    <w:p w14:paraId="0DF219E5" w14:textId="06B0AB44" w:rsidR="002C757F" w:rsidRDefault="002C757F" w:rsidP="002C757F">
      <w:pPr>
        <w:ind w:left="720"/>
      </w:pPr>
      <w:r>
        <w:t xml:space="preserve">Proposals shall endeavor to </w:t>
      </w:r>
      <w:bookmarkStart w:id="3" w:name="_Hlk152158689"/>
      <w:r>
        <w:t>create interest in the students they reach, not only for the scientific area, but also for careers and applications in this science. This applies to both direct student involvement and curriculum development</w:t>
      </w:r>
      <w:bookmarkEnd w:id="3"/>
      <w:r>
        <w:t xml:space="preserve">.  </w:t>
      </w:r>
    </w:p>
    <w:p w14:paraId="30D79420" w14:textId="223A6456" w:rsidR="00300469" w:rsidRPr="00A2094F" w:rsidRDefault="002C757F" w:rsidP="00300469">
      <w:pPr>
        <w:ind w:left="720"/>
      </w:pPr>
      <w:r w:rsidRPr="009E1BE4">
        <w:rPr>
          <w:u w:val="single"/>
        </w:rPr>
        <w:t>Direct Student Involvement:</w:t>
      </w:r>
      <w:r>
        <w:t xml:space="preserve"> All proposals shall articulate the number of undergraduate and graduate students involved in every activity</w:t>
      </w:r>
      <w:r w:rsidR="00300469">
        <w:t>, and the scientific and technical strength of the proposal will be judged in part on this level of student involvement</w:t>
      </w:r>
      <w:r w:rsidR="00EB7881">
        <w:t>.</w:t>
      </w:r>
      <w:r>
        <w:t xml:space="preserve"> Students do not need to be involved in every activity, however, proposers are expected to include substantive student involvement; specifically, involvement of undergraduate students and </w:t>
      </w:r>
      <w:r>
        <w:lastRenderedPageBreak/>
        <w:t xml:space="preserve">mentorship of students in SAR and its application. Proposals under this </w:t>
      </w:r>
      <w:r w:rsidR="008D66F9">
        <w:t>subject</w:t>
      </w:r>
      <w:r>
        <w:t xml:space="preserve"> area shall demonstrate how they will address broadening the exposure of individuals to SAR. </w:t>
      </w:r>
    </w:p>
    <w:p w14:paraId="17817DD6" w14:textId="35280C5D" w:rsidR="003E242B" w:rsidRDefault="002C757F" w:rsidP="002C757F">
      <w:pPr>
        <w:ind w:left="720"/>
      </w:pPr>
      <w:r w:rsidRPr="009E1BE4">
        <w:rPr>
          <w:u w:val="single"/>
        </w:rPr>
        <w:t>Curriculum Development:</w:t>
      </w:r>
      <w:r>
        <w:t xml:space="preserve"> Academic course development is a welcome but not required part of this </w:t>
      </w:r>
      <w:r w:rsidR="008D66F9">
        <w:t>subject</w:t>
      </w:r>
      <w:r>
        <w:t xml:space="preserve"> area.  If included, shall provide specific details on the content of the course, the length of time the course is likely to be in use, and the students the course is expected to reach.  </w:t>
      </w:r>
    </w:p>
    <w:p w14:paraId="59D0A810" w14:textId="58D1B914" w:rsidR="005231BD" w:rsidRDefault="00E33796" w:rsidP="002C168F">
      <w:pPr>
        <w:pStyle w:val="Heading4"/>
        <w:ind w:left="1440" w:firstLine="0"/>
      </w:pPr>
      <w:r>
        <w:t>3</w:t>
      </w:r>
      <w:r w:rsidR="005231BD">
        <w:t>.</w:t>
      </w:r>
      <w:r>
        <w:t>2</w:t>
      </w:r>
      <w:r w:rsidR="005231BD">
        <w:t xml:space="preserve">.1.1 Sensor Design </w:t>
      </w:r>
    </w:p>
    <w:p w14:paraId="1DBD0E22" w14:textId="1E40D13B" w:rsidR="005231BD" w:rsidRDefault="005231BD" w:rsidP="002C23A8">
      <w:pPr>
        <w:ind w:left="720"/>
      </w:pPr>
      <w:r>
        <w:t xml:space="preserve">To have a full understanding of SAR, one must not only procure the data, but </w:t>
      </w:r>
      <w:r w:rsidR="007255DD">
        <w:t>understand</w:t>
      </w:r>
      <w:r>
        <w:t xml:space="preserve"> how the sensors work</w:t>
      </w:r>
      <w:r w:rsidR="00F36618">
        <w:t>s</w:t>
      </w:r>
      <w:r>
        <w:t xml:space="preserve">.  This is best gained through experience. </w:t>
      </w:r>
      <w:r w:rsidR="002C0304">
        <w:t>The proposal shall</w:t>
      </w:r>
      <w:r>
        <w:t xml:space="preserve"> address how it provides this level of understanding.  This could occur through the actual construction of a sensor</w:t>
      </w:r>
      <w:r w:rsidR="002C23A8">
        <w:t xml:space="preserve"> </w:t>
      </w:r>
      <w:r>
        <w:t xml:space="preserve">or it could be obtained through digital designs and/or simulations without actual hardware construction.  </w:t>
      </w:r>
    </w:p>
    <w:p w14:paraId="719CE1DA" w14:textId="6DD53C3C" w:rsidR="00490A90" w:rsidRDefault="00490A90" w:rsidP="00490A90">
      <w:pPr>
        <w:ind w:left="720"/>
      </w:pPr>
      <w:r>
        <w:t xml:space="preserve">SAR sensors can operate at a variety of bands/center frequencies and a wide range of resolutions.  For this </w:t>
      </w:r>
      <w:r w:rsidR="008D66F9">
        <w:t>subject</w:t>
      </w:r>
      <w:r w:rsidR="0009761D">
        <w:t xml:space="preserve"> area</w:t>
      </w:r>
      <w:r>
        <w:t xml:space="preserve">, proposals shall focus on designs that would allow for the detection of objects or activity at a scale of individuals to small buildings, rather than large-scale effects such as volcanic activity or aquifer subsidence.  The proposal shall also focus exclusively on frequencies which provides atmospheric transmission through clouds for day/night all-weather access.   A specific center frequency or bandwidth is not required by this </w:t>
      </w:r>
      <w:r w:rsidR="008D66F9">
        <w:t>subject</w:t>
      </w:r>
      <w:r>
        <w:t xml:space="preserve">, though we note that most commercial SAR sensors operate at X band, with Radarsat-2 operating in C band.  That makes sensors in these band of particular relevance.  We also note that while large areas are available and appropriate for some applications (e.g., maritime surveillance), higher resolution collections on the order of </w:t>
      </w:r>
      <w:r w:rsidR="00ED5935">
        <w:t xml:space="preserve">0.25m to </w:t>
      </w:r>
      <w:r>
        <w:t xml:space="preserve">1m are commercially available from space and very relevant for many object detection problems.   </w:t>
      </w:r>
    </w:p>
    <w:p w14:paraId="78D3F00F" w14:textId="446D46C2" w:rsidR="005231BD" w:rsidRDefault="005231BD" w:rsidP="002C168F">
      <w:pPr>
        <w:pStyle w:val="Heading4"/>
        <w:ind w:left="1440" w:firstLine="0"/>
      </w:pPr>
      <w:r>
        <w:t>3.</w:t>
      </w:r>
      <w:r w:rsidR="00E33796">
        <w:t>2.</w:t>
      </w:r>
      <w:r>
        <w:t xml:space="preserve">1.2 Image Formation </w:t>
      </w:r>
    </w:p>
    <w:p w14:paraId="134D3311" w14:textId="721CFBE0" w:rsidR="00EC270A" w:rsidRDefault="005231BD" w:rsidP="00EC270A">
      <w:pPr>
        <w:ind w:left="720"/>
      </w:pPr>
      <w:r>
        <w:t xml:space="preserve">Collecting </w:t>
      </w:r>
      <w:r w:rsidR="00ED5935">
        <w:t xml:space="preserve">raw </w:t>
      </w:r>
      <w:r>
        <w:t xml:space="preserve">SAR data may provide experience in radio-frequency (RF) engineering, but if imagery is not formed from this collected data then SAR experience has not been obtained.  </w:t>
      </w:r>
      <w:r w:rsidR="00EC270A">
        <w:t>The proposal shall provide for a deep understanding of the various ways the raw RF data can be processed to</w:t>
      </w:r>
      <w:r w:rsidR="00ED5935">
        <w:t xml:space="preserve"> form imagery while</w:t>
      </w:r>
      <w:r w:rsidR="00EC270A">
        <w:t xml:space="preserve"> highlight</w:t>
      </w:r>
      <w:r w:rsidR="00ED5935">
        <w:t>ing</w:t>
      </w:r>
      <w:r w:rsidR="00EC270A">
        <w:t xml:space="preserve"> features of interest and suppress</w:t>
      </w:r>
      <w:r w:rsidR="00ED5935">
        <w:t>ing</w:t>
      </w:r>
      <w:r w:rsidR="00EC270A">
        <w:t xml:space="preserve"> unwanted features.  Image formation work sh</w:t>
      </w:r>
      <w:r w:rsidR="004D166C">
        <w:t>all</w:t>
      </w:r>
      <w:r w:rsidR="00EC270A">
        <w:t xml:space="preserve"> start with as close to the raw data as possible, and go through (as necessary) motion compensation, formation of a complex image, focusing, projection to a ground plan, and final pixel polishing.  </w:t>
      </w:r>
      <w:r w:rsidR="004D166C">
        <w:t>F</w:t>
      </w:r>
      <w:r w:rsidR="00EC270A">
        <w:t>ormation of derived products, especially those products which might require multi-image registration and interferometric processing, is not required but is a strength provided it fits the overall proposal</w:t>
      </w:r>
      <w:r w:rsidR="004D166C">
        <w:t xml:space="preserve"> goals</w:t>
      </w:r>
      <w:r w:rsidR="00EC270A">
        <w:t xml:space="preserve">.  </w:t>
      </w:r>
    </w:p>
    <w:p w14:paraId="13ACDE8F" w14:textId="73FC0BBC" w:rsidR="00EC270A" w:rsidRDefault="00EC270A" w:rsidP="00EC270A">
      <w:pPr>
        <w:ind w:left="720"/>
      </w:pPr>
      <w:r>
        <w:lastRenderedPageBreak/>
        <w:t>NGA maintains several standards for SAR data formats, ranging from compensated phase history data (CPHD) for phase history to Sensor Independent Complex Data (SICD) [</w:t>
      </w:r>
      <w:r w:rsidR="00B90655">
        <w:t>5</w:t>
      </w:r>
      <w:r>
        <w:t>] and Sensor Independent Derived Data (SIDD) [</w:t>
      </w:r>
      <w:r w:rsidR="00B90655">
        <w:t>6</w:t>
      </w:r>
      <w:r>
        <w:t>]</w:t>
      </w:r>
      <w:r w:rsidR="004D166C">
        <w:t xml:space="preserve">.  Use of these standards is not required but is encouraged wherever they are applicable.  </w:t>
      </w:r>
    </w:p>
    <w:p w14:paraId="75AD7B1D" w14:textId="09D8ABEC" w:rsidR="005231BD" w:rsidRDefault="002C23A8" w:rsidP="004D166C">
      <w:pPr>
        <w:ind w:left="720"/>
      </w:pPr>
      <w:r>
        <w:t>It should be noted that</w:t>
      </w:r>
      <w:r w:rsidR="005231BD">
        <w:t xml:space="preserve"> running a free or commercial code does not </w:t>
      </w:r>
      <w:r>
        <w:t xml:space="preserve">typically </w:t>
      </w:r>
      <w:r w:rsidR="005231BD">
        <w:t>provide</w:t>
      </w:r>
      <w:r>
        <w:t xml:space="preserve"> the same understanding as building the routines themselves, and thus </w:t>
      </w:r>
      <w:r w:rsidR="005231BD">
        <w:t>re-creating capabilities that exist in open-source or commercial packages</w:t>
      </w:r>
      <w:r>
        <w:t xml:space="preserve"> will not be seen as a negative for the purpose of this </w:t>
      </w:r>
      <w:r w:rsidR="008D66F9">
        <w:t>subject</w:t>
      </w:r>
      <w:r>
        <w:t>, provided such re</w:t>
      </w:r>
      <w:r w:rsidR="006D084E">
        <w:t>-</w:t>
      </w:r>
      <w:r>
        <w:t>creation meets the grants goals</w:t>
      </w:r>
      <w:r w:rsidR="00ED5935">
        <w:t xml:space="preserve"> of further developing individuals with expertise in this area</w:t>
      </w:r>
      <w:r w:rsidR="005231BD">
        <w:t xml:space="preserve">.  </w:t>
      </w:r>
    </w:p>
    <w:p w14:paraId="1B58F78E" w14:textId="7CE787BE" w:rsidR="005231BD" w:rsidRPr="003F39D8" w:rsidRDefault="005231BD" w:rsidP="002C168F">
      <w:pPr>
        <w:pStyle w:val="Heading4"/>
        <w:ind w:left="1440" w:firstLine="0"/>
      </w:pPr>
      <w:r>
        <w:t>3.</w:t>
      </w:r>
      <w:r w:rsidR="00E33796">
        <w:t>2.</w:t>
      </w:r>
      <w:r>
        <w:t>1.3</w:t>
      </w:r>
      <w:r w:rsidRPr="003F39D8">
        <w:t xml:space="preserve"> Object Recognition</w:t>
      </w:r>
      <w:r>
        <w:t xml:space="preserve"> </w:t>
      </w:r>
    </w:p>
    <w:p w14:paraId="72716352" w14:textId="12EA2F0D" w:rsidR="00C926F4" w:rsidRDefault="00C926F4" w:rsidP="00C926F4">
      <w:pPr>
        <w:ind w:left="720"/>
      </w:pPr>
      <w:r>
        <w:t xml:space="preserve">Increasingly, customers not just in defense but across the remote sensing community are relying on automated ways to detect objects of interest in SAR imagery.  Thus, proposers shall provide students with experience in this area, and the proposal </w:t>
      </w:r>
      <w:r w:rsidR="0043399C">
        <w:t xml:space="preserve">shall </w:t>
      </w:r>
      <w:r>
        <w:t xml:space="preserve">include efforts to obtain data with objects of interest and then develop algorithms to detect these objects.  Physics based detectors as well as machine-learning approaches are acceptable, as is the use of any derived product formed from the SAR imagery.  </w:t>
      </w:r>
    </w:p>
    <w:p w14:paraId="1CFEA0A8" w14:textId="0BBFA0D4" w:rsidR="00C926F4" w:rsidRDefault="00C926F4" w:rsidP="00C926F4">
      <w:pPr>
        <w:ind w:left="720"/>
      </w:pPr>
      <w:r>
        <w:t xml:space="preserve">The objects being detected are up to the proposer.  An initial set shall be specified in the proposal, though this can be refined as the work progresses.  Vehicles (military, construction, buses, etc.), tracks left by vehicles, or other such objects can all make relevant objects.  </w:t>
      </w:r>
    </w:p>
    <w:p w14:paraId="7362D887" w14:textId="11CE401A" w:rsidR="00C926F4" w:rsidRDefault="00C926F4" w:rsidP="00C926F4">
      <w:pPr>
        <w:ind w:left="720"/>
      </w:pPr>
      <w:r>
        <w:t xml:space="preserve">While ground-based, airborne and space-borne collection is permissible, for many applications of interest to NGA collection must be space-based.  Thus, applications which are compatible with collection by an object in a Keplerian orbit (e.g., sensor moving in roughly a straight line and looking down from above) are preferred over those which require other collection CONOPS.    </w:t>
      </w:r>
    </w:p>
    <w:p w14:paraId="750EB0C1" w14:textId="6DA9AD6B" w:rsidR="005231BD" w:rsidRDefault="005231BD" w:rsidP="002C168F">
      <w:pPr>
        <w:pStyle w:val="Heading4"/>
        <w:ind w:left="1440" w:firstLine="0"/>
      </w:pPr>
      <w:r>
        <w:t>3.</w:t>
      </w:r>
      <w:r w:rsidR="00E33796">
        <w:t>2.</w:t>
      </w:r>
      <w:r>
        <w:t>1.4 Data Collection and Ground Truth</w:t>
      </w:r>
    </w:p>
    <w:p w14:paraId="5C799500" w14:textId="55369E23" w:rsidR="003E242B" w:rsidRDefault="005231BD" w:rsidP="00490A90">
      <w:pPr>
        <w:ind w:left="720"/>
      </w:pPr>
      <w:r>
        <w:t xml:space="preserve">Real life often does not match our theoretical predictions, </w:t>
      </w:r>
      <w:r w:rsidR="00490A90">
        <w:t xml:space="preserve">so all proposals shall work with real SAR data, either procured (free or commercially) or collected by proposers. This shall start </w:t>
      </w:r>
      <w:r w:rsidR="00914F2A">
        <w:t xml:space="preserve">at as close to the raw data coming from the hardware as possible </w:t>
      </w:r>
      <w:r w:rsidR="00490A90">
        <w:t xml:space="preserve">and continue on through image formation to the detection of objects or activity of interest in the data. </w:t>
      </w:r>
      <w:r w:rsidR="00914F2A">
        <w:t xml:space="preserve">The proposal shall clearly articulate </w:t>
      </w:r>
      <w:r w:rsidR="00FB3A13">
        <w:t xml:space="preserve">the </w:t>
      </w:r>
      <w:r w:rsidR="00914F2A">
        <w:t xml:space="preserve">data </w:t>
      </w:r>
      <w:r w:rsidR="00FB3A13">
        <w:t xml:space="preserve">it </w:t>
      </w:r>
      <w:r w:rsidR="00914F2A">
        <w:t xml:space="preserve">plans to work with. </w:t>
      </w:r>
      <w:r w:rsidR="00490A90">
        <w:t xml:space="preserve"> As it fits the overall program scope, the proposal shall also include ground truth experiments with truth data to test object recognition work.  </w:t>
      </w:r>
    </w:p>
    <w:p w14:paraId="2B5D811A" w14:textId="201ABA58" w:rsidR="003E242B" w:rsidRDefault="003E242B"/>
    <w:p w14:paraId="4953E4B6" w14:textId="3C6B7991" w:rsidR="003D439B" w:rsidRDefault="00BA6B56">
      <w:pPr>
        <w:pStyle w:val="Heading3"/>
        <w:numPr>
          <w:ilvl w:val="0"/>
          <w:numId w:val="0"/>
        </w:numPr>
        <w:ind w:left="720"/>
      </w:pPr>
      <w:r>
        <w:lastRenderedPageBreak/>
        <w:t>3.</w:t>
      </w:r>
      <w:r w:rsidR="003D439B">
        <w:t xml:space="preserve">2.2 </w:t>
      </w:r>
      <w:r w:rsidR="008D66F9">
        <w:t>Subject</w:t>
      </w:r>
      <w:r w:rsidR="00F45B5B">
        <w:t xml:space="preserve"> Area 2: </w:t>
      </w:r>
      <w:r w:rsidR="003D439B">
        <w:t>Geodesy</w:t>
      </w:r>
    </w:p>
    <w:p w14:paraId="371C505D" w14:textId="022380FA" w:rsidR="004D1910" w:rsidRDefault="004D1910" w:rsidP="004D1910">
      <w:pPr>
        <w:ind w:left="720"/>
      </w:pPr>
      <w:bookmarkStart w:id="4" w:name="_Hlk158717855"/>
      <w:r>
        <w:t xml:space="preserve">The goal of this </w:t>
      </w:r>
      <w:r w:rsidR="008D66F9">
        <w:t>subject</w:t>
      </w:r>
      <w:r>
        <w:t xml:space="preserve"> area is to increase exposure and understanding of geodetic science, through research efforts with direct student involvement and course work. The intent is to allow considerable latitude to proposers to focus on geodetic topics of interest to them, and advance the state of practice in geodesy research, while also increasing student involvement and exposure to geodetic principles.  </w:t>
      </w:r>
    </w:p>
    <w:p w14:paraId="5443DF8B" w14:textId="2717AD5F" w:rsidR="004D1910" w:rsidRDefault="004D1910" w:rsidP="004D1910">
      <w:pPr>
        <w:ind w:left="720"/>
      </w:pPr>
      <w:r>
        <w:t xml:space="preserve">With the goal of creating a broad foundation that will allow students to move into  geodesy related work or research roles, this </w:t>
      </w:r>
      <w:r w:rsidR="008D66F9">
        <w:t>subject</w:t>
      </w:r>
      <w:r>
        <w:t xml:space="preserve"> area requires student exposure to these four fundamental geodetic science principles: a) “Geometric Geodesy” including terrestrial reference frame (TRF) and earth orientation parameters (EOP); b) “Physical Geodesy and Geophysics” including potential field observations and modeling (gravitational and magnetic fields); c) solid earth and ocean tides; and d) modern geodetic techniques and sensors. As a minimum, proposals shall address how they will expose students to these four focus areas (see details following this paragraph). Beyond these areas, proposals are free to explore additional areas, such as modern geodetic surveying techniques. </w:t>
      </w:r>
    </w:p>
    <w:p w14:paraId="4AE3B694" w14:textId="77777777" w:rsidR="004D1910" w:rsidRDefault="004D1910" w:rsidP="004D1910">
      <w:pPr>
        <w:ind w:left="720"/>
      </w:pPr>
      <w:r>
        <w:t xml:space="preserve">Proposals shall endeavor to create interest in the students they reach, not only for the scientific advancement, but also for careers and applications in this science. This applies to both direct student involvement and curriculum development. </w:t>
      </w:r>
    </w:p>
    <w:p w14:paraId="1CE038DD" w14:textId="77777777" w:rsidR="004D1910" w:rsidRDefault="004D1910" w:rsidP="004D1910">
      <w:pPr>
        <w:ind w:left="720"/>
      </w:pPr>
      <w:r>
        <w:t xml:space="preserve">Colleges and universities with strong applied mathematics, geophysics and/or aerospace engineering (orbital mechanics) programs, but little to no prior research in geodesy, are encouraged to apply, as well as institutions with prior geodetic science experience. </w:t>
      </w:r>
    </w:p>
    <w:bookmarkEnd w:id="4"/>
    <w:p w14:paraId="73D932FC" w14:textId="5900CBEE" w:rsidR="004D1910" w:rsidRPr="00A2094F" w:rsidRDefault="004D1910" w:rsidP="004D1910">
      <w:pPr>
        <w:ind w:left="720"/>
      </w:pPr>
      <w:r w:rsidRPr="00461711">
        <w:rPr>
          <w:u w:val="single"/>
        </w:rPr>
        <w:t>Direct Student Involvement:</w:t>
      </w:r>
      <w:r>
        <w:t xml:space="preserve"> All proposals shall articulate the number of undergraduate and graduate students involved in every activity.  Students do not need to be involved in every activity, however, proposers are expected to include substantial student involvement; specifically, involvement of undergraduate students and mentorship of students in geodesy and its application. Proposals under this </w:t>
      </w:r>
      <w:r w:rsidR="008D66F9">
        <w:t>subject</w:t>
      </w:r>
      <w:r>
        <w:t xml:space="preserve"> area shall demonstrate how they will address broadening the exposure of individuals to geodesy. </w:t>
      </w:r>
    </w:p>
    <w:p w14:paraId="6E85F64A" w14:textId="5BF34948" w:rsidR="003E242B" w:rsidRDefault="004D1910" w:rsidP="004D1910">
      <w:pPr>
        <w:ind w:left="720"/>
      </w:pPr>
      <w:r w:rsidRPr="00461711">
        <w:rPr>
          <w:u w:val="single"/>
        </w:rPr>
        <w:t>Curriculum Development:</w:t>
      </w:r>
      <w:r>
        <w:t xml:space="preserve"> Academic course development in one or more of the four areas listed below is strongly recommended but not required.  If included, it shall provide specific details on the content of the course, the length of time the course is likely to be in use, course type (i.e., major, minor, or general elective), and the students the course is expected to reach (i.e., undergraduate and/or graduate).</w:t>
      </w:r>
    </w:p>
    <w:p w14:paraId="1F4F495E" w14:textId="2A66D977" w:rsidR="003E242B" w:rsidRDefault="003E242B"/>
    <w:p w14:paraId="46B16D4B" w14:textId="1FBA9F87" w:rsidR="003E2643" w:rsidRDefault="003E2643"/>
    <w:p w14:paraId="244661C1" w14:textId="20998F9B" w:rsidR="004D1910" w:rsidRPr="001C1989" w:rsidRDefault="004D1910" w:rsidP="002C168F">
      <w:pPr>
        <w:pStyle w:val="Heading4"/>
        <w:ind w:left="1440" w:firstLine="0"/>
      </w:pPr>
      <w:bookmarkStart w:id="5" w:name="_Hlk158805724"/>
      <w:r w:rsidRPr="00903C6C">
        <w:lastRenderedPageBreak/>
        <w:t>3.</w:t>
      </w:r>
      <w:r w:rsidRPr="001C1989">
        <w:t xml:space="preserve">2.2.1 </w:t>
      </w:r>
      <w:bookmarkStart w:id="6" w:name="_Hlk159818842"/>
      <w:bookmarkStart w:id="7" w:name="_Hlk158808669"/>
      <w:bookmarkEnd w:id="5"/>
      <w:r w:rsidRPr="001C1989">
        <w:t xml:space="preserve">Terrestrial Reference Frame </w:t>
      </w:r>
      <w:bookmarkEnd w:id="6"/>
      <w:r w:rsidRPr="001C1989">
        <w:t xml:space="preserve">and Earth Orientation Parameters </w:t>
      </w:r>
      <w:bookmarkEnd w:id="7"/>
    </w:p>
    <w:p w14:paraId="7C0DE139" w14:textId="0ED48A13" w:rsidR="004D1910" w:rsidRDefault="003951F7" w:rsidP="004D1910">
      <w:pPr>
        <w:ind w:left="720"/>
      </w:pPr>
      <w:bookmarkStart w:id="8" w:name="_Hlk159818677"/>
      <w:r>
        <w:t xml:space="preserve">The purpose of this focus area is to gain understanding </w:t>
      </w:r>
      <w:r w:rsidRPr="00051B61">
        <w:t xml:space="preserve">of </w:t>
      </w:r>
      <w:r w:rsidRPr="00F4084E">
        <w:t xml:space="preserve">the error sources </w:t>
      </w:r>
      <w:r w:rsidR="00C647E3">
        <w:t xml:space="preserve">and uncertainties </w:t>
      </w:r>
      <w:r w:rsidRPr="00F4084E">
        <w:t>within different measurement types</w:t>
      </w:r>
      <w:r>
        <w:t xml:space="preserve"> for T</w:t>
      </w:r>
      <w:r w:rsidRPr="00B55BB6">
        <w:t>errestrial Reference Frame</w:t>
      </w:r>
      <w:r>
        <w:t>s (TRF) and</w:t>
      </w:r>
      <w:r w:rsidRPr="00B55BB6">
        <w:t xml:space="preserve"> </w:t>
      </w:r>
      <w:r>
        <w:t>E</w:t>
      </w:r>
      <w:r w:rsidRPr="004D1910">
        <w:t xml:space="preserve">arth </w:t>
      </w:r>
      <w:r>
        <w:t>O</w:t>
      </w:r>
      <w:r w:rsidRPr="004D1910">
        <w:t xml:space="preserve">rientation </w:t>
      </w:r>
      <w:r>
        <w:t>P</w:t>
      </w:r>
      <w:r w:rsidRPr="004D1910">
        <w:t>arameters (EOP)</w:t>
      </w:r>
      <w:r>
        <w:t>. Proposers shall identify how to address these errors</w:t>
      </w:r>
      <w:r w:rsidR="004F5108">
        <w:t>/uncertainties</w:t>
      </w:r>
      <w:r>
        <w:t xml:space="preserve"> </w:t>
      </w:r>
      <w:r w:rsidR="00C81B64">
        <w:t xml:space="preserve">when </w:t>
      </w:r>
      <w:r w:rsidR="00C647E3">
        <w:t xml:space="preserve">combining </w:t>
      </w:r>
      <w:r>
        <w:t>different data types into TRF and EOP</w:t>
      </w:r>
      <w:r w:rsidR="00017B59">
        <w:t>,</w:t>
      </w:r>
      <w:r>
        <w:t xml:space="preserve"> </w:t>
      </w:r>
      <w:r w:rsidR="00C81B64">
        <w:t xml:space="preserve">with </w:t>
      </w:r>
      <w:r w:rsidR="004D1910" w:rsidRPr="001C1989">
        <w:t xml:space="preserve">the </w:t>
      </w:r>
      <w:r w:rsidR="004D1910">
        <w:t xml:space="preserve">resulting frame </w:t>
      </w:r>
      <w:r w:rsidR="004D1910" w:rsidRPr="001C1989">
        <w:t>uncertainties underst</w:t>
      </w:r>
      <w:r w:rsidR="004D1910">
        <w:t>oo</w:t>
      </w:r>
      <w:r w:rsidR="004D1910" w:rsidRPr="001C1989">
        <w:t>d and quantified.</w:t>
      </w:r>
      <w:r w:rsidR="004D1910">
        <w:t xml:space="preserve"> Understanding these uncertainties is especially important in the prediction of station motions and EOP variations before derivation/calculations of the next TRF and/or EOP. </w:t>
      </w:r>
    </w:p>
    <w:p w14:paraId="3B864A9B" w14:textId="0AC1A7A3" w:rsidR="004D1910" w:rsidRPr="009237A6" w:rsidRDefault="004D1910" w:rsidP="004D1910">
      <w:pPr>
        <w:ind w:left="720"/>
      </w:pPr>
      <w:r w:rsidRPr="00CE7061">
        <w:t>Under this area, proposals shall focus on approaches to calculate/derive the TRF and EOP and their predictions, e.g., station positions and velocities.</w:t>
      </w:r>
      <w:r>
        <w:t xml:space="preserve"> </w:t>
      </w:r>
      <w:r w:rsidRPr="00CE7061">
        <w:t xml:space="preserve">The proposal shall also examine error sources </w:t>
      </w:r>
      <w:r w:rsidR="00BC754D">
        <w:t xml:space="preserve">and uncertainties </w:t>
      </w:r>
      <w:r w:rsidRPr="00CE7061">
        <w:t xml:space="preserve">within different data types, earthquake modeling errors, and the resulting uncertainties introduced into the TRF and EOP. Investigations and evaluations of EOP prediction methods will not be seen as a negative for this </w:t>
      </w:r>
      <w:r w:rsidR="008D66F9">
        <w:t>subject</w:t>
      </w:r>
      <w:r>
        <w:t xml:space="preserve"> area</w:t>
      </w:r>
      <w:r w:rsidRPr="00CE7061">
        <w:t xml:space="preserve">.  </w:t>
      </w:r>
    </w:p>
    <w:bookmarkEnd w:id="8"/>
    <w:p w14:paraId="29E902BD" w14:textId="77777777" w:rsidR="004D1910" w:rsidRPr="001C1989" w:rsidRDefault="004D1910" w:rsidP="002C168F">
      <w:pPr>
        <w:pStyle w:val="Heading4"/>
        <w:ind w:left="1440" w:firstLine="0"/>
      </w:pPr>
      <w:r w:rsidRPr="00B512C6">
        <w:t xml:space="preserve">3.2.2.2 Gravitational and Magnetic Field </w:t>
      </w:r>
      <w:r w:rsidRPr="007D5111">
        <w:t>Observations and Modeling</w:t>
      </w:r>
    </w:p>
    <w:p w14:paraId="6E06E54A" w14:textId="57F52F69" w:rsidR="00F25A45" w:rsidRDefault="00F25A45" w:rsidP="004D1910">
      <w:pPr>
        <w:ind w:left="720"/>
      </w:pPr>
      <w:bookmarkStart w:id="9" w:name="_Hlk159819162"/>
      <w:r>
        <w:t>The purpose of this focus are</w:t>
      </w:r>
      <w:r w:rsidR="003E242B">
        <w:t>a</w:t>
      </w:r>
      <w:r>
        <w:t xml:space="preserve"> is to</w:t>
      </w:r>
      <w:r w:rsidR="001E1BC3">
        <w:rPr>
          <w:rStyle w:val="CommentReference"/>
        </w:rPr>
        <w:t xml:space="preserve"> </w:t>
      </w:r>
      <w:r w:rsidR="00A64489">
        <w:t>design</w:t>
      </w:r>
      <w:r w:rsidR="001E1BC3">
        <w:t xml:space="preserve"> a way to determine the type, format, quality, and needed quantity (to reduce redundancy) of gravitational and magnetic data and models, </w:t>
      </w:r>
      <w:r w:rsidR="00D07696">
        <w:t xml:space="preserve">and </w:t>
      </w:r>
      <w:r w:rsidR="001E1BC3">
        <w:t>determine what data and models should be used to improve our understanding of earth’s gravitational and magnetic fields.</w:t>
      </w:r>
    </w:p>
    <w:p w14:paraId="7E075C56" w14:textId="455CC24A" w:rsidR="004D1910" w:rsidRDefault="004D1910" w:rsidP="004D1910">
      <w:pPr>
        <w:ind w:left="720"/>
      </w:pPr>
      <w:r w:rsidRPr="001C1989">
        <w:t>Modeling of the earth’s gravitational and magnetic fields requires use of a large amount of observations from different sources</w:t>
      </w:r>
      <w:r>
        <w:t>,</w:t>
      </w:r>
      <w:r w:rsidRPr="001C1989">
        <w:t xml:space="preserve"> with differing accuracies</w:t>
      </w:r>
      <w:r>
        <w:t>,</w:t>
      </w:r>
      <w:r w:rsidRPr="001C1989">
        <w:t xml:space="preserve"> and collected at different distances from the earth’s </w:t>
      </w:r>
      <w:r>
        <w:t>surface</w:t>
      </w:r>
      <w:r w:rsidRPr="001C1989">
        <w:t xml:space="preserve">. This leads to several </w:t>
      </w:r>
      <w:r>
        <w:t>challenges</w:t>
      </w:r>
      <w:r w:rsidRPr="001C1989">
        <w:t xml:space="preserve"> in the modeling of these potential field</w:t>
      </w:r>
      <w:r>
        <w:t>s,</w:t>
      </w:r>
      <w:r w:rsidRPr="001C1989">
        <w:t xml:space="preserve"> </w:t>
      </w:r>
      <w:r>
        <w:t>to include</w:t>
      </w:r>
      <w:r w:rsidRPr="001C1989">
        <w:t xml:space="preserve"> the problem of downward continuation</w:t>
      </w:r>
      <w:r>
        <w:t>. Furthermore, significant areas of our planet are void of the data required to develop high accuracy and resolution gravitational and crustal magnetic models. This necessitates use of</w:t>
      </w:r>
      <w:r w:rsidRPr="001C1989">
        <w:t xml:space="preserve"> forward gravity modeling</w:t>
      </w:r>
      <w:r>
        <w:t xml:space="preserve"> techniques, employing other data sources (e.g., elevations). In addition, satellite missions like </w:t>
      </w:r>
      <w:r w:rsidR="007B6388">
        <w:t>Gravity Recovery and Climate Experiment (</w:t>
      </w:r>
      <w:r>
        <w:t>GRACE</w:t>
      </w:r>
      <w:r w:rsidR="007B6388">
        <w:t>)</w:t>
      </w:r>
      <w:r>
        <w:t xml:space="preserve"> and </w:t>
      </w:r>
      <w:r w:rsidR="007B6388">
        <w:t>Gravity Field and Steady State Ocean Circulation Explorer (</w:t>
      </w:r>
      <w:r>
        <w:t>GOCE</w:t>
      </w:r>
      <w:r w:rsidR="007B6388">
        <w:t>)</w:t>
      </w:r>
      <w:r>
        <w:t>, which form the long wavelength basis of gravitational models, suffer from</w:t>
      </w:r>
      <w:r w:rsidRPr="001C1989">
        <w:t xml:space="preserve"> </w:t>
      </w:r>
      <w:r>
        <w:t>aliasing and noise,</w:t>
      </w:r>
      <w:r w:rsidRPr="001C1989">
        <w:t xml:space="preserve"> </w:t>
      </w:r>
      <w:r>
        <w:t>and require careful treatment of solutions and associated error properties</w:t>
      </w:r>
      <w:r w:rsidRPr="001C1989">
        <w:t xml:space="preserve">. </w:t>
      </w:r>
    </w:p>
    <w:p w14:paraId="7B6E5C7B" w14:textId="6793F4C1" w:rsidR="004D1910" w:rsidRPr="001C1989" w:rsidRDefault="004D1910" w:rsidP="004D1910">
      <w:pPr>
        <w:ind w:left="720"/>
      </w:pPr>
      <w:r>
        <w:t xml:space="preserve">For this area, proposals shall focus on </w:t>
      </w:r>
      <w:r w:rsidR="00B64F05">
        <w:t xml:space="preserve">addressing </w:t>
      </w:r>
      <w:r>
        <w:t xml:space="preserve">the several challenges in modeling </w:t>
      </w:r>
      <w:r w:rsidR="00B64F05">
        <w:t xml:space="preserve">gravitational and magnetic </w:t>
      </w:r>
      <w:r>
        <w:t xml:space="preserve">fields, </w:t>
      </w:r>
      <w:r w:rsidR="00B64F05">
        <w:t>includ</w:t>
      </w:r>
      <w:r w:rsidR="00362763">
        <w:t>ing</w:t>
      </w:r>
      <w:r w:rsidR="00B64F05">
        <w:t xml:space="preserve"> </w:t>
      </w:r>
      <w:r>
        <w:t xml:space="preserve">the accuracies of different data types, and </w:t>
      </w:r>
      <w:r w:rsidR="00BB4577">
        <w:t xml:space="preserve">how each proposed solution </w:t>
      </w:r>
      <w:r>
        <w:t>contribut</w:t>
      </w:r>
      <w:r w:rsidR="00BB4577">
        <w:t>es</w:t>
      </w:r>
      <w:r>
        <w:t xml:space="preserve"> to mitigating the uncertainties of the resulting model. </w:t>
      </w:r>
    </w:p>
    <w:bookmarkEnd w:id="9"/>
    <w:p w14:paraId="53DEC3A8" w14:textId="77777777" w:rsidR="004D1910" w:rsidRPr="001C1989" w:rsidRDefault="004D1910" w:rsidP="002C168F">
      <w:pPr>
        <w:pStyle w:val="Heading4"/>
        <w:ind w:left="1440" w:firstLine="0"/>
      </w:pPr>
      <w:r w:rsidRPr="001C1989">
        <w:lastRenderedPageBreak/>
        <w:t>3.2.2.3 Solid Earth and Ocean Tides</w:t>
      </w:r>
    </w:p>
    <w:p w14:paraId="204741F5" w14:textId="3942C569" w:rsidR="00732DA7" w:rsidRDefault="00732DA7" w:rsidP="00C74F17">
      <w:pPr>
        <w:ind w:left="720"/>
      </w:pPr>
      <w:bookmarkStart w:id="10" w:name="_Hlk159819339"/>
      <w:r>
        <w:t>The purpose of this focus are</w:t>
      </w:r>
      <w:r w:rsidR="0061009F">
        <w:t>a</w:t>
      </w:r>
      <w:r>
        <w:t xml:space="preserve"> is to</w:t>
      </w:r>
      <w:r w:rsidR="0017016D">
        <w:t xml:space="preserve"> improve the descriptions and timing of solid earth and global ocean tides. </w:t>
      </w:r>
      <w:r w:rsidR="0017016D" w:rsidRPr="001C1989">
        <w:t>Solid earth and global ocean tides are the result of gravitational interactions between the earth and sun, moon, and to a less</w:t>
      </w:r>
      <w:r w:rsidR="003044AD">
        <w:t>er</w:t>
      </w:r>
      <w:r w:rsidR="0017016D" w:rsidRPr="001C1989">
        <w:t xml:space="preserve"> extent other planets</w:t>
      </w:r>
      <w:r w:rsidR="00AE2B33">
        <w:t>.</w:t>
      </w:r>
      <w:r w:rsidR="0017016D" w:rsidRPr="001C1989">
        <w:t xml:space="preserve"> With today’s </w:t>
      </w:r>
      <w:r w:rsidR="0017016D">
        <w:t>big</w:t>
      </w:r>
      <w:r w:rsidR="0017016D" w:rsidRPr="001C1989">
        <w:t xml:space="preserve"> </w:t>
      </w:r>
      <w:r w:rsidR="0017016D">
        <w:t xml:space="preserve">data and more </w:t>
      </w:r>
      <w:r w:rsidR="0017016D" w:rsidRPr="001C1989">
        <w:t xml:space="preserve">sensitive instruments, the </w:t>
      </w:r>
      <w:r w:rsidR="0017016D">
        <w:t xml:space="preserve">accuracies of current tidal models are no longer sufficient. Precision geodetic techniques must achieve millimeter-level precision to support NGA’s most critical geodesy missions, such as estimation of positions and trajectories of </w:t>
      </w:r>
      <w:r w:rsidR="00A511AD">
        <w:t xml:space="preserve">the </w:t>
      </w:r>
      <w:r w:rsidR="0017016D">
        <w:t xml:space="preserve">core ground stations </w:t>
      </w:r>
      <w:r w:rsidR="00A511AD">
        <w:t xml:space="preserve">that </w:t>
      </w:r>
      <w:r w:rsidR="0017016D">
        <w:t>defin</w:t>
      </w:r>
      <w:r w:rsidR="00A511AD">
        <w:t>e</w:t>
      </w:r>
      <w:r w:rsidR="0017016D">
        <w:t xml:space="preserve"> the WGS reference frame, support of the Global Positioning System (GPS), and calibration of navigational systems.</w:t>
      </w:r>
    </w:p>
    <w:p w14:paraId="139C3BB5" w14:textId="77777777" w:rsidR="00A91A35" w:rsidRDefault="00A91A35" w:rsidP="00A91A35">
      <w:pPr>
        <w:ind w:left="720"/>
      </w:pPr>
      <w:r>
        <w:rPr>
          <w:rFonts w:eastAsia="Times New Roman" w:cstheme="minorHAnsi"/>
        </w:rPr>
        <w:t>Current challenges in ocean tide modeling include improvement of tide representations in coastal and polar oceans. C</w:t>
      </w:r>
      <w:r w:rsidRPr="005D0E21">
        <w:rPr>
          <w:rFonts w:eastAsia="Times New Roman" w:cstheme="minorHAnsi"/>
        </w:rPr>
        <w:t xml:space="preserve">omprehensive tide solutions with high spatial resolution </w:t>
      </w:r>
      <w:r>
        <w:rPr>
          <w:rFonts w:eastAsia="Times New Roman" w:cstheme="minorHAnsi"/>
        </w:rPr>
        <w:t>in these regions</w:t>
      </w:r>
      <w:r w:rsidRPr="005D0E21">
        <w:rPr>
          <w:rFonts w:eastAsia="Times New Roman" w:cstheme="minorHAnsi"/>
        </w:rPr>
        <w:t xml:space="preserve"> remains elusive</w:t>
      </w:r>
      <w:r>
        <w:rPr>
          <w:rFonts w:eastAsia="Times New Roman" w:cstheme="minorHAnsi"/>
        </w:rPr>
        <w:t>.</w:t>
      </w:r>
      <w:r w:rsidRPr="005C0C7A">
        <w:t xml:space="preserve"> </w:t>
      </w:r>
    </w:p>
    <w:p w14:paraId="2482FE53" w14:textId="77777777" w:rsidR="00A91A35" w:rsidRDefault="00A91A35" w:rsidP="00A91A35">
      <w:pPr>
        <w:ind w:left="720"/>
      </w:pPr>
      <w:r>
        <w:t>Current challenges in solid earth tide modeling include improved resolution and millimeter-level accuracy, especially in coastal regions experiencing ocean tidal loading, and regions with large ground water variations</w:t>
      </w:r>
      <w:r w:rsidRPr="001C1989">
        <w:t>.</w:t>
      </w:r>
    </w:p>
    <w:p w14:paraId="3F30A869" w14:textId="0C6E5B05" w:rsidR="00A91A35" w:rsidRDefault="00A91A35" w:rsidP="00A91A35">
      <w:pPr>
        <w:ind w:left="720"/>
      </w:pPr>
      <w:r>
        <w:t xml:space="preserve">For this area, proposals shall focus on addressing the above challenges in solid earth and/or global ocean tidal modeling. </w:t>
      </w:r>
      <w:r w:rsidRPr="005D0E21">
        <w:t>The effort</w:t>
      </w:r>
      <w:r>
        <w:t xml:space="preserve"> shall </w:t>
      </w:r>
      <w:r w:rsidRPr="005D0E21">
        <w:t>also examine the accuracies of the different data types used in the modeling</w:t>
      </w:r>
      <w:r w:rsidR="00C444D3">
        <w:t>,</w:t>
      </w:r>
      <w:r w:rsidRPr="005D0E21">
        <w:t xml:space="preserve"> other error sources</w:t>
      </w:r>
      <w:r>
        <w:t>,</w:t>
      </w:r>
      <w:r w:rsidRPr="005D0E21">
        <w:t xml:space="preserve"> and </w:t>
      </w:r>
      <w:r>
        <w:t xml:space="preserve">mitigating </w:t>
      </w:r>
      <w:r w:rsidRPr="005D0E21">
        <w:t xml:space="preserve">the uncertainties for the resulting tidal model. Research efforts to improve </w:t>
      </w:r>
      <w:r>
        <w:t>the modeling and computation of solid earth and ocean tides loading are also encouraged.</w:t>
      </w:r>
    </w:p>
    <w:bookmarkEnd w:id="10"/>
    <w:p w14:paraId="117F2512" w14:textId="77777777" w:rsidR="004D1910" w:rsidRDefault="004D1910" w:rsidP="002C168F">
      <w:pPr>
        <w:pStyle w:val="Heading4"/>
        <w:ind w:left="1440" w:firstLine="0"/>
      </w:pPr>
      <w:r w:rsidRPr="001C1989">
        <w:t>3.2.2.4 Modern Geodetic Techniques and Sensors</w:t>
      </w:r>
      <w:r w:rsidRPr="001C1989">
        <w:tab/>
      </w:r>
    </w:p>
    <w:p w14:paraId="3649F17A" w14:textId="3B3F519F" w:rsidR="00A936E8" w:rsidRDefault="00F25A45" w:rsidP="00A936E8">
      <w:pPr>
        <w:ind w:left="720"/>
      </w:pPr>
      <w:bookmarkStart w:id="11" w:name="_Hlk159819927"/>
      <w:r>
        <w:t xml:space="preserve">The purpose of this focus </w:t>
      </w:r>
      <w:r w:rsidR="006309A5">
        <w:t xml:space="preserve">area </w:t>
      </w:r>
      <w:r>
        <w:t>is</w:t>
      </w:r>
      <w:r w:rsidR="004D1910">
        <w:t xml:space="preserve"> to gain a better understanding </w:t>
      </w:r>
      <w:r w:rsidR="00A936E8">
        <w:t>of the error sources</w:t>
      </w:r>
      <w:r w:rsidR="00A936E8" w:rsidRPr="00F4084E">
        <w:t xml:space="preserve"> </w:t>
      </w:r>
      <w:r w:rsidR="005A78B7">
        <w:t xml:space="preserve">and uncertainties </w:t>
      </w:r>
      <w:r w:rsidR="00A936E8" w:rsidRPr="00F4084E">
        <w:t xml:space="preserve">within </w:t>
      </w:r>
      <w:r w:rsidR="00A936E8">
        <w:t xml:space="preserve">modern geodetic </w:t>
      </w:r>
      <w:r w:rsidR="00A936E8" w:rsidRPr="00F4084E">
        <w:t xml:space="preserve">instrumentation </w:t>
      </w:r>
      <w:r w:rsidR="00A936E8">
        <w:t>and</w:t>
      </w:r>
      <w:r w:rsidR="00A936E8" w:rsidRPr="00F4084E">
        <w:t xml:space="preserve"> systems</w:t>
      </w:r>
      <w:r w:rsidR="00D54787">
        <w:t>,</w:t>
      </w:r>
      <w:r w:rsidR="00A936E8" w:rsidRPr="00732DA7">
        <w:t xml:space="preserve"> and how to </w:t>
      </w:r>
      <w:r w:rsidR="00A936E8" w:rsidRPr="00F4084E">
        <w:t xml:space="preserve">address </w:t>
      </w:r>
      <w:r w:rsidR="00A936E8">
        <w:t>them</w:t>
      </w:r>
      <w:r w:rsidR="00A936E8" w:rsidRPr="00F4084E">
        <w:t xml:space="preserve"> at the observation level</w:t>
      </w:r>
      <w:r w:rsidR="00A936E8" w:rsidRPr="00732DA7">
        <w:t xml:space="preserve"> or post-processing level. </w:t>
      </w:r>
    </w:p>
    <w:p w14:paraId="7A0ED145" w14:textId="5D3D5B89" w:rsidR="002705E6" w:rsidRDefault="004D1910" w:rsidP="004D1910">
      <w:pPr>
        <w:ind w:left="720"/>
      </w:pPr>
      <w:r>
        <w:t xml:space="preserve">For this area, proposals shall focus on gaining an improved understanding of error sources </w:t>
      </w:r>
      <w:r w:rsidR="00FC4BFE">
        <w:t xml:space="preserve">and uncertainties </w:t>
      </w:r>
      <w:r>
        <w:t xml:space="preserve">within modern geodetic observation techniques and sensors, and examine how measurements from one technique could be used to improve corrections for another geodetic technique. Proposals can also examine approaches for improved corrections for different geodetic observation techniques, using geophysical and non-geophysical modeling. Investigations solely focused on </w:t>
      </w:r>
      <w:r w:rsidR="00262DD9">
        <w:t xml:space="preserve">Doppler </w:t>
      </w:r>
      <w:proofErr w:type="spellStart"/>
      <w:r w:rsidR="00262DD9">
        <w:t>Orbitography</w:t>
      </w:r>
      <w:proofErr w:type="spellEnd"/>
      <w:r w:rsidR="00262DD9">
        <w:t xml:space="preserve"> and Radio positioning Integrated by Satellite (</w:t>
      </w:r>
      <w:r>
        <w:t>DORIS</w:t>
      </w:r>
      <w:r w:rsidR="00262DD9">
        <w:t>) transmitters</w:t>
      </w:r>
      <w:r>
        <w:t xml:space="preserve"> are not encouraged.</w:t>
      </w:r>
    </w:p>
    <w:bookmarkEnd w:id="11"/>
    <w:p w14:paraId="13135226" w14:textId="2CF1264F" w:rsidR="00B55CE3" w:rsidRDefault="00B55CE3" w:rsidP="005256A7">
      <w:pPr>
        <w:spacing w:after="0" w:line="240" w:lineRule="auto"/>
        <w:ind w:left="720"/>
      </w:pPr>
      <w:r>
        <w:t xml:space="preserve">   </w:t>
      </w:r>
    </w:p>
    <w:p w14:paraId="7457668A" w14:textId="68296BD8" w:rsidR="009C4CEF" w:rsidRDefault="003B47A3" w:rsidP="003B47A3">
      <w:pPr>
        <w:pStyle w:val="Heading2"/>
      </w:pPr>
      <w:r>
        <w:lastRenderedPageBreak/>
        <w:t xml:space="preserve">3.3 </w:t>
      </w:r>
      <w:r w:rsidR="009C4CEF">
        <w:t>Outside the Scope of this Topic</w:t>
      </w:r>
    </w:p>
    <w:p w14:paraId="18918AEE" w14:textId="097CFE1D" w:rsidR="00A6596A" w:rsidRDefault="007F466D" w:rsidP="00F47CFE">
      <w:r>
        <w:t xml:space="preserve">Any </w:t>
      </w:r>
      <w:r w:rsidR="00231F3C">
        <w:t xml:space="preserve">subject </w:t>
      </w:r>
      <w:r>
        <w:t xml:space="preserve">not explicitly </w:t>
      </w:r>
      <w:r w:rsidR="00734EAB">
        <w:t>described with</w:t>
      </w:r>
      <w:r>
        <w:t>in Section 3</w:t>
      </w:r>
      <w:r w:rsidR="00FB336C">
        <w:t>.2</w:t>
      </w:r>
      <w:r>
        <w:t xml:space="preserve"> </w:t>
      </w:r>
      <w:r w:rsidR="00734EAB">
        <w:t>is</w:t>
      </w:r>
      <w:r>
        <w:t xml:space="preserve"> considered outside the scope of this </w:t>
      </w:r>
      <w:r w:rsidR="00734EAB">
        <w:t>topic call</w:t>
      </w:r>
      <w:r w:rsidR="00EE0BA7">
        <w:t xml:space="preserve">, even if it is GEOINT related.  </w:t>
      </w:r>
    </w:p>
    <w:p w14:paraId="241ECA10" w14:textId="56A55AD1" w:rsidR="008A19C0" w:rsidRPr="00C97D0E" w:rsidRDefault="008A19C0" w:rsidP="00C97D0E">
      <w:pPr>
        <w:pStyle w:val="Heading1"/>
      </w:pPr>
      <w:r w:rsidRPr="00C97D0E">
        <w:t>Performance Metrics</w:t>
      </w:r>
    </w:p>
    <w:p w14:paraId="638857F0" w14:textId="35C60C98" w:rsidR="008A19C0" w:rsidRPr="00FC292A" w:rsidRDefault="00B83D8D" w:rsidP="00F47CFE">
      <w:r>
        <w:t>Proposers</w:t>
      </w:r>
      <w:r w:rsidRPr="00FC292A">
        <w:t xml:space="preserve"> </w:t>
      </w:r>
      <w:r w:rsidR="00902C1C" w:rsidRPr="00FC292A">
        <w:t>shall</w:t>
      </w:r>
      <w:r w:rsidR="008A19C0" w:rsidRPr="00FC292A">
        <w:t xml:space="preserve"> </w:t>
      </w:r>
      <w:r>
        <w:t xml:space="preserve">submit the following table with their proposed metrics as part of their proposal. These </w:t>
      </w:r>
      <w:r w:rsidR="00C6168F">
        <w:t>metrics are the minimum</w:t>
      </w:r>
      <w:r>
        <w:t xml:space="preserve"> metrics; proposers can </w:t>
      </w:r>
      <w:r w:rsidR="002F5C8A">
        <w:t xml:space="preserve">then </w:t>
      </w:r>
      <w:r>
        <w:t xml:space="preserve">add </w:t>
      </w:r>
      <w:r w:rsidR="002F5C8A">
        <w:t xml:space="preserve">their own </w:t>
      </w:r>
      <w:r>
        <w:t xml:space="preserve">metrics. </w:t>
      </w:r>
    </w:p>
    <w:p w14:paraId="3F8CE103" w14:textId="4924EDCC" w:rsidR="00B806AA" w:rsidRPr="00FC292A" w:rsidRDefault="00B806AA" w:rsidP="003E2643">
      <w:pPr>
        <w:pStyle w:val="ListParagraph"/>
        <w:spacing w:after="0"/>
        <w:ind w:left="360"/>
        <w:outlineLvl w:val="0"/>
        <w:rPr>
          <w:b/>
          <w:color w:val="44546A" w:themeColor="text2"/>
          <w:sz w:val="20"/>
          <w:szCs w:val="20"/>
        </w:rPr>
      </w:pPr>
      <w:r w:rsidRPr="00FC292A">
        <w:rPr>
          <w:b/>
          <w:color w:val="44546A" w:themeColor="text2"/>
          <w:sz w:val="20"/>
          <w:szCs w:val="20"/>
        </w:rPr>
        <w:t xml:space="preserve">Table </w:t>
      </w:r>
      <w:r w:rsidR="007857A1" w:rsidRPr="00FC292A">
        <w:rPr>
          <w:b/>
          <w:color w:val="44546A" w:themeColor="text2"/>
          <w:sz w:val="20"/>
          <w:szCs w:val="20"/>
        </w:rPr>
        <w:t>2</w:t>
      </w:r>
      <w:r w:rsidRPr="00FC292A">
        <w:rPr>
          <w:b/>
          <w:color w:val="44546A" w:themeColor="text2"/>
          <w:sz w:val="20"/>
          <w:szCs w:val="20"/>
        </w:rPr>
        <w:t xml:space="preserve"> Technical Requirements –Metrics </w:t>
      </w:r>
    </w:p>
    <w:tbl>
      <w:tblPr>
        <w:tblStyle w:val="TableGrid"/>
        <w:tblpPr w:leftFromText="180" w:rightFromText="180" w:vertAnchor="text" w:horzAnchor="margin" w:tblpY="90"/>
        <w:tblW w:w="10008" w:type="dxa"/>
        <w:tblLook w:val="04A0" w:firstRow="1" w:lastRow="0" w:firstColumn="1" w:lastColumn="0" w:noHBand="0" w:noVBand="1"/>
      </w:tblPr>
      <w:tblGrid>
        <w:gridCol w:w="371"/>
        <w:gridCol w:w="2504"/>
        <w:gridCol w:w="3121"/>
        <w:gridCol w:w="2076"/>
        <w:gridCol w:w="1936"/>
      </w:tblGrid>
      <w:tr w:rsidR="003E2643" w:rsidRPr="00FC292A" w14:paraId="60014086" w14:textId="77777777" w:rsidTr="003E2643">
        <w:tc>
          <w:tcPr>
            <w:tcW w:w="371" w:type="dxa"/>
          </w:tcPr>
          <w:p w14:paraId="32660B27" w14:textId="77777777" w:rsidR="003E2643" w:rsidRPr="00FC292A" w:rsidRDefault="003E2643" w:rsidP="003E2643">
            <w:pPr>
              <w:pStyle w:val="ListParagraph"/>
              <w:spacing w:after="40"/>
              <w:ind w:left="0"/>
              <w:outlineLvl w:val="0"/>
              <w:rPr>
                <w:rFonts w:eastAsia="Calibri"/>
                <w:b/>
                <w:color w:val="2F5496"/>
              </w:rPr>
            </w:pPr>
            <w:r w:rsidRPr="00FC292A">
              <w:rPr>
                <w:rFonts w:eastAsia="Calibri"/>
                <w:b/>
                <w:color w:val="2F5496"/>
              </w:rPr>
              <w:t>#</w:t>
            </w:r>
          </w:p>
        </w:tc>
        <w:tc>
          <w:tcPr>
            <w:tcW w:w="2504" w:type="dxa"/>
          </w:tcPr>
          <w:p w14:paraId="0FC69463" w14:textId="77777777" w:rsidR="003E2643" w:rsidRPr="00FC292A" w:rsidRDefault="003E2643" w:rsidP="003E2643">
            <w:pPr>
              <w:pStyle w:val="ListParagraph"/>
              <w:spacing w:after="40"/>
              <w:ind w:left="0"/>
              <w:outlineLvl w:val="0"/>
              <w:rPr>
                <w:rFonts w:eastAsia="Calibri"/>
                <w:b/>
                <w:color w:val="2F5496"/>
              </w:rPr>
            </w:pPr>
            <w:r w:rsidRPr="00FC292A">
              <w:rPr>
                <w:rFonts w:eastAsia="Calibri"/>
                <w:b/>
                <w:color w:val="2F5496"/>
              </w:rPr>
              <w:t>Performance Metric Name</w:t>
            </w:r>
          </w:p>
        </w:tc>
        <w:tc>
          <w:tcPr>
            <w:tcW w:w="3121" w:type="dxa"/>
          </w:tcPr>
          <w:p w14:paraId="50375CCD" w14:textId="77777777" w:rsidR="003E2643" w:rsidRPr="00FC292A" w:rsidRDefault="003E2643" w:rsidP="003E2643">
            <w:pPr>
              <w:pStyle w:val="ListParagraph"/>
              <w:spacing w:after="40"/>
              <w:ind w:left="0"/>
              <w:outlineLvl w:val="0"/>
              <w:rPr>
                <w:rFonts w:eastAsia="Calibri"/>
                <w:b/>
                <w:color w:val="2F5496"/>
              </w:rPr>
            </w:pPr>
            <w:r w:rsidRPr="00FC292A">
              <w:rPr>
                <w:rFonts w:eastAsia="Calibri"/>
                <w:b/>
                <w:color w:val="2F5496"/>
              </w:rPr>
              <w:t>Description</w:t>
            </w:r>
          </w:p>
        </w:tc>
        <w:tc>
          <w:tcPr>
            <w:tcW w:w="2076" w:type="dxa"/>
          </w:tcPr>
          <w:p w14:paraId="76EFFF35" w14:textId="77777777" w:rsidR="003E2643" w:rsidRPr="00FC292A" w:rsidRDefault="003E2643" w:rsidP="003E2643">
            <w:pPr>
              <w:pStyle w:val="ListParagraph"/>
              <w:spacing w:after="40"/>
              <w:ind w:left="0"/>
              <w:outlineLvl w:val="0"/>
              <w:rPr>
                <w:rFonts w:eastAsia="Calibri"/>
                <w:b/>
                <w:color w:val="2F5496"/>
              </w:rPr>
            </w:pPr>
            <w:r w:rsidRPr="00FC292A">
              <w:rPr>
                <w:rFonts w:eastAsia="Calibri"/>
                <w:b/>
                <w:color w:val="2F5496"/>
              </w:rPr>
              <w:t xml:space="preserve">Metric </w:t>
            </w:r>
          </w:p>
        </w:tc>
        <w:tc>
          <w:tcPr>
            <w:tcW w:w="1936" w:type="dxa"/>
          </w:tcPr>
          <w:p w14:paraId="701E932E" w14:textId="77777777" w:rsidR="003E2643" w:rsidRPr="00FC292A" w:rsidRDefault="003E2643" w:rsidP="003E2643">
            <w:pPr>
              <w:pStyle w:val="ListParagraph"/>
              <w:spacing w:after="40"/>
              <w:ind w:left="0"/>
              <w:outlineLvl w:val="0"/>
              <w:rPr>
                <w:rFonts w:eastAsia="Calibri"/>
                <w:b/>
                <w:color w:val="2F5496"/>
              </w:rPr>
            </w:pPr>
            <w:r>
              <w:rPr>
                <w:rFonts w:eastAsia="Calibri"/>
                <w:b/>
                <w:color w:val="2F5496"/>
              </w:rPr>
              <w:t>Milestone Accomplishment</w:t>
            </w:r>
          </w:p>
        </w:tc>
      </w:tr>
      <w:tr w:rsidR="003E2643" w:rsidRPr="00FC292A" w14:paraId="352D3698" w14:textId="77777777" w:rsidTr="003E2643">
        <w:tc>
          <w:tcPr>
            <w:tcW w:w="371" w:type="dxa"/>
          </w:tcPr>
          <w:p w14:paraId="2B15356A" w14:textId="77777777" w:rsidR="003E2643" w:rsidRPr="00FC292A" w:rsidRDefault="003E2643" w:rsidP="003E2643">
            <w:pPr>
              <w:pStyle w:val="ListParagraph"/>
              <w:spacing w:after="40"/>
              <w:ind w:left="0"/>
              <w:outlineLvl w:val="0"/>
              <w:rPr>
                <w:rFonts w:eastAsia="Calibri"/>
                <w:b/>
                <w:color w:val="2F5496"/>
              </w:rPr>
            </w:pPr>
            <w:r>
              <w:rPr>
                <w:rFonts w:eastAsia="Calibri"/>
                <w:b/>
                <w:color w:val="2F5496"/>
              </w:rPr>
              <w:t>1</w:t>
            </w:r>
          </w:p>
        </w:tc>
        <w:tc>
          <w:tcPr>
            <w:tcW w:w="2504" w:type="dxa"/>
          </w:tcPr>
          <w:p w14:paraId="67AEEA17" w14:textId="77777777" w:rsidR="003E2643" w:rsidRDefault="003E2643" w:rsidP="003E2643">
            <w:pPr>
              <w:pStyle w:val="ListParagraph"/>
              <w:spacing w:after="40"/>
              <w:ind w:left="0"/>
              <w:outlineLvl w:val="0"/>
              <w:rPr>
                <w:rFonts w:eastAsia="Calibri"/>
                <w:b/>
                <w:color w:val="2F5496"/>
              </w:rPr>
            </w:pPr>
            <w:r>
              <w:rPr>
                <w:rFonts w:eastAsia="Calibri"/>
                <w:b/>
                <w:color w:val="2F5496"/>
              </w:rPr>
              <w:t>Student Involvement</w:t>
            </w:r>
          </w:p>
          <w:p w14:paraId="3C57523E" w14:textId="77777777" w:rsidR="003E2643" w:rsidRDefault="003E2643" w:rsidP="003E2643">
            <w:pPr>
              <w:pStyle w:val="ListParagraph"/>
              <w:spacing w:after="40"/>
              <w:ind w:left="0"/>
              <w:outlineLvl w:val="0"/>
              <w:rPr>
                <w:rFonts w:eastAsia="Calibri"/>
                <w:b/>
                <w:color w:val="2F5496"/>
              </w:rPr>
            </w:pPr>
          </w:p>
          <w:p w14:paraId="7CFADED9" w14:textId="77777777" w:rsidR="003E2643" w:rsidRPr="00FC292A" w:rsidRDefault="003E2643" w:rsidP="003E2643">
            <w:pPr>
              <w:pStyle w:val="ListParagraph"/>
              <w:spacing w:after="40"/>
              <w:ind w:left="0"/>
              <w:outlineLvl w:val="0"/>
              <w:rPr>
                <w:rFonts w:eastAsia="Calibri"/>
                <w:b/>
                <w:color w:val="2F5496"/>
              </w:rPr>
            </w:pPr>
          </w:p>
        </w:tc>
        <w:tc>
          <w:tcPr>
            <w:tcW w:w="3121" w:type="dxa"/>
          </w:tcPr>
          <w:p w14:paraId="3F44323A" w14:textId="77777777" w:rsidR="003E2643" w:rsidRPr="00A106FF" w:rsidRDefault="003E2643" w:rsidP="003E2643">
            <w:pPr>
              <w:pStyle w:val="ListParagraph"/>
              <w:spacing w:after="40"/>
              <w:ind w:left="0"/>
              <w:outlineLvl w:val="0"/>
              <w:rPr>
                <w:rFonts w:eastAsia="Calibri"/>
                <w:color w:val="2F5496"/>
              </w:rPr>
            </w:pPr>
            <w:r w:rsidRPr="00A106FF">
              <w:rPr>
                <w:rFonts w:eastAsia="Calibri"/>
                <w:color w:val="2F5496"/>
              </w:rPr>
              <w:t>Number of undergraduate and graduate students involved in development and processing (undergraduate and graduate numbers shall be provided separately)</w:t>
            </w:r>
          </w:p>
        </w:tc>
        <w:tc>
          <w:tcPr>
            <w:tcW w:w="2076" w:type="dxa"/>
          </w:tcPr>
          <w:p w14:paraId="3647BD9A" w14:textId="77777777" w:rsidR="003E2643" w:rsidRDefault="003E2643" w:rsidP="003E2643">
            <w:pPr>
              <w:pStyle w:val="ListParagraph"/>
              <w:spacing w:after="40"/>
              <w:ind w:left="0"/>
              <w:outlineLvl w:val="0"/>
              <w:rPr>
                <w:rFonts w:eastAsia="Calibri"/>
                <w:i/>
                <w:color w:val="808080" w:themeColor="background1" w:themeShade="80"/>
              </w:rPr>
            </w:pPr>
            <w:r w:rsidRPr="00A106FF">
              <w:rPr>
                <w:rFonts w:eastAsia="Calibri"/>
                <w:i/>
                <w:color w:val="808080" w:themeColor="background1" w:themeShade="80"/>
              </w:rPr>
              <w:t>Multiple metrics may be listed for different milestones</w:t>
            </w:r>
          </w:p>
          <w:p w14:paraId="79419150" w14:textId="77777777" w:rsidR="003E2643" w:rsidRDefault="003E2643" w:rsidP="003E2643">
            <w:pPr>
              <w:pStyle w:val="ListParagraph"/>
              <w:spacing w:after="40"/>
              <w:ind w:left="0"/>
              <w:outlineLvl w:val="0"/>
              <w:rPr>
                <w:rFonts w:eastAsia="Calibri"/>
                <w:i/>
                <w:color w:val="808080" w:themeColor="background1" w:themeShade="80"/>
              </w:rPr>
            </w:pPr>
          </w:p>
          <w:p w14:paraId="63709821" w14:textId="77777777" w:rsidR="003E2643" w:rsidRPr="00A106FF" w:rsidRDefault="003E2643" w:rsidP="003E2643">
            <w:pPr>
              <w:pStyle w:val="ListParagraph"/>
              <w:spacing w:after="40"/>
              <w:ind w:left="0"/>
              <w:outlineLvl w:val="0"/>
              <w:rPr>
                <w:rFonts w:eastAsia="Calibri"/>
                <w:i/>
                <w:color w:val="808080" w:themeColor="background1" w:themeShade="80"/>
              </w:rPr>
            </w:pPr>
            <w:r>
              <w:rPr>
                <w:rFonts w:eastAsia="Calibri"/>
                <w:i/>
                <w:color w:val="808080" w:themeColor="background1" w:themeShade="80"/>
              </w:rPr>
              <w:t>(e.g. 100 students by Month 12; 500 students by Month 24 etc.)</w:t>
            </w:r>
          </w:p>
        </w:tc>
        <w:tc>
          <w:tcPr>
            <w:tcW w:w="1936" w:type="dxa"/>
          </w:tcPr>
          <w:p w14:paraId="718923BE" w14:textId="77777777" w:rsidR="003E2643" w:rsidRPr="00A106FF" w:rsidRDefault="003E2643" w:rsidP="003E2643">
            <w:pPr>
              <w:pStyle w:val="ListParagraph"/>
              <w:spacing w:after="40"/>
              <w:ind w:left="0"/>
              <w:outlineLvl w:val="0"/>
              <w:rPr>
                <w:rFonts w:eastAsia="Calibri"/>
                <w:i/>
                <w:color w:val="808080" w:themeColor="background1" w:themeShade="80"/>
              </w:rPr>
            </w:pPr>
            <w:proofErr w:type="spellStart"/>
            <w:r w:rsidRPr="00A106FF">
              <w:rPr>
                <w:rFonts w:eastAsia="Calibri"/>
                <w:i/>
                <w:color w:val="808080" w:themeColor="background1" w:themeShade="80"/>
              </w:rPr>
              <w:t>List</w:t>
            </w:r>
            <w:proofErr w:type="spellEnd"/>
            <w:r w:rsidRPr="00A106FF">
              <w:rPr>
                <w:rFonts w:eastAsia="Calibri"/>
                <w:i/>
                <w:color w:val="808080" w:themeColor="background1" w:themeShade="80"/>
              </w:rPr>
              <w:t xml:space="preserve"> month when metric will be accomplished</w:t>
            </w:r>
          </w:p>
        </w:tc>
      </w:tr>
      <w:tr w:rsidR="003E2643" w:rsidRPr="00FC292A" w14:paraId="63513CE2" w14:textId="77777777" w:rsidTr="003E2643">
        <w:tc>
          <w:tcPr>
            <w:tcW w:w="371" w:type="dxa"/>
          </w:tcPr>
          <w:p w14:paraId="229447C0" w14:textId="77777777" w:rsidR="003E2643" w:rsidRPr="00FC292A" w:rsidRDefault="003E2643" w:rsidP="003E2643">
            <w:pPr>
              <w:pStyle w:val="ListParagraph"/>
              <w:spacing w:after="40"/>
              <w:ind w:left="0"/>
              <w:outlineLvl w:val="0"/>
              <w:rPr>
                <w:rFonts w:eastAsia="Calibri"/>
                <w:b/>
                <w:color w:val="2F5496"/>
              </w:rPr>
            </w:pPr>
            <w:r>
              <w:rPr>
                <w:rFonts w:eastAsia="Calibri"/>
                <w:b/>
                <w:color w:val="2F5496"/>
              </w:rPr>
              <w:t>2</w:t>
            </w:r>
          </w:p>
        </w:tc>
        <w:tc>
          <w:tcPr>
            <w:tcW w:w="2504" w:type="dxa"/>
          </w:tcPr>
          <w:p w14:paraId="2D91651F" w14:textId="77777777" w:rsidR="003E2643" w:rsidRDefault="003E2643" w:rsidP="003E2643">
            <w:pPr>
              <w:pStyle w:val="ListParagraph"/>
              <w:spacing w:after="40"/>
              <w:ind w:left="0"/>
              <w:outlineLvl w:val="0"/>
              <w:rPr>
                <w:rFonts w:eastAsia="Calibri"/>
                <w:b/>
                <w:color w:val="2F5496"/>
              </w:rPr>
            </w:pPr>
            <w:r>
              <w:rPr>
                <w:rFonts w:eastAsia="Calibri"/>
                <w:b/>
                <w:color w:val="2F5496"/>
              </w:rPr>
              <w:t>Student exposure</w:t>
            </w:r>
          </w:p>
          <w:p w14:paraId="3DE11DF8" w14:textId="77777777" w:rsidR="003E2643" w:rsidRDefault="003E2643" w:rsidP="003E2643">
            <w:pPr>
              <w:pStyle w:val="ListParagraph"/>
              <w:spacing w:after="40"/>
              <w:ind w:left="0"/>
              <w:outlineLvl w:val="0"/>
              <w:rPr>
                <w:rFonts w:eastAsia="Calibri"/>
                <w:b/>
                <w:color w:val="2F5496"/>
              </w:rPr>
            </w:pPr>
          </w:p>
          <w:p w14:paraId="0047866B" w14:textId="77777777" w:rsidR="003E2643" w:rsidRPr="00FC292A" w:rsidRDefault="003E2643" w:rsidP="003E2643">
            <w:pPr>
              <w:pStyle w:val="ListParagraph"/>
              <w:spacing w:after="40"/>
              <w:ind w:left="0"/>
              <w:outlineLvl w:val="0"/>
              <w:rPr>
                <w:rFonts w:eastAsia="Calibri"/>
                <w:b/>
                <w:color w:val="2F5496"/>
              </w:rPr>
            </w:pPr>
          </w:p>
        </w:tc>
        <w:tc>
          <w:tcPr>
            <w:tcW w:w="3121" w:type="dxa"/>
          </w:tcPr>
          <w:p w14:paraId="52FC69BF" w14:textId="77777777" w:rsidR="003E2643" w:rsidRPr="00A106FF" w:rsidRDefault="003E2643" w:rsidP="003E2643">
            <w:pPr>
              <w:pStyle w:val="ListParagraph"/>
              <w:spacing w:after="40"/>
              <w:ind w:left="0"/>
              <w:outlineLvl w:val="0"/>
              <w:rPr>
                <w:rFonts w:eastAsia="Calibri"/>
                <w:color w:val="2F5496"/>
              </w:rPr>
            </w:pPr>
            <w:r w:rsidRPr="00A106FF">
              <w:rPr>
                <w:rFonts w:eastAsia="Calibri"/>
                <w:color w:val="2F5496"/>
              </w:rPr>
              <w:t xml:space="preserve">Students exposed to </w:t>
            </w:r>
            <w:r>
              <w:rPr>
                <w:rFonts w:eastAsia="Calibri"/>
                <w:color w:val="2F5496"/>
              </w:rPr>
              <w:t>subject area</w:t>
            </w:r>
            <w:r w:rsidRPr="00A106FF">
              <w:rPr>
                <w:rFonts w:eastAsia="Calibri"/>
                <w:color w:val="2F5496"/>
              </w:rPr>
              <w:t xml:space="preserve"> design and/or data processing </w:t>
            </w:r>
          </w:p>
        </w:tc>
        <w:tc>
          <w:tcPr>
            <w:tcW w:w="2076" w:type="dxa"/>
          </w:tcPr>
          <w:p w14:paraId="3871AB0A" w14:textId="77777777" w:rsidR="003E2643" w:rsidRPr="00FC292A" w:rsidRDefault="003E2643" w:rsidP="003E2643">
            <w:pPr>
              <w:pStyle w:val="ListParagraph"/>
              <w:spacing w:after="40"/>
              <w:ind w:left="0"/>
              <w:outlineLvl w:val="0"/>
              <w:rPr>
                <w:rFonts w:eastAsia="Calibri"/>
                <w:b/>
                <w:color w:val="2F5496"/>
              </w:rPr>
            </w:pPr>
          </w:p>
        </w:tc>
        <w:tc>
          <w:tcPr>
            <w:tcW w:w="1936" w:type="dxa"/>
          </w:tcPr>
          <w:p w14:paraId="7BBB8103" w14:textId="77777777" w:rsidR="003E2643" w:rsidRPr="00FC292A" w:rsidRDefault="003E2643" w:rsidP="003E2643">
            <w:pPr>
              <w:pStyle w:val="ListParagraph"/>
              <w:spacing w:after="40"/>
              <w:ind w:left="0"/>
              <w:outlineLvl w:val="0"/>
              <w:rPr>
                <w:rFonts w:eastAsia="Calibri"/>
                <w:b/>
                <w:color w:val="2F5496"/>
              </w:rPr>
            </w:pPr>
          </w:p>
        </w:tc>
      </w:tr>
      <w:tr w:rsidR="003E2643" w:rsidRPr="00FC292A" w14:paraId="474A77D8" w14:textId="77777777" w:rsidTr="003E2643">
        <w:tc>
          <w:tcPr>
            <w:tcW w:w="371" w:type="dxa"/>
          </w:tcPr>
          <w:p w14:paraId="3E99A06A" w14:textId="77777777" w:rsidR="003E2643" w:rsidRPr="00FC292A" w:rsidRDefault="003E2643" w:rsidP="003E2643">
            <w:pPr>
              <w:pStyle w:val="ListParagraph"/>
              <w:spacing w:after="40"/>
              <w:ind w:left="0"/>
              <w:outlineLvl w:val="0"/>
              <w:rPr>
                <w:rFonts w:eastAsia="Calibri"/>
                <w:b/>
                <w:color w:val="2F5496"/>
              </w:rPr>
            </w:pPr>
            <w:r>
              <w:rPr>
                <w:rFonts w:eastAsia="Calibri"/>
                <w:b/>
                <w:color w:val="2F5496"/>
              </w:rPr>
              <w:t>3</w:t>
            </w:r>
          </w:p>
        </w:tc>
        <w:tc>
          <w:tcPr>
            <w:tcW w:w="2504" w:type="dxa"/>
          </w:tcPr>
          <w:p w14:paraId="26ABD515" w14:textId="77777777" w:rsidR="003E2643" w:rsidRDefault="003E2643" w:rsidP="003E2643">
            <w:pPr>
              <w:pStyle w:val="ListParagraph"/>
              <w:spacing w:after="40"/>
              <w:ind w:left="0"/>
              <w:outlineLvl w:val="0"/>
              <w:rPr>
                <w:rFonts w:eastAsia="Calibri"/>
                <w:b/>
                <w:color w:val="2F5496"/>
              </w:rPr>
            </w:pPr>
            <w:r>
              <w:rPr>
                <w:rFonts w:eastAsia="Calibri"/>
                <w:b/>
                <w:color w:val="2F5496"/>
              </w:rPr>
              <w:t>Publications (conference or journal)</w:t>
            </w:r>
          </w:p>
          <w:p w14:paraId="291A408D" w14:textId="77777777" w:rsidR="003E2643" w:rsidRDefault="003E2643" w:rsidP="003E2643">
            <w:pPr>
              <w:pStyle w:val="ListParagraph"/>
              <w:spacing w:after="40"/>
              <w:ind w:left="0"/>
              <w:outlineLvl w:val="0"/>
              <w:rPr>
                <w:rFonts w:eastAsia="Calibri"/>
                <w:b/>
                <w:color w:val="2F5496"/>
              </w:rPr>
            </w:pPr>
          </w:p>
          <w:p w14:paraId="6F2B245B" w14:textId="77777777" w:rsidR="003E2643" w:rsidRPr="00FC292A" w:rsidRDefault="003E2643" w:rsidP="003E2643">
            <w:pPr>
              <w:pStyle w:val="ListParagraph"/>
              <w:spacing w:after="40"/>
              <w:ind w:left="0"/>
              <w:outlineLvl w:val="0"/>
              <w:rPr>
                <w:rFonts w:eastAsia="Calibri"/>
                <w:b/>
                <w:color w:val="2F5496"/>
              </w:rPr>
            </w:pPr>
          </w:p>
        </w:tc>
        <w:tc>
          <w:tcPr>
            <w:tcW w:w="3121" w:type="dxa"/>
          </w:tcPr>
          <w:p w14:paraId="651EADAB" w14:textId="77777777" w:rsidR="003E2643" w:rsidRPr="00A106FF" w:rsidRDefault="003E2643" w:rsidP="003E2643">
            <w:pPr>
              <w:pStyle w:val="ListParagraph"/>
              <w:spacing w:after="40"/>
              <w:ind w:left="0"/>
              <w:outlineLvl w:val="0"/>
              <w:rPr>
                <w:rFonts w:eastAsia="Calibri"/>
                <w:color w:val="2F5496"/>
              </w:rPr>
            </w:pPr>
            <w:r w:rsidRPr="00A106FF">
              <w:rPr>
                <w:rFonts w:eastAsia="Calibri"/>
                <w:color w:val="2F5496"/>
              </w:rPr>
              <w:t>Publications enabled by this grant (not the primary goal, but beneficial)</w:t>
            </w:r>
          </w:p>
        </w:tc>
        <w:tc>
          <w:tcPr>
            <w:tcW w:w="2076" w:type="dxa"/>
          </w:tcPr>
          <w:p w14:paraId="64F967A3" w14:textId="77777777" w:rsidR="003E2643" w:rsidRPr="00FC292A" w:rsidRDefault="003E2643" w:rsidP="003E2643">
            <w:pPr>
              <w:pStyle w:val="ListParagraph"/>
              <w:spacing w:after="40"/>
              <w:ind w:left="0"/>
              <w:outlineLvl w:val="0"/>
              <w:rPr>
                <w:rFonts w:eastAsia="Calibri"/>
                <w:b/>
                <w:color w:val="2F5496"/>
              </w:rPr>
            </w:pPr>
          </w:p>
        </w:tc>
        <w:tc>
          <w:tcPr>
            <w:tcW w:w="1936" w:type="dxa"/>
          </w:tcPr>
          <w:p w14:paraId="4F09D558" w14:textId="77777777" w:rsidR="003E2643" w:rsidRPr="00FC292A" w:rsidRDefault="003E2643" w:rsidP="003E2643">
            <w:pPr>
              <w:pStyle w:val="ListParagraph"/>
              <w:spacing w:after="40"/>
              <w:ind w:left="0"/>
              <w:outlineLvl w:val="0"/>
              <w:rPr>
                <w:rFonts w:eastAsia="Calibri"/>
                <w:b/>
                <w:color w:val="2F5496"/>
              </w:rPr>
            </w:pPr>
          </w:p>
        </w:tc>
      </w:tr>
    </w:tbl>
    <w:p w14:paraId="4D8C156A" w14:textId="34643D5F" w:rsidR="003E2643" w:rsidRDefault="003E2643" w:rsidP="003E2643">
      <w:pPr>
        <w:spacing w:after="0"/>
      </w:pPr>
    </w:p>
    <w:p w14:paraId="5246458E" w14:textId="6B3983DB" w:rsidR="00B10BCF" w:rsidRPr="00C97D0E" w:rsidRDefault="00B10BCF" w:rsidP="00C97D0E">
      <w:pPr>
        <w:pStyle w:val="Heading1"/>
      </w:pPr>
      <w:r w:rsidRPr="00C97D0E">
        <w:t xml:space="preserve">Deliverable Items </w:t>
      </w:r>
    </w:p>
    <w:p w14:paraId="5C807164" w14:textId="38A0CE6F" w:rsidR="00387040" w:rsidRPr="003E2643" w:rsidRDefault="003E2643" w:rsidP="003E2643">
      <w:pPr>
        <w:pStyle w:val="ListParagraph"/>
        <w:spacing w:after="0"/>
        <w:ind w:left="360"/>
        <w:outlineLvl w:val="0"/>
        <w:rPr>
          <w:b/>
          <w:color w:val="44546A" w:themeColor="text2"/>
          <w:sz w:val="20"/>
          <w:szCs w:val="20"/>
        </w:rPr>
      </w:pPr>
      <w:r w:rsidRPr="003E2643">
        <w:rPr>
          <w:b/>
          <w:color w:val="44546A" w:themeColor="text2"/>
          <w:sz w:val="20"/>
          <w:szCs w:val="20"/>
        </w:rPr>
        <w:t xml:space="preserve">Table 3 </w:t>
      </w:r>
      <w:r w:rsidR="00387040" w:rsidRPr="003E2643">
        <w:rPr>
          <w:b/>
          <w:color w:val="44546A" w:themeColor="text2"/>
          <w:sz w:val="20"/>
          <w:szCs w:val="20"/>
        </w:rPr>
        <w:t xml:space="preserve">Deliverables </w:t>
      </w:r>
      <w:r w:rsidR="00BB10B7" w:rsidRPr="003E2643">
        <w:rPr>
          <w:b/>
          <w:color w:val="44546A" w:themeColor="text2"/>
          <w:sz w:val="20"/>
          <w:szCs w:val="20"/>
        </w:rPr>
        <w:t>Table</w:t>
      </w:r>
    </w:p>
    <w:tbl>
      <w:tblPr>
        <w:tblStyle w:val="TableGrid"/>
        <w:tblW w:w="9355" w:type="dxa"/>
        <w:tblLayout w:type="fixed"/>
        <w:tblLook w:val="04A0" w:firstRow="1" w:lastRow="0" w:firstColumn="1" w:lastColumn="0" w:noHBand="0" w:noVBand="1"/>
      </w:tblPr>
      <w:tblGrid>
        <w:gridCol w:w="445"/>
        <w:gridCol w:w="1620"/>
        <w:gridCol w:w="4770"/>
        <w:gridCol w:w="2520"/>
      </w:tblGrid>
      <w:tr w:rsidR="003E242B" w:rsidRPr="003E242B" w14:paraId="46D6FB1D" w14:textId="77777777" w:rsidTr="003E2643">
        <w:tc>
          <w:tcPr>
            <w:tcW w:w="445" w:type="dxa"/>
          </w:tcPr>
          <w:p w14:paraId="75785FF9" w14:textId="17522486" w:rsidR="00051B61" w:rsidRPr="002C168F" w:rsidRDefault="00051B61" w:rsidP="00B30042">
            <w:pPr>
              <w:rPr>
                <w:sz w:val="22"/>
              </w:rPr>
            </w:pPr>
            <w:r w:rsidRPr="002C168F">
              <w:rPr>
                <w:rFonts w:eastAsia="Calibri"/>
                <w:b/>
                <w:color w:val="2F5496"/>
                <w:sz w:val="22"/>
              </w:rPr>
              <w:t>#</w:t>
            </w:r>
          </w:p>
        </w:tc>
        <w:tc>
          <w:tcPr>
            <w:tcW w:w="1620" w:type="dxa"/>
          </w:tcPr>
          <w:p w14:paraId="2606BC95" w14:textId="7A8BF9B9" w:rsidR="00051B61" w:rsidRPr="002C168F" w:rsidRDefault="00051B61" w:rsidP="00B30042">
            <w:pPr>
              <w:rPr>
                <w:sz w:val="22"/>
              </w:rPr>
            </w:pPr>
            <w:r w:rsidRPr="002C168F">
              <w:rPr>
                <w:rFonts w:eastAsia="Calibri"/>
                <w:b/>
                <w:color w:val="2F5496"/>
                <w:sz w:val="22"/>
              </w:rPr>
              <w:t>ITEM</w:t>
            </w:r>
          </w:p>
        </w:tc>
        <w:tc>
          <w:tcPr>
            <w:tcW w:w="4770" w:type="dxa"/>
          </w:tcPr>
          <w:p w14:paraId="179CA5D7" w14:textId="3ED89C67" w:rsidR="00051B61" w:rsidRPr="002C168F" w:rsidRDefault="00051B61" w:rsidP="00B30042">
            <w:pPr>
              <w:rPr>
                <w:rFonts w:eastAsia="Calibri"/>
                <w:b/>
                <w:color w:val="2F5496"/>
                <w:sz w:val="22"/>
              </w:rPr>
            </w:pPr>
            <w:r w:rsidRPr="002C168F">
              <w:rPr>
                <w:rFonts w:eastAsia="Calibri"/>
                <w:b/>
                <w:color w:val="2F5496"/>
                <w:sz w:val="22"/>
              </w:rPr>
              <w:t>Description</w:t>
            </w:r>
          </w:p>
        </w:tc>
        <w:tc>
          <w:tcPr>
            <w:tcW w:w="2520" w:type="dxa"/>
          </w:tcPr>
          <w:p w14:paraId="6B7D73F9" w14:textId="6E218949" w:rsidR="00051B61" w:rsidRPr="002C168F" w:rsidRDefault="00051B61" w:rsidP="00B30042">
            <w:pPr>
              <w:rPr>
                <w:sz w:val="22"/>
              </w:rPr>
            </w:pPr>
            <w:r w:rsidRPr="002C168F">
              <w:rPr>
                <w:rFonts w:eastAsia="Calibri"/>
                <w:b/>
                <w:color w:val="2F5496"/>
                <w:sz w:val="22"/>
              </w:rPr>
              <w:t>DUE DATE</w:t>
            </w:r>
          </w:p>
        </w:tc>
      </w:tr>
      <w:tr w:rsidR="003E242B" w:rsidRPr="003E242B" w14:paraId="4B4BB77D" w14:textId="77777777" w:rsidTr="003E2643">
        <w:tc>
          <w:tcPr>
            <w:tcW w:w="445" w:type="dxa"/>
          </w:tcPr>
          <w:p w14:paraId="406C517D" w14:textId="15D70065" w:rsidR="00051B61" w:rsidRPr="002C168F" w:rsidRDefault="00051B61" w:rsidP="00745A3A">
            <w:pPr>
              <w:rPr>
                <w:color w:val="00B050"/>
                <w:sz w:val="22"/>
              </w:rPr>
            </w:pPr>
            <w:r w:rsidRPr="002C168F">
              <w:rPr>
                <w:sz w:val="22"/>
              </w:rPr>
              <w:t>1</w:t>
            </w:r>
          </w:p>
        </w:tc>
        <w:tc>
          <w:tcPr>
            <w:tcW w:w="1620" w:type="dxa"/>
          </w:tcPr>
          <w:p w14:paraId="167F0CF7" w14:textId="6FE591FC" w:rsidR="00051B61" w:rsidRPr="002C168F" w:rsidRDefault="00051B61" w:rsidP="00745A3A">
            <w:pPr>
              <w:rPr>
                <w:sz w:val="22"/>
              </w:rPr>
            </w:pPr>
            <w:r w:rsidRPr="002C168F">
              <w:rPr>
                <w:sz w:val="22"/>
              </w:rPr>
              <w:t>Kick-off Meeting</w:t>
            </w:r>
          </w:p>
        </w:tc>
        <w:tc>
          <w:tcPr>
            <w:tcW w:w="4770" w:type="dxa"/>
          </w:tcPr>
          <w:p w14:paraId="71C2FF2D" w14:textId="094461B6" w:rsidR="00051B61" w:rsidRPr="002C168F" w:rsidRDefault="00051B61" w:rsidP="00745A3A">
            <w:pPr>
              <w:rPr>
                <w:sz w:val="22"/>
              </w:rPr>
            </w:pPr>
            <w:r w:rsidRPr="002C168F">
              <w:rPr>
                <w:sz w:val="22"/>
              </w:rPr>
              <w:t>Briefing in support of a project kick off meeting that details the plan for the work, as well as any additional details since the proposal was submitted. Meeting will be in person at proposer or NGA location, or virtual at the discretion of the government.</w:t>
            </w:r>
          </w:p>
        </w:tc>
        <w:tc>
          <w:tcPr>
            <w:tcW w:w="2520" w:type="dxa"/>
          </w:tcPr>
          <w:p w14:paraId="2321306E" w14:textId="6F92E75E" w:rsidR="00051B61" w:rsidRPr="002C168F" w:rsidRDefault="00051B61" w:rsidP="00745A3A">
            <w:pPr>
              <w:rPr>
                <w:sz w:val="22"/>
              </w:rPr>
            </w:pPr>
            <w:r w:rsidRPr="002C168F">
              <w:rPr>
                <w:sz w:val="22"/>
              </w:rPr>
              <w:t>15 days after start of initial performance</w:t>
            </w:r>
          </w:p>
        </w:tc>
      </w:tr>
      <w:tr w:rsidR="003E242B" w:rsidRPr="003E242B" w14:paraId="658111BF" w14:textId="77777777" w:rsidTr="003E2643">
        <w:tc>
          <w:tcPr>
            <w:tcW w:w="445" w:type="dxa"/>
          </w:tcPr>
          <w:p w14:paraId="32CB13D9" w14:textId="3F3DCCCB" w:rsidR="00051B61" w:rsidRPr="002C168F" w:rsidRDefault="00051B61" w:rsidP="00745A3A">
            <w:pPr>
              <w:rPr>
                <w:color w:val="00B050"/>
                <w:sz w:val="22"/>
              </w:rPr>
            </w:pPr>
            <w:r w:rsidRPr="002C168F">
              <w:rPr>
                <w:sz w:val="22"/>
              </w:rPr>
              <w:t>2</w:t>
            </w:r>
          </w:p>
        </w:tc>
        <w:tc>
          <w:tcPr>
            <w:tcW w:w="1620" w:type="dxa"/>
          </w:tcPr>
          <w:p w14:paraId="60D8FCEC" w14:textId="5AC4DE80" w:rsidR="00051B61" w:rsidRPr="002C168F" w:rsidRDefault="00051B61" w:rsidP="00745A3A">
            <w:pPr>
              <w:rPr>
                <w:sz w:val="22"/>
              </w:rPr>
            </w:pPr>
            <w:r w:rsidRPr="002C168F">
              <w:rPr>
                <w:sz w:val="22"/>
              </w:rPr>
              <w:t>Quarterly Research Performance Progress Report (RPPR)</w:t>
            </w:r>
          </w:p>
          <w:p w14:paraId="67654B9A" w14:textId="77777777" w:rsidR="00051B61" w:rsidRPr="002C168F" w:rsidRDefault="00051B61" w:rsidP="00745A3A">
            <w:pPr>
              <w:rPr>
                <w:sz w:val="22"/>
              </w:rPr>
            </w:pPr>
          </w:p>
          <w:p w14:paraId="36E3670A" w14:textId="68216552" w:rsidR="00051B61" w:rsidRPr="002C168F" w:rsidRDefault="00051B61" w:rsidP="00745A3A">
            <w:pPr>
              <w:rPr>
                <w:color w:val="00B050"/>
                <w:sz w:val="22"/>
              </w:rPr>
            </w:pPr>
          </w:p>
        </w:tc>
        <w:tc>
          <w:tcPr>
            <w:tcW w:w="4770" w:type="dxa"/>
          </w:tcPr>
          <w:p w14:paraId="3912FA6C" w14:textId="72917962" w:rsidR="00051B61" w:rsidRPr="002C168F" w:rsidRDefault="00051B61" w:rsidP="00051B61">
            <w:pPr>
              <w:rPr>
                <w:sz w:val="22"/>
              </w:rPr>
            </w:pPr>
            <w:r w:rsidRPr="002C168F">
              <w:rPr>
                <w:sz w:val="22"/>
              </w:rPr>
              <w:lastRenderedPageBreak/>
              <w:t>RPPR status report</w:t>
            </w:r>
            <w:r w:rsidR="00667F60">
              <w:rPr>
                <w:sz w:val="22"/>
              </w:rPr>
              <w:t>.</w:t>
            </w:r>
          </w:p>
          <w:p w14:paraId="2FEF9989" w14:textId="77777777" w:rsidR="00667F60" w:rsidRPr="00962D74" w:rsidRDefault="00667F60" w:rsidP="00051B61">
            <w:pPr>
              <w:rPr>
                <w:sz w:val="16"/>
              </w:rPr>
            </w:pPr>
          </w:p>
          <w:p w14:paraId="39894749" w14:textId="77777777" w:rsidR="00962D74" w:rsidRPr="002C168F" w:rsidRDefault="00962D74" w:rsidP="00962D74">
            <w:pPr>
              <w:rPr>
                <w:sz w:val="22"/>
              </w:rPr>
            </w:pPr>
            <w:r w:rsidRPr="002C168F">
              <w:rPr>
                <w:sz w:val="22"/>
              </w:rPr>
              <w:t xml:space="preserve">Subject Area </w:t>
            </w:r>
            <w:r w:rsidRPr="00924EFA">
              <w:rPr>
                <w:sz w:val="22"/>
              </w:rPr>
              <w:t xml:space="preserve">1 </w:t>
            </w:r>
            <w:r w:rsidRPr="00962D74">
              <w:rPr>
                <w:sz w:val="22"/>
              </w:rPr>
              <w:t xml:space="preserve">&amp; </w:t>
            </w:r>
            <w:r w:rsidRPr="00924EFA">
              <w:rPr>
                <w:sz w:val="22"/>
              </w:rPr>
              <w:t>2</w:t>
            </w:r>
            <w:r w:rsidRPr="002C168F">
              <w:rPr>
                <w:sz w:val="22"/>
              </w:rPr>
              <w:t xml:space="preserve"> </w:t>
            </w:r>
          </w:p>
          <w:p w14:paraId="62808E17" w14:textId="77777777" w:rsidR="00962D74" w:rsidRDefault="00962D74" w:rsidP="00962D74">
            <w:pPr>
              <w:rPr>
                <w:sz w:val="22"/>
              </w:rPr>
            </w:pPr>
            <w:r w:rsidRPr="002C168F">
              <w:rPr>
                <w:sz w:val="22"/>
              </w:rPr>
              <w:t>shall address the following as part of the report:</w:t>
            </w:r>
          </w:p>
          <w:p w14:paraId="00079774" w14:textId="77777777" w:rsidR="009F678D" w:rsidRPr="00962D74" w:rsidRDefault="009F678D" w:rsidP="00051B61">
            <w:pPr>
              <w:rPr>
                <w:sz w:val="18"/>
              </w:rPr>
            </w:pPr>
          </w:p>
          <w:p w14:paraId="4F5AD062" w14:textId="77777777" w:rsidR="00051B61" w:rsidRPr="002C168F" w:rsidRDefault="00051B61" w:rsidP="002C168F">
            <w:pPr>
              <w:pStyle w:val="ListParagraph"/>
              <w:numPr>
                <w:ilvl w:val="0"/>
                <w:numId w:val="9"/>
              </w:numPr>
              <w:ind w:left="360"/>
              <w:rPr>
                <w:sz w:val="22"/>
              </w:rPr>
            </w:pPr>
            <w:r w:rsidRPr="002C168F">
              <w:rPr>
                <w:sz w:val="22"/>
              </w:rPr>
              <w:lastRenderedPageBreak/>
              <w:t>Description of activities conducted that quarter and accomplishments (block 25) Students doing substantive work relating to this Topic Call</w:t>
            </w:r>
          </w:p>
          <w:p w14:paraId="69F92640" w14:textId="77777777" w:rsidR="00051B61" w:rsidRPr="002C168F" w:rsidRDefault="00051B61" w:rsidP="002C168F">
            <w:pPr>
              <w:pStyle w:val="ListParagraph"/>
              <w:ind w:left="360"/>
              <w:rPr>
                <w:sz w:val="22"/>
              </w:rPr>
            </w:pPr>
            <w:r w:rsidRPr="002C168F">
              <w:rPr>
                <w:sz w:val="22"/>
              </w:rPr>
              <w:t>(include level, i.e. freshman, sophomore, junior, senior, graduate as well as percentage of time) (block 33)</w:t>
            </w:r>
          </w:p>
          <w:p w14:paraId="163D5F9C" w14:textId="77777777" w:rsidR="00051B61" w:rsidRPr="002C168F" w:rsidRDefault="00051B61" w:rsidP="002C168F">
            <w:pPr>
              <w:pStyle w:val="ListParagraph"/>
              <w:numPr>
                <w:ilvl w:val="0"/>
                <w:numId w:val="9"/>
              </w:numPr>
              <w:ind w:left="360"/>
              <w:rPr>
                <w:sz w:val="22"/>
              </w:rPr>
            </w:pPr>
            <w:r w:rsidRPr="002C168F">
              <w:rPr>
                <w:sz w:val="22"/>
              </w:rPr>
              <w:t>Student involved with the program who obtained jobs in the field, including company and position where possible (block 40)</w:t>
            </w:r>
          </w:p>
          <w:p w14:paraId="4B89AEE6" w14:textId="77777777" w:rsidR="00051B61" w:rsidRPr="002C168F" w:rsidRDefault="00051B61" w:rsidP="002C168F">
            <w:pPr>
              <w:pStyle w:val="ListParagraph"/>
              <w:numPr>
                <w:ilvl w:val="0"/>
                <w:numId w:val="9"/>
              </w:numPr>
              <w:ind w:left="360"/>
              <w:rPr>
                <w:sz w:val="22"/>
              </w:rPr>
            </w:pPr>
            <w:r w:rsidRPr="002C168F">
              <w:rPr>
                <w:sz w:val="22"/>
              </w:rPr>
              <w:t>Other students exposed to or trained in Topic Call Subject Areas through classes or other activities (block 36)</w:t>
            </w:r>
          </w:p>
          <w:p w14:paraId="7C07957A" w14:textId="77777777" w:rsidR="00051B61" w:rsidRPr="002C168F" w:rsidRDefault="00051B61" w:rsidP="002C168F">
            <w:pPr>
              <w:pStyle w:val="ListParagraph"/>
              <w:numPr>
                <w:ilvl w:val="0"/>
                <w:numId w:val="9"/>
              </w:numPr>
              <w:ind w:left="360"/>
              <w:rPr>
                <w:sz w:val="22"/>
              </w:rPr>
            </w:pPr>
            <w:r w:rsidRPr="002C168F">
              <w:rPr>
                <w:sz w:val="22"/>
              </w:rPr>
              <w:t>Status of academic papers (block 29, conference talks (block 29), patents or similar resulting from this work (block 31)</w:t>
            </w:r>
          </w:p>
          <w:p w14:paraId="49FE670D" w14:textId="77777777" w:rsidR="00051B61" w:rsidRPr="002C168F" w:rsidRDefault="00051B61" w:rsidP="002C168F">
            <w:pPr>
              <w:pStyle w:val="ListParagraph"/>
              <w:numPr>
                <w:ilvl w:val="0"/>
                <w:numId w:val="9"/>
              </w:numPr>
              <w:ind w:left="360"/>
              <w:rPr>
                <w:sz w:val="22"/>
              </w:rPr>
            </w:pPr>
            <w:r w:rsidRPr="002C168F">
              <w:rPr>
                <w:sz w:val="22"/>
              </w:rPr>
              <w:t>Any other materials proposer wants to provide the government (block 32)</w:t>
            </w:r>
          </w:p>
          <w:p w14:paraId="3FC42FC5" w14:textId="77777777" w:rsidR="00051B61" w:rsidRPr="002C168F" w:rsidRDefault="00051B61" w:rsidP="002C168F">
            <w:pPr>
              <w:pStyle w:val="ListParagraph"/>
              <w:numPr>
                <w:ilvl w:val="0"/>
                <w:numId w:val="9"/>
              </w:numPr>
              <w:ind w:left="360"/>
              <w:rPr>
                <w:sz w:val="22"/>
              </w:rPr>
            </w:pPr>
            <w:r w:rsidRPr="002C168F">
              <w:rPr>
                <w:sz w:val="22"/>
              </w:rPr>
              <w:t>Others items of interest pertaining to the award or student training (block 26)</w:t>
            </w:r>
          </w:p>
          <w:p w14:paraId="64696E6F" w14:textId="77777777" w:rsidR="00051B61" w:rsidRPr="002C168F" w:rsidRDefault="00051B61" w:rsidP="00051B61">
            <w:pPr>
              <w:rPr>
                <w:sz w:val="22"/>
              </w:rPr>
            </w:pPr>
          </w:p>
          <w:p w14:paraId="3BBE784F" w14:textId="77777777" w:rsidR="00051B61" w:rsidRPr="002C168F" w:rsidRDefault="00051B61" w:rsidP="00051B61">
            <w:pPr>
              <w:rPr>
                <w:sz w:val="22"/>
              </w:rPr>
            </w:pPr>
            <w:r w:rsidRPr="002C168F">
              <w:rPr>
                <w:sz w:val="22"/>
              </w:rPr>
              <w:t xml:space="preserve">If the RPRR does not provide sufficient space to submit the information above, proposers shall submit an addendum with the information as part of the RPRR.  </w:t>
            </w:r>
          </w:p>
          <w:p w14:paraId="6621CF86" w14:textId="77777777" w:rsidR="00051B61" w:rsidRPr="002C168F" w:rsidRDefault="00051B61" w:rsidP="00051B61">
            <w:pPr>
              <w:rPr>
                <w:sz w:val="22"/>
              </w:rPr>
            </w:pPr>
          </w:p>
        </w:tc>
        <w:tc>
          <w:tcPr>
            <w:tcW w:w="2520" w:type="dxa"/>
          </w:tcPr>
          <w:p w14:paraId="175236F9" w14:textId="77777777" w:rsidR="00051B61" w:rsidRPr="002C168F" w:rsidRDefault="00051B61" w:rsidP="00745A3A">
            <w:pPr>
              <w:rPr>
                <w:sz w:val="22"/>
              </w:rPr>
            </w:pPr>
            <w:r w:rsidRPr="002C168F">
              <w:rPr>
                <w:sz w:val="22"/>
              </w:rPr>
              <w:lastRenderedPageBreak/>
              <w:t>No later than 5 business days after the end of each quarter of work</w:t>
            </w:r>
          </w:p>
          <w:p w14:paraId="35BF0DE9" w14:textId="77777777" w:rsidR="00051B61" w:rsidRPr="002C168F" w:rsidRDefault="00051B61" w:rsidP="00745A3A">
            <w:pPr>
              <w:rPr>
                <w:color w:val="00B050"/>
                <w:sz w:val="22"/>
              </w:rPr>
            </w:pPr>
          </w:p>
          <w:p w14:paraId="7D8565A7" w14:textId="77777777" w:rsidR="00051B61" w:rsidRPr="002C168F" w:rsidRDefault="00051B61" w:rsidP="00051B61">
            <w:pPr>
              <w:rPr>
                <w:sz w:val="22"/>
              </w:rPr>
            </w:pPr>
            <w:r w:rsidRPr="002C168F">
              <w:rPr>
                <w:i/>
                <w:sz w:val="22"/>
              </w:rPr>
              <w:lastRenderedPageBreak/>
              <w:t xml:space="preserve">The quarterly report for the last quarter of the 12-month reporting period is replaced by the annual report.  </w:t>
            </w:r>
          </w:p>
          <w:p w14:paraId="4CF4C6F2" w14:textId="4813AC1F" w:rsidR="00051B61" w:rsidRPr="002C168F" w:rsidRDefault="00051B61" w:rsidP="00745A3A">
            <w:pPr>
              <w:rPr>
                <w:color w:val="00B050"/>
                <w:sz w:val="22"/>
              </w:rPr>
            </w:pPr>
          </w:p>
        </w:tc>
      </w:tr>
      <w:tr w:rsidR="003E242B" w:rsidRPr="003E242B" w14:paraId="28B4B4F4" w14:textId="77777777" w:rsidTr="003E2643">
        <w:tc>
          <w:tcPr>
            <w:tcW w:w="445" w:type="dxa"/>
          </w:tcPr>
          <w:p w14:paraId="68C1FB42" w14:textId="5126EE5F" w:rsidR="00051B61" w:rsidRPr="002C168F" w:rsidRDefault="00051B61" w:rsidP="00745A3A">
            <w:pPr>
              <w:rPr>
                <w:sz w:val="22"/>
              </w:rPr>
            </w:pPr>
            <w:r w:rsidRPr="002C168F">
              <w:rPr>
                <w:sz w:val="22"/>
              </w:rPr>
              <w:lastRenderedPageBreak/>
              <w:t>3</w:t>
            </w:r>
          </w:p>
        </w:tc>
        <w:tc>
          <w:tcPr>
            <w:tcW w:w="1620" w:type="dxa"/>
          </w:tcPr>
          <w:p w14:paraId="2F1C7C9E" w14:textId="77777777" w:rsidR="00051B61" w:rsidRPr="002C168F" w:rsidRDefault="00051B61" w:rsidP="00745A3A">
            <w:pPr>
              <w:rPr>
                <w:sz w:val="22"/>
              </w:rPr>
            </w:pPr>
            <w:r w:rsidRPr="002C168F">
              <w:rPr>
                <w:sz w:val="22"/>
              </w:rPr>
              <w:t>Financial Execution</w:t>
            </w:r>
          </w:p>
          <w:p w14:paraId="74D10371" w14:textId="7801DF74" w:rsidR="00051B61" w:rsidRPr="002C168F" w:rsidRDefault="00051B61" w:rsidP="00745A3A">
            <w:pPr>
              <w:rPr>
                <w:sz w:val="22"/>
              </w:rPr>
            </w:pPr>
          </w:p>
        </w:tc>
        <w:tc>
          <w:tcPr>
            <w:tcW w:w="4770" w:type="dxa"/>
          </w:tcPr>
          <w:p w14:paraId="72FA43C4" w14:textId="46D97E95" w:rsidR="00051B61" w:rsidRPr="002C168F" w:rsidRDefault="00051B61" w:rsidP="00745A3A">
            <w:pPr>
              <w:rPr>
                <w:sz w:val="22"/>
              </w:rPr>
            </w:pPr>
            <w:r w:rsidRPr="002C168F">
              <w:rPr>
                <w:sz w:val="22"/>
              </w:rPr>
              <w:t>As a minimum, cover charges made during the quarter (include labor hours charges and rate, by labor category), cumulative totals, and remaining funds.</w:t>
            </w:r>
          </w:p>
        </w:tc>
        <w:tc>
          <w:tcPr>
            <w:tcW w:w="2520" w:type="dxa"/>
          </w:tcPr>
          <w:p w14:paraId="117DF88B" w14:textId="3A233021" w:rsidR="00051B61" w:rsidRPr="002C168F" w:rsidRDefault="00051B61" w:rsidP="00745A3A">
            <w:pPr>
              <w:rPr>
                <w:sz w:val="22"/>
              </w:rPr>
            </w:pPr>
            <w:r w:rsidRPr="002C168F">
              <w:rPr>
                <w:sz w:val="22"/>
              </w:rPr>
              <w:t>Due with quarterly RPPR; no later than 5 business days after the end of each quarter of work.</w:t>
            </w:r>
          </w:p>
        </w:tc>
      </w:tr>
      <w:tr w:rsidR="003E242B" w:rsidRPr="003E242B" w14:paraId="6D4CDBC8" w14:textId="77777777" w:rsidTr="003E2643">
        <w:tc>
          <w:tcPr>
            <w:tcW w:w="445" w:type="dxa"/>
          </w:tcPr>
          <w:p w14:paraId="2392B271" w14:textId="7961B06A" w:rsidR="00051B61" w:rsidRPr="002C168F" w:rsidRDefault="00051B61" w:rsidP="00745A3A">
            <w:pPr>
              <w:rPr>
                <w:sz w:val="22"/>
              </w:rPr>
            </w:pPr>
            <w:r w:rsidRPr="002C168F">
              <w:rPr>
                <w:sz w:val="22"/>
              </w:rPr>
              <w:t>4</w:t>
            </w:r>
          </w:p>
        </w:tc>
        <w:tc>
          <w:tcPr>
            <w:tcW w:w="1620" w:type="dxa"/>
          </w:tcPr>
          <w:p w14:paraId="4DD45BA9" w14:textId="40AA8A4D" w:rsidR="00051B61" w:rsidRPr="002C168F" w:rsidRDefault="00051B61" w:rsidP="00745A3A">
            <w:pPr>
              <w:rPr>
                <w:sz w:val="22"/>
              </w:rPr>
            </w:pPr>
            <w:r w:rsidRPr="002C168F">
              <w:rPr>
                <w:sz w:val="22"/>
              </w:rPr>
              <w:t>Quarterly Status Discussion</w:t>
            </w:r>
          </w:p>
        </w:tc>
        <w:tc>
          <w:tcPr>
            <w:tcW w:w="4770" w:type="dxa"/>
          </w:tcPr>
          <w:p w14:paraId="4ACCE2BD" w14:textId="3705428D" w:rsidR="00051B61" w:rsidRPr="002C168F" w:rsidRDefault="00051B61" w:rsidP="00745A3A">
            <w:pPr>
              <w:rPr>
                <w:sz w:val="22"/>
              </w:rPr>
            </w:pPr>
            <w:r w:rsidRPr="002C168F">
              <w:rPr>
                <w:sz w:val="22"/>
              </w:rPr>
              <w:t>A discussion on status and progress in addition to the written quarterly RPRR. The first and third quarterly discussion will be approximately one hour, held virtually, and focus on only the metrics and RPPR content.  The second and fourth quarterly discussions will be in person (assume one each year at the government’s location and one at the proposers for costing purposes), half a day to a day in length, and provide more detailed presentations / discussions of the work undertaken in the grant.</w:t>
            </w:r>
          </w:p>
        </w:tc>
        <w:tc>
          <w:tcPr>
            <w:tcW w:w="2520" w:type="dxa"/>
          </w:tcPr>
          <w:p w14:paraId="66CD4E97" w14:textId="0606B7FC" w:rsidR="00051B61" w:rsidRPr="002C168F" w:rsidRDefault="00051B61" w:rsidP="00745A3A">
            <w:pPr>
              <w:rPr>
                <w:sz w:val="22"/>
              </w:rPr>
            </w:pPr>
            <w:r w:rsidRPr="002C168F">
              <w:rPr>
                <w:sz w:val="22"/>
              </w:rPr>
              <w:t xml:space="preserve">Quarterly, NLT 10 days following receipt of the quarterly RPRR.  </w:t>
            </w:r>
          </w:p>
        </w:tc>
      </w:tr>
      <w:tr w:rsidR="003E242B" w:rsidRPr="003E242B" w:rsidDel="009D2DE1" w14:paraId="56FAC007" w14:textId="77777777" w:rsidTr="003E2643">
        <w:tc>
          <w:tcPr>
            <w:tcW w:w="445" w:type="dxa"/>
          </w:tcPr>
          <w:p w14:paraId="43038D1D" w14:textId="3DF0730D" w:rsidR="00051B61" w:rsidRPr="002C168F" w:rsidDel="009D2DE1" w:rsidRDefault="00051B61" w:rsidP="00745A3A">
            <w:pPr>
              <w:rPr>
                <w:sz w:val="22"/>
              </w:rPr>
            </w:pPr>
            <w:r w:rsidRPr="002C168F">
              <w:rPr>
                <w:sz w:val="22"/>
              </w:rPr>
              <w:t>5</w:t>
            </w:r>
          </w:p>
        </w:tc>
        <w:tc>
          <w:tcPr>
            <w:tcW w:w="1620" w:type="dxa"/>
          </w:tcPr>
          <w:p w14:paraId="7A49732A" w14:textId="4C7A82B4" w:rsidR="00051B61" w:rsidRPr="002C168F" w:rsidDel="009D2DE1" w:rsidRDefault="00051B61" w:rsidP="00745A3A">
            <w:pPr>
              <w:rPr>
                <w:sz w:val="22"/>
              </w:rPr>
            </w:pPr>
            <w:r w:rsidRPr="002C168F">
              <w:rPr>
                <w:sz w:val="22"/>
              </w:rPr>
              <w:t>Annual RPPR</w:t>
            </w:r>
          </w:p>
        </w:tc>
        <w:tc>
          <w:tcPr>
            <w:tcW w:w="4770" w:type="dxa"/>
          </w:tcPr>
          <w:p w14:paraId="2FCA9FE4" w14:textId="77777777" w:rsidR="00051B61" w:rsidRPr="002C168F" w:rsidRDefault="00051B61" w:rsidP="009E1BE4">
            <w:pPr>
              <w:pStyle w:val="BodyText"/>
              <w:tabs>
                <w:tab w:val="left" w:pos="480"/>
              </w:tabs>
              <w:ind w:left="0" w:firstLine="0"/>
              <w:rPr>
                <w:rFonts w:cs="Times New Roman"/>
                <w:sz w:val="22"/>
              </w:rPr>
            </w:pPr>
          </w:p>
        </w:tc>
        <w:tc>
          <w:tcPr>
            <w:tcW w:w="2520" w:type="dxa"/>
          </w:tcPr>
          <w:p w14:paraId="6C1B8F0F" w14:textId="31233C3C" w:rsidR="00051B61" w:rsidRPr="002C168F" w:rsidRDefault="00051B61" w:rsidP="009E1BE4">
            <w:pPr>
              <w:pStyle w:val="BodyText"/>
              <w:tabs>
                <w:tab w:val="left" w:pos="480"/>
              </w:tabs>
              <w:ind w:left="0" w:firstLine="0"/>
              <w:rPr>
                <w:rFonts w:cs="Times New Roman"/>
                <w:sz w:val="22"/>
              </w:rPr>
            </w:pPr>
            <w:r w:rsidRPr="002C168F">
              <w:rPr>
                <w:rFonts w:cs="Times New Roman"/>
                <w:sz w:val="22"/>
              </w:rPr>
              <w:t>90 days after the end of the reporting period</w:t>
            </w:r>
          </w:p>
          <w:p w14:paraId="6ED40618" w14:textId="77777777" w:rsidR="00051B61" w:rsidRPr="002C168F" w:rsidDel="009D2DE1" w:rsidRDefault="00051B61" w:rsidP="00745A3A">
            <w:pPr>
              <w:rPr>
                <w:sz w:val="22"/>
              </w:rPr>
            </w:pPr>
          </w:p>
        </w:tc>
      </w:tr>
      <w:tr w:rsidR="003E242B" w:rsidRPr="003E242B" w:rsidDel="009D2DE1" w14:paraId="054CA54C" w14:textId="77777777" w:rsidTr="003E2643">
        <w:tc>
          <w:tcPr>
            <w:tcW w:w="445" w:type="dxa"/>
          </w:tcPr>
          <w:p w14:paraId="27DA1B1E" w14:textId="12F50A16" w:rsidR="00051B61" w:rsidRPr="002C168F" w:rsidDel="009D2DE1" w:rsidRDefault="00051B61" w:rsidP="00745A3A">
            <w:pPr>
              <w:rPr>
                <w:sz w:val="22"/>
              </w:rPr>
            </w:pPr>
            <w:r w:rsidRPr="002C168F">
              <w:rPr>
                <w:sz w:val="22"/>
              </w:rPr>
              <w:t>6</w:t>
            </w:r>
          </w:p>
        </w:tc>
        <w:tc>
          <w:tcPr>
            <w:tcW w:w="1620" w:type="dxa"/>
          </w:tcPr>
          <w:p w14:paraId="754F20EB" w14:textId="5D90A789" w:rsidR="00051B61" w:rsidRPr="002C168F" w:rsidDel="009D2DE1" w:rsidRDefault="00051B61" w:rsidP="00745A3A">
            <w:pPr>
              <w:rPr>
                <w:sz w:val="22"/>
              </w:rPr>
            </w:pPr>
            <w:r w:rsidRPr="002C168F">
              <w:rPr>
                <w:sz w:val="22"/>
              </w:rPr>
              <w:t>Final RPPR</w:t>
            </w:r>
          </w:p>
        </w:tc>
        <w:tc>
          <w:tcPr>
            <w:tcW w:w="4770" w:type="dxa"/>
          </w:tcPr>
          <w:p w14:paraId="329AB053" w14:textId="77777777" w:rsidR="00051B61" w:rsidRPr="002C168F" w:rsidRDefault="00051B61" w:rsidP="00745A3A">
            <w:pPr>
              <w:rPr>
                <w:sz w:val="22"/>
              </w:rPr>
            </w:pPr>
          </w:p>
        </w:tc>
        <w:tc>
          <w:tcPr>
            <w:tcW w:w="2520" w:type="dxa"/>
          </w:tcPr>
          <w:p w14:paraId="77AEBB19" w14:textId="0B64BC5B" w:rsidR="00051B61" w:rsidRPr="002C168F" w:rsidDel="009D2DE1" w:rsidRDefault="00051B61" w:rsidP="00745A3A">
            <w:pPr>
              <w:rPr>
                <w:sz w:val="22"/>
              </w:rPr>
            </w:pPr>
            <w:r w:rsidRPr="002C168F">
              <w:rPr>
                <w:sz w:val="22"/>
              </w:rPr>
              <w:t>90 days after the end of the expiration or termination of the award</w:t>
            </w:r>
          </w:p>
        </w:tc>
      </w:tr>
    </w:tbl>
    <w:p w14:paraId="093914A7" w14:textId="77777777" w:rsidR="00C265A7" w:rsidRPr="002D35A4" w:rsidRDefault="00C265A7" w:rsidP="002C168F"/>
    <w:p w14:paraId="18189FEC" w14:textId="5A99745A" w:rsidR="00462C2F" w:rsidRPr="00C97D0E" w:rsidRDefault="00266E57" w:rsidP="00C97D0E">
      <w:pPr>
        <w:pStyle w:val="Heading1"/>
      </w:pPr>
      <w:r w:rsidRPr="00C97D0E">
        <w:lastRenderedPageBreak/>
        <w:t xml:space="preserve">Government Furnished Information/Data/Property  </w:t>
      </w:r>
    </w:p>
    <w:p w14:paraId="377DB096" w14:textId="45AFCC8D" w:rsidR="00CC4DF4" w:rsidRDefault="00D60C88" w:rsidP="00CC4DF4">
      <w:r>
        <w:t xml:space="preserve">No government furnished data or hardware will be provided in this topic call.  </w:t>
      </w:r>
    </w:p>
    <w:p w14:paraId="044704C8" w14:textId="77777777" w:rsidR="003E2643" w:rsidRDefault="003E2643" w:rsidP="00CC4DF4"/>
    <w:p w14:paraId="60B311CF" w14:textId="2E30C22E" w:rsidR="00CC4DF4" w:rsidRPr="00C97D0E" w:rsidRDefault="00CC4DF4" w:rsidP="00C97D0E">
      <w:pPr>
        <w:pStyle w:val="Heading1"/>
      </w:pPr>
      <w:r w:rsidRPr="00C97D0E">
        <w:t>Security Considerations</w:t>
      </w:r>
    </w:p>
    <w:p w14:paraId="0B0D9891" w14:textId="3EF63C64" w:rsidR="004768CB" w:rsidRDefault="00951100" w:rsidP="004768CB">
      <w:r w:rsidRPr="00E06DFE">
        <w:t xml:space="preserve">Work under this effort will be </w:t>
      </w:r>
      <w:r w:rsidR="00AB6E90">
        <w:t xml:space="preserve">at </w:t>
      </w:r>
      <w:r w:rsidRPr="00056B05">
        <w:t xml:space="preserve">the </w:t>
      </w:r>
      <w:r w:rsidR="003E242B" w:rsidRPr="00587CB3">
        <w:rPr>
          <w:b/>
          <w:u w:val="single"/>
        </w:rPr>
        <w:t>u</w:t>
      </w:r>
      <w:r w:rsidR="00056B05" w:rsidRPr="00587CB3">
        <w:rPr>
          <w:b/>
          <w:u w:val="single"/>
        </w:rPr>
        <w:t>nclassified</w:t>
      </w:r>
      <w:r w:rsidRPr="00056B05">
        <w:t xml:space="preserve"> level</w:t>
      </w:r>
      <w:r w:rsidRPr="00E06DFE">
        <w:t>.</w:t>
      </w:r>
    </w:p>
    <w:p w14:paraId="220B8A2E" w14:textId="3C41DB91" w:rsidR="00D4501B" w:rsidRDefault="00D4501B" w:rsidP="003B47A3">
      <w:pPr>
        <w:pStyle w:val="Heading2"/>
      </w:pPr>
      <w:r>
        <w:t>7.1</w:t>
      </w:r>
      <w:r w:rsidR="007F661B">
        <w:t>.</w:t>
      </w:r>
      <w:r w:rsidR="00540951">
        <w:t xml:space="preserve"> </w:t>
      </w:r>
      <w:r>
        <w:t>Unclassified Work Performance Security Requirements</w:t>
      </w:r>
    </w:p>
    <w:p w14:paraId="2FC0DB4E" w14:textId="6AC88A00" w:rsidR="00D4501B" w:rsidRDefault="00D4501B" w:rsidP="006229D1">
      <w:r>
        <w:t xml:space="preserve">Uncleared </w:t>
      </w:r>
      <w:r w:rsidR="007E6036">
        <w:t xml:space="preserve">Recipient </w:t>
      </w:r>
      <w:r>
        <w:t xml:space="preserve">personnel are authorized to work on this contract at the </w:t>
      </w:r>
      <w:r w:rsidR="007E6036" w:rsidRPr="00587CB3">
        <w:rPr>
          <w:b/>
          <w:u w:val="single"/>
        </w:rPr>
        <w:t>u</w:t>
      </w:r>
      <w:r w:rsidRPr="00587CB3">
        <w:rPr>
          <w:b/>
          <w:u w:val="single"/>
        </w:rPr>
        <w:t>nclassified</w:t>
      </w:r>
      <w:r>
        <w:t xml:space="preserve"> level without the requirement of a security clearance.</w:t>
      </w:r>
    </w:p>
    <w:p w14:paraId="14AA1BF3" w14:textId="2A9E1B3E" w:rsidR="00D4501B" w:rsidRDefault="0075345C" w:rsidP="003B47A3">
      <w:pPr>
        <w:pStyle w:val="Heading2"/>
      </w:pPr>
      <w:r>
        <w:t xml:space="preserve">7.2. </w:t>
      </w:r>
      <w:r w:rsidR="00D4501B">
        <w:t>Uncleared Personnel Security Requirements</w:t>
      </w:r>
    </w:p>
    <w:p w14:paraId="5CFF003C" w14:textId="2EFA7A21" w:rsidR="00D4501B" w:rsidRDefault="00D4501B" w:rsidP="006229D1">
      <w:r>
        <w:t xml:space="preserve">Should NGA identify the use of unauthorized personnel, the CO may direct the </w:t>
      </w:r>
      <w:r w:rsidR="007E6036">
        <w:t>Recipient</w:t>
      </w:r>
      <w:r>
        <w:t xml:space="preserve">, at its own expense, to remove and replace any unauthorized personnel performing on the </w:t>
      </w:r>
      <w:r w:rsidR="00EF659F">
        <w:t>grant</w:t>
      </w:r>
      <w:r>
        <w:t xml:space="preserve">. Such action may be taken at the NGA's discretion without prejudice to its rights under any other </w:t>
      </w:r>
      <w:r w:rsidR="00EF659F">
        <w:t>grant terms and conditions.</w:t>
      </w:r>
    </w:p>
    <w:p w14:paraId="3DB8D829" w14:textId="680E505E" w:rsidR="00D4501B" w:rsidRDefault="00D4501B" w:rsidP="006229D1">
      <w:r>
        <w:t xml:space="preserve">Uncleared </w:t>
      </w:r>
      <w:r w:rsidR="007E6036">
        <w:t xml:space="preserve">Recipient </w:t>
      </w:r>
      <w:r>
        <w:t xml:space="preserve">personnel visiting NGA facilities or other sites may receive the appropriate visitor badge and be escorted, as appropriate. The </w:t>
      </w:r>
      <w:r w:rsidR="007E6036">
        <w:t xml:space="preserve">Recipient </w:t>
      </w:r>
      <w:r>
        <w:t>will return the visitor badge at the end of each visit day.</w:t>
      </w:r>
    </w:p>
    <w:p w14:paraId="2B54C83F" w14:textId="64E62DE1" w:rsidR="00D4501B" w:rsidRDefault="0075345C" w:rsidP="003B47A3">
      <w:pPr>
        <w:pStyle w:val="Heading2"/>
      </w:pPr>
      <w:r>
        <w:t>7.</w:t>
      </w:r>
      <w:r w:rsidR="00316B93">
        <w:t>3</w:t>
      </w:r>
      <w:r>
        <w:t xml:space="preserve">. </w:t>
      </w:r>
      <w:r w:rsidR="00D4501B">
        <w:t>Information Security Requirements</w:t>
      </w:r>
    </w:p>
    <w:p w14:paraId="6E92E53C" w14:textId="6C9F0695" w:rsidR="00D4501B" w:rsidRDefault="00D4501B" w:rsidP="006229D1">
      <w:r>
        <w:t xml:space="preserve">NGA shall have the sole authority to determine whether, and to what extent, protected information shall be provided to the </w:t>
      </w:r>
      <w:r w:rsidR="007E6036">
        <w:t xml:space="preserve">Recipient </w:t>
      </w:r>
      <w:r>
        <w:t xml:space="preserve">under the terms of the </w:t>
      </w:r>
      <w:r w:rsidR="006675D2">
        <w:t>grant</w:t>
      </w:r>
      <w:r>
        <w:t xml:space="preserve">. The </w:t>
      </w:r>
      <w:r w:rsidR="007E6036">
        <w:t xml:space="preserve">Recipient </w:t>
      </w:r>
      <w:r>
        <w:t xml:space="preserve">shall not access, download, print, or further disseminate any unclassified information outside the execution of the defined </w:t>
      </w:r>
      <w:r w:rsidR="006675D2">
        <w:t>grant</w:t>
      </w:r>
      <w:r>
        <w:t xml:space="preserve"> requirements without the guidance and written permission from the COR.</w:t>
      </w:r>
    </w:p>
    <w:p w14:paraId="14713286" w14:textId="438449A5" w:rsidR="003E2643" w:rsidRDefault="00D4501B" w:rsidP="006229D1">
      <w:r>
        <w:t xml:space="preserve">When the </w:t>
      </w:r>
      <w:r w:rsidR="007E6036">
        <w:t xml:space="preserve">Recipient </w:t>
      </w:r>
      <w:r>
        <w:t xml:space="preserve">receives protected information under the terms of this </w:t>
      </w:r>
      <w:r w:rsidR="006675D2">
        <w:t>grant</w:t>
      </w:r>
      <w:r>
        <w:t xml:space="preserve">, the </w:t>
      </w:r>
      <w:r w:rsidR="007E6036">
        <w:t xml:space="preserve">Recipient </w:t>
      </w:r>
      <w:r>
        <w:t xml:space="preserve">will comply with all applicable NGA, DoD, and IC information security policies for the proper marking, handling, processing, storing, and safeguarding of unclassified and CUI material. The </w:t>
      </w:r>
      <w:r w:rsidR="007E6036">
        <w:t xml:space="preserve">Recipient </w:t>
      </w:r>
      <w:r>
        <w:t>will ensure that document markings are given the lowest possible security classification to maximize dissemination while still maintaining the information’s confidentiality and integrity as necessary.</w:t>
      </w:r>
    </w:p>
    <w:p w14:paraId="450A231F" w14:textId="77777777" w:rsidR="003E2643" w:rsidRDefault="003E2643">
      <w:r>
        <w:br w:type="page"/>
      </w:r>
    </w:p>
    <w:p w14:paraId="254B2275" w14:textId="6E27E1C8" w:rsidR="00907B5C" w:rsidRPr="00C03D18" w:rsidRDefault="00BE6E6F" w:rsidP="004768CB">
      <w:pPr>
        <w:pStyle w:val="Heading1"/>
      </w:pPr>
      <w:r w:rsidRPr="00C03D18">
        <w:lastRenderedPageBreak/>
        <w:t>Performance</w:t>
      </w:r>
      <w:r w:rsidR="00664450" w:rsidRPr="00C03D18">
        <w:t xml:space="preserve"> </w:t>
      </w:r>
    </w:p>
    <w:p w14:paraId="278406BB" w14:textId="0EE5F453" w:rsidR="00BE6E6F" w:rsidRPr="00E23481" w:rsidRDefault="00171FD3" w:rsidP="003B47A3">
      <w:pPr>
        <w:pStyle w:val="Heading2"/>
      </w:pPr>
      <w:r>
        <w:t>8</w:t>
      </w:r>
      <w:r w:rsidR="004768CB">
        <w:t>.1</w:t>
      </w:r>
      <w:r w:rsidR="00E23481">
        <w:t xml:space="preserve">. </w:t>
      </w:r>
      <w:r w:rsidR="00BE6E6F" w:rsidRPr="00E23481">
        <w:t>Place of Performance:</w:t>
      </w:r>
    </w:p>
    <w:p w14:paraId="4D6CDC8D" w14:textId="31D8C0C8" w:rsidR="00BA1CE0" w:rsidRPr="00BA1CE0" w:rsidRDefault="00C7668F" w:rsidP="00C2237C">
      <w:pPr>
        <w:rPr>
          <w:color w:val="FF0000"/>
        </w:rPr>
      </w:pPr>
      <w:r>
        <w:t>The proposer shall perform all work in the proposer’s</w:t>
      </w:r>
      <w:r w:rsidR="00BA1CE0" w:rsidRPr="00056B05">
        <w:t xml:space="preserve"> facilit</w:t>
      </w:r>
      <w:r>
        <w:t>ies</w:t>
      </w:r>
      <w:r w:rsidR="00BA1CE0" w:rsidRPr="00056B05">
        <w:t xml:space="preserve"> anywhere in the United States.</w:t>
      </w:r>
      <w:r w:rsidR="004768CB">
        <w:t xml:space="preserve">  </w:t>
      </w:r>
      <w:r>
        <w:t>The proposer shall list p</w:t>
      </w:r>
      <w:r w:rsidR="004768CB">
        <w:t>lace</w:t>
      </w:r>
      <w:r>
        <w:t xml:space="preserve"> or places</w:t>
      </w:r>
      <w:r w:rsidR="004768CB">
        <w:t xml:space="preserve"> of performance in the proposal</w:t>
      </w:r>
      <w:r>
        <w:t xml:space="preserve">.  The proposer shall not perform any work </w:t>
      </w:r>
      <w:r w:rsidR="004768CB">
        <w:t>outside of the United States.</w:t>
      </w:r>
    </w:p>
    <w:p w14:paraId="07A6D070" w14:textId="63689258" w:rsidR="00BE6E6F" w:rsidRPr="00E23481" w:rsidRDefault="00171FD3" w:rsidP="003B47A3">
      <w:pPr>
        <w:pStyle w:val="Heading2"/>
      </w:pPr>
      <w:r>
        <w:t>8</w:t>
      </w:r>
      <w:r w:rsidR="00AB6E90">
        <w:t>.2.</w:t>
      </w:r>
      <w:r w:rsidR="00E23481">
        <w:t xml:space="preserve"> </w:t>
      </w:r>
      <w:r w:rsidR="00BE6E6F" w:rsidRPr="00E23481">
        <w:t>Period of Performance (</w:t>
      </w:r>
      <w:proofErr w:type="spellStart"/>
      <w:r w:rsidR="00BE6E6F" w:rsidRPr="00E23481">
        <w:t>PoP</w:t>
      </w:r>
      <w:proofErr w:type="spellEnd"/>
      <w:r w:rsidR="00BE6E6F" w:rsidRPr="00E23481">
        <w:t>):</w:t>
      </w:r>
    </w:p>
    <w:p w14:paraId="280A1AC1" w14:textId="7C863AEE" w:rsidR="00A12B47" w:rsidRPr="007C4D64" w:rsidRDefault="00551C70" w:rsidP="00C2237C">
      <w:r>
        <w:t xml:space="preserve">The </w:t>
      </w:r>
      <w:r w:rsidR="0057709C">
        <w:t>proposed grant</w:t>
      </w:r>
      <w:r w:rsidR="00FC1EA8">
        <w:t xml:space="preserve"> shall be broken out in</w:t>
      </w:r>
      <w:r w:rsidR="0057709C">
        <w:t>to</w:t>
      </w:r>
      <w:r w:rsidR="00FC1EA8">
        <w:t xml:space="preserve"> 1-year increments and shall not exceed 5 years</w:t>
      </w:r>
      <w:r>
        <w:t>.</w:t>
      </w:r>
      <w:r w:rsidR="007C4D64" w:rsidRPr="007C4D64">
        <w:t xml:space="preserve"> </w:t>
      </w:r>
      <w:r w:rsidR="0057709C">
        <w:t>After funding of the initial 12-month period, additional funding increments will be provided at the sole discretion of the Government</w:t>
      </w:r>
      <w:r w:rsidR="004768CB">
        <w:t xml:space="preserve">.  </w:t>
      </w:r>
      <w:r w:rsidR="006F28B1">
        <w:t xml:space="preserve">Proposers shall submit proposals that cover </w:t>
      </w:r>
      <w:r w:rsidR="0057709C">
        <w:t>the entire proposed performance period;</w:t>
      </w:r>
      <w:r w:rsidR="006F28B1">
        <w:t xml:space="preserve"> </w:t>
      </w:r>
      <w:r w:rsidR="00FC1EA8">
        <w:t>additional</w:t>
      </w:r>
      <w:r w:rsidR="0057709C">
        <w:t xml:space="preserve"> funding increments which were</w:t>
      </w:r>
      <w:r w:rsidR="004768CB">
        <w:t xml:space="preserve"> not included in the original proposal cannot be added later.  </w:t>
      </w:r>
    </w:p>
    <w:p w14:paraId="37D8A91C" w14:textId="2CBB41E9" w:rsidR="00035394" w:rsidRPr="001827C5" w:rsidRDefault="00035394" w:rsidP="001233C0">
      <w:pPr>
        <w:pStyle w:val="Heading1"/>
      </w:pPr>
      <w:r w:rsidRPr="001827C5">
        <w:t>References</w:t>
      </w:r>
    </w:p>
    <w:p w14:paraId="5C69D773" w14:textId="644983E3" w:rsidR="00035394" w:rsidRDefault="00B90655" w:rsidP="00035394">
      <w:r w:rsidDel="00B90655">
        <w:t xml:space="preserve"> </w:t>
      </w:r>
      <w:r w:rsidR="00035394">
        <w:t>[</w:t>
      </w:r>
      <w:r>
        <w:t>1</w:t>
      </w:r>
      <w:r w:rsidR="00035394">
        <w:t xml:space="preserve">] </w:t>
      </w:r>
      <w:proofErr w:type="spellStart"/>
      <w:r w:rsidR="00035394">
        <w:t>Jakowatz</w:t>
      </w:r>
      <w:proofErr w:type="spellEnd"/>
      <w:r w:rsidR="00035394">
        <w:t xml:space="preserve"> et. al., “Spotlight mode synthetic aperture radar: a signal processing approach”, Springer, 1996.  </w:t>
      </w:r>
    </w:p>
    <w:p w14:paraId="637B4C0A" w14:textId="73559765" w:rsidR="00035394" w:rsidRDefault="00035394" w:rsidP="00035394">
      <w:r>
        <w:t>[</w:t>
      </w:r>
      <w:r w:rsidR="00B90655">
        <w:t>2</w:t>
      </w:r>
      <w:r>
        <w:t>] Carrara, Majewski and Goodman, “</w:t>
      </w:r>
      <w:r w:rsidRPr="001E3507">
        <w:t>Spotlight Synthetic Aperture Radar: Signal Processing Algorithms</w:t>
      </w:r>
      <w:r>
        <w:t>”, Artech House, 1995.</w:t>
      </w:r>
    </w:p>
    <w:p w14:paraId="0C20FFBE" w14:textId="359DE82A" w:rsidR="00035394" w:rsidRDefault="00035394" w:rsidP="00035394">
      <w:r>
        <w:t>[</w:t>
      </w:r>
      <w:r w:rsidR="00B90655">
        <w:t>3</w:t>
      </w:r>
      <w:r>
        <w:t xml:space="preserve">] </w:t>
      </w:r>
      <w:proofErr w:type="spellStart"/>
      <w:r>
        <w:t>Massonnet</w:t>
      </w:r>
      <w:proofErr w:type="spellEnd"/>
      <w:r>
        <w:t xml:space="preserve"> and </w:t>
      </w:r>
      <w:proofErr w:type="spellStart"/>
      <w:r>
        <w:t>Souyris</w:t>
      </w:r>
      <w:proofErr w:type="spellEnd"/>
      <w:r>
        <w:t xml:space="preserve">, “Imaging with Synthetic Aperture Radar”, EPFL Press, 2008.  </w:t>
      </w:r>
    </w:p>
    <w:p w14:paraId="68FFC2E9" w14:textId="05E07172" w:rsidR="00035394" w:rsidRDefault="00035394" w:rsidP="00035394">
      <w:r>
        <w:t>[</w:t>
      </w:r>
      <w:r w:rsidR="00B90655">
        <w:t>4</w:t>
      </w:r>
      <w:r>
        <w:t>] Ager, “</w:t>
      </w:r>
      <w:r w:rsidRPr="00295D26">
        <w:t>The Essentials of SAR: A Conceptual View of Synthetic Aperture Radar and Its Remarkable Capabilities</w:t>
      </w:r>
      <w:r>
        <w:t xml:space="preserve">”, independently published, 2021.  </w:t>
      </w:r>
    </w:p>
    <w:p w14:paraId="0EC64A5B" w14:textId="0E6CE242" w:rsidR="00CB4BB9" w:rsidRDefault="00CB4BB9" w:rsidP="00035394">
      <w:r>
        <w:t>[</w:t>
      </w:r>
      <w:r w:rsidR="00B90655">
        <w:t>5</w:t>
      </w:r>
      <w:r>
        <w:t xml:space="preserve">] </w:t>
      </w:r>
      <w:hyperlink r:id="rId12" w:history="1">
        <w:r w:rsidRPr="001169F3">
          <w:rPr>
            <w:rStyle w:val="Hyperlink"/>
          </w:rPr>
          <w:t>https://nsgreg.nga.mil/doc/view?i=4900</w:t>
        </w:r>
      </w:hyperlink>
      <w:r>
        <w:t xml:space="preserve"> </w:t>
      </w:r>
    </w:p>
    <w:p w14:paraId="1C19B106" w14:textId="224A0FC5" w:rsidR="00087857" w:rsidRDefault="00941B54" w:rsidP="0057709C">
      <w:r>
        <w:t>[</w:t>
      </w:r>
      <w:r w:rsidR="00B90655">
        <w:t>6</w:t>
      </w:r>
      <w:r>
        <w:t xml:space="preserve">] </w:t>
      </w:r>
      <w:hyperlink r:id="rId13" w:history="1">
        <w:r w:rsidRPr="00F9452A">
          <w:rPr>
            <w:rStyle w:val="Hyperlink"/>
          </w:rPr>
          <w:t>https://nsgreg.nga.mil/doc/view?i=4906</w:t>
        </w:r>
      </w:hyperlink>
      <w:r>
        <w:t xml:space="preserve"> </w:t>
      </w:r>
    </w:p>
    <w:p w14:paraId="4871D4E5" w14:textId="77777777" w:rsidR="00042FF5" w:rsidRDefault="00042FF5">
      <w:pPr>
        <w:sectPr w:rsidR="00042FF5" w:rsidSect="00445834">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2BAC6A" w14:textId="144202E4" w:rsidR="00145057" w:rsidRDefault="00087857" w:rsidP="00145057">
      <w:pPr>
        <w:pStyle w:val="Heading1"/>
        <w:numPr>
          <w:ilvl w:val="0"/>
          <w:numId w:val="0"/>
        </w:numPr>
      </w:pPr>
      <w:r>
        <w:lastRenderedPageBreak/>
        <w:t>Appendix 1</w:t>
      </w:r>
      <w:r w:rsidR="00145057">
        <w:t xml:space="preserve"> </w:t>
      </w:r>
      <w:r w:rsidR="00145057" w:rsidRPr="00134C5B">
        <w:rPr>
          <w:highlight w:val="yellow"/>
        </w:rPr>
        <w:t>Questions &amp; Answers (Q&amp;A)</w:t>
      </w:r>
    </w:p>
    <w:tbl>
      <w:tblPr>
        <w:tblW w:w="13340" w:type="dxa"/>
        <w:tblInd w:w="-5" w:type="dxa"/>
        <w:tblLook w:val="04A0" w:firstRow="1" w:lastRow="0" w:firstColumn="1" w:lastColumn="0" w:noHBand="0" w:noVBand="1"/>
      </w:tblPr>
      <w:tblGrid>
        <w:gridCol w:w="520"/>
        <w:gridCol w:w="1880"/>
        <w:gridCol w:w="4180"/>
        <w:gridCol w:w="6760"/>
      </w:tblGrid>
      <w:tr w:rsidR="005F69E4" w:rsidRPr="005F69E4" w14:paraId="235ECD89" w14:textId="77777777" w:rsidTr="005F69E4">
        <w:trPr>
          <w:trHeight w:val="30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9247B"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5ED9345C"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Topic 02 Reference</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4DBA97AB"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Question</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0A596AB1"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Government Response</w:t>
            </w:r>
          </w:p>
        </w:tc>
      </w:tr>
      <w:tr w:rsidR="005F69E4" w:rsidRPr="005F69E4" w14:paraId="5CE3E10F" w14:textId="77777777" w:rsidTr="005F69E4">
        <w:trPr>
          <w:trHeight w:val="22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6FFD452"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w:t>
            </w:r>
          </w:p>
        </w:tc>
        <w:tc>
          <w:tcPr>
            <w:tcW w:w="1880" w:type="dxa"/>
            <w:tcBorders>
              <w:top w:val="nil"/>
              <w:left w:val="nil"/>
              <w:bottom w:val="single" w:sz="4" w:space="0" w:color="auto"/>
              <w:right w:val="single" w:sz="4" w:space="0" w:color="auto"/>
            </w:tcBorders>
            <w:shd w:val="clear" w:color="000000" w:fill="FFFFFF"/>
            <w:vAlign w:val="center"/>
            <w:hideMark/>
          </w:tcPr>
          <w:p w14:paraId="1F80EF36"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Sub-awards</w:t>
            </w:r>
          </w:p>
        </w:tc>
        <w:tc>
          <w:tcPr>
            <w:tcW w:w="4180" w:type="dxa"/>
            <w:tcBorders>
              <w:top w:val="nil"/>
              <w:left w:val="nil"/>
              <w:bottom w:val="single" w:sz="4" w:space="0" w:color="auto"/>
              <w:right w:val="single" w:sz="4" w:space="0" w:color="auto"/>
            </w:tcBorders>
            <w:shd w:val="clear" w:color="000000" w:fill="FFFFFF"/>
            <w:vAlign w:val="center"/>
            <w:hideMark/>
          </w:tcPr>
          <w:p w14:paraId="30659E8B"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Can a non-profit be a sub-award entity to a university prime applicant for the MUSE opportunity?</w:t>
            </w:r>
          </w:p>
        </w:tc>
        <w:tc>
          <w:tcPr>
            <w:tcW w:w="6760" w:type="dxa"/>
            <w:tcBorders>
              <w:top w:val="nil"/>
              <w:left w:val="nil"/>
              <w:bottom w:val="single" w:sz="4" w:space="0" w:color="auto"/>
              <w:right w:val="single" w:sz="4" w:space="0" w:color="auto"/>
            </w:tcBorders>
            <w:shd w:val="clear" w:color="000000" w:fill="FFFFFF"/>
            <w:vAlign w:val="center"/>
            <w:hideMark/>
          </w:tcPr>
          <w:p w14:paraId="45800F9D"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The university prime can have a non-profit as a subcontractor.</w:t>
            </w:r>
            <w:r w:rsidRPr="005F69E4">
              <w:rPr>
                <w:rFonts w:eastAsia="Times New Roman"/>
                <w:sz w:val="20"/>
                <w:szCs w:val="20"/>
              </w:rPr>
              <w:br/>
              <w:t>1) All subcontractors are subject to the same grant rules as the university prime.</w:t>
            </w:r>
            <w:r w:rsidRPr="005F69E4">
              <w:rPr>
                <w:rFonts w:eastAsia="Times New Roman"/>
                <w:sz w:val="20"/>
                <w:szCs w:val="20"/>
              </w:rPr>
              <w:br/>
              <w:t>2) The purpose of the grants is to stimulate or support a public purpose, i.e. the main beneficiary is the public; therefore subcontractors should not submit proprietary information in the execution of the grant, because results will be shared with the public.</w:t>
            </w:r>
            <w:r w:rsidRPr="005F69E4">
              <w:rPr>
                <w:rFonts w:eastAsia="Times New Roman"/>
                <w:sz w:val="20"/>
                <w:szCs w:val="20"/>
              </w:rPr>
              <w:br/>
              <w:t>3) The prime is responsible for managing, paying, and providing other support to its subcontractors.</w:t>
            </w:r>
            <w:r w:rsidRPr="005F69E4">
              <w:rPr>
                <w:rFonts w:eastAsia="Times New Roman"/>
                <w:sz w:val="20"/>
                <w:szCs w:val="20"/>
              </w:rPr>
              <w:br/>
              <w:t>4) Subcontractor relationships shall be detailed in the proposal.</w:t>
            </w:r>
          </w:p>
        </w:tc>
      </w:tr>
      <w:tr w:rsidR="005F69E4" w:rsidRPr="005F69E4" w14:paraId="546D9AEA" w14:textId="77777777" w:rsidTr="005F69E4">
        <w:trPr>
          <w:trHeight w:val="306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D3DF349"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2</w:t>
            </w:r>
          </w:p>
        </w:tc>
        <w:tc>
          <w:tcPr>
            <w:tcW w:w="1880" w:type="dxa"/>
            <w:tcBorders>
              <w:top w:val="nil"/>
              <w:left w:val="nil"/>
              <w:bottom w:val="single" w:sz="4" w:space="0" w:color="auto"/>
              <w:right w:val="single" w:sz="4" w:space="0" w:color="auto"/>
            </w:tcBorders>
            <w:shd w:val="clear" w:color="000000" w:fill="FFFFFF"/>
            <w:vAlign w:val="center"/>
            <w:hideMark/>
          </w:tcPr>
          <w:p w14:paraId="3CAB1482"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Section 3.2.1 Subject Area 1: Synthetic Aperture Radar (SAR)</w:t>
            </w:r>
          </w:p>
        </w:tc>
        <w:tc>
          <w:tcPr>
            <w:tcW w:w="4180" w:type="dxa"/>
            <w:tcBorders>
              <w:top w:val="nil"/>
              <w:left w:val="nil"/>
              <w:bottom w:val="single" w:sz="4" w:space="0" w:color="auto"/>
              <w:right w:val="single" w:sz="4" w:space="0" w:color="auto"/>
            </w:tcBorders>
            <w:shd w:val="clear" w:color="000000" w:fill="FFFFFF"/>
            <w:vAlign w:val="center"/>
            <w:hideMark/>
          </w:tcPr>
          <w:p w14:paraId="0A3E82A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I have a question about the focus area of the Synthetic Aperture Radar (SAR) topic: </w:t>
            </w:r>
            <w:r w:rsidRPr="005F69E4">
              <w:rPr>
                <w:rFonts w:eastAsia="Times New Roman"/>
                <w:sz w:val="20"/>
                <w:szCs w:val="20"/>
              </w:rPr>
              <w:br/>
              <w:t>With regards to the Image Formation, Object Detection and Data Collection achievable by means of advanced radar signal processing techniques, must the dataset I have to use be only terrestrial or it could also be one from a NASA mission like Cassini-Huygens with its SAR data for Saturn's moon Titan?</w:t>
            </w:r>
          </w:p>
        </w:tc>
        <w:tc>
          <w:tcPr>
            <w:tcW w:w="6760" w:type="dxa"/>
            <w:tcBorders>
              <w:top w:val="nil"/>
              <w:left w:val="nil"/>
              <w:bottom w:val="single" w:sz="4" w:space="0" w:color="auto"/>
              <w:right w:val="single" w:sz="4" w:space="0" w:color="auto"/>
            </w:tcBorders>
            <w:shd w:val="clear" w:color="000000" w:fill="FFFFFF"/>
            <w:vAlign w:val="center"/>
            <w:hideMark/>
          </w:tcPr>
          <w:p w14:paraId="1B27798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Terrestrial data (as opposed to data collected from another celestial body such as Titan) was envisioned when the topic was written, but data from other orbital bodies can be considered. </w:t>
            </w:r>
            <w:r w:rsidRPr="005F69E4">
              <w:rPr>
                <w:rFonts w:eastAsia="Times New Roman"/>
                <w:sz w:val="20"/>
                <w:szCs w:val="20"/>
              </w:rPr>
              <w:br/>
              <w:t xml:space="preserve">Proposers are reminded that the second technical evaluation factor is "Alignment to the NGA Mission." The proposal must demonstrate this alignment. In the case of the SAR on Cassini-Huygens, this is not only around a body other than earth (which precludes some ground truth/experimentation), but the Impulse response (IPR) is 2 - 3 orders of magnitude larger than terrestrial commercial SAR data, which would then impact the type of objects that could be detected. </w:t>
            </w:r>
            <w:r w:rsidRPr="005F69E4">
              <w:rPr>
                <w:rFonts w:eastAsia="Times New Roman"/>
                <w:sz w:val="20"/>
                <w:szCs w:val="20"/>
              </w:rPr>
              <w:br/>
              <w:t xml:space="preserve">While a proposal using this data is possible, the burden to show relevance to mission would be higher.    </w:t>
            </w:r>
          </w:p>
        </w:tc>
      </w:tr>
      <w:tr w:rsidR="005F69E4" w:rsidRPr="005F69E4" w14:paraId="188002CC" w14:textId="77777777" w:rsidTr="005F69E4">
        <w:trPr>
          <w:trHeight w:val="306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BDCD44F"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lastRenderedPageBreak/>
              <w:t>3</w:t>
            </w:r>
          </w:p>
        </w:tc>
        <w:tc>
          <w:tcPr>
            <w:tcW w:w="1880" w:type="dxa"/>
            <w:tcBorders>
              <w:top w:val="nil"/>
              <w:left w:val="nil"/>
              <w:bottom w:val="single" w:sz="4" w:space="0" w:color="auto"/>
              <w:right w:val="single" w:sz="4" w:space="0" w:color="auto"/>
            </w:tcBorders>
            <w:shd w:val="clear" w:color="000000" w:fill="FFFFFF"/>
            <w:vAlign w:val="center"/>
            <w:hideMark/>
          </w:tcPr>
          <w:p w14:paraId="31C99140"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Section 7 Security</w:t>
            </w:r>
          </w:p>
        </w:tc>
        <w:tc>
          <w:tcPr>
            <w:tcW w:w="4180" w:type="dxa"/>
            <w:tcBorders>
              <w:top w:val="nil"/>
              <w:left w:val="nil"/>
              <w:bottom w:val="single" w:sz="4" w:space="0" w:color="auto"/>
              <w:right w:val="single" w:sz="4" w:space="0" w:color="auto"/>
            </w:tcBorders>
            <w:shd w:val="clear" w:color="000000" w:fill="FFFFFF"/>
            <w:vAlign w:val="center"/>
            <w:hideMark/>
          </w:tcPr>
          <w:p w14:paraId="1CD600B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Is an international professor (who is neither a U.S. citizen nor a permanent resident, but serves as an Associate Professor at the University) eligible to write a proposal as PI or Co-PI?</w:t>
            </w:r>
          </w:p>
        </w:tc>
        <w:tc>
          <w:tcPr>
            <w:tcW w:w="6760" w:type="dxa"/>
            <w:tcBorders>
              <w:top w:val="nil"/>
              <w:left w:val="nil"/>
              <w:bottom w:val="single" w:sz="4" w:space="0" w:color="auto"/>
              <w:right w:val="single" w:sz="4" w:space="0" w:color="auto"/>
            </w:tcBorders>
            <w:shd w:val="clear" w:color="000000" w:fill="FFFFFF"/>
            <w:vAlign w:val="center"/>
            <w:hideMark/>
          </w:tcPr>
          <w:p w14:paraId="58E65CB9"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Yes.</w:t>
            </w:r>
            <w:r w:rsidRPr="005F69E4">
              <w:rPr>
                <w:rFonts w:eastAsia="Times New Roman"/>
                <w:sz w:val="20"/>
                <w:szCs w:val="20"/>
              </w:rPr>
              <w:br/>
              <w:t xml:space="preserve">IAW Topic Call section 7, Uncleared Recipient personnel are authorized to work on this contract at the unclassified level without the requirement of a security clearance. </w:t>
            </w:r>
            <w:r w:rsidRPr="005F69E4">
              <w:rPr>
                <w:rFonts w:eastAsia="Times New Roman"/>
                <w:sz w:val="20"/>
                <w:szCs w:val="20"/>
              </w:rPr>
              <w:br/>
              <w:t>However, such person shall meet the provisions of:</w:t>
            </w:r>
            <w:r w:rsidRPr="005F69E4">
              <w:rPr>
                <w:rFonts w:eastAsia="Times New Roman"/>
                <w:sz w:val="20"/>
                <w:szCs w:val="20"/>
              </w:rPr>
              <w:br/>
              <w:t>1) "NGA Addendum to the DoD R&amp;D General Terms and Conditions and NGA Programmatic Requirements for Domestic Awardees, S e p t e m b e r 2 0 2 3"; Part 13, Research Security of the "NGA Programmatic Requirements Portion of the General Terms and Condition" section.</w:t>
            </w:r>
            <w:r w:rsidRPr="005F69E4">
              <w:rPr>
                <w:rFonts w:eastAsia="Times New Roman"/>
                <w:sz w:val="20"/>
                <w:szCs w:val="20"/>
              </w:rPr>
              <w:br/>
              <w:t>2) Appendix 5 to the general solicitation, section 4.5.2.5, "Grants and Cooperative Agreements Due Diligence and Research Security Program Requirements."</w:t>
            </w:r>
          </w:p>
        </w:tc>
      </w:tr>
      <w:tr w:rsidR="005F69E4" w:rsidRPr="005F69E4" w14:paraId="18BB6CBC" w14:textId="77777777" w:rsidTr="005F69E4">
        <w:trPr>
          <w:trHeight w:val="76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1F7FA92"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4</w:t>
            </w:r>
          </w:p>
        </w:tc>
        <w:tc>
          <w:tcPr>
            <w:tcW w:w="1880" w:type="dxa"/>
            <w:tcBorders>
              <w:top w:val="nil"/>
              <w:left w:val="nil"/>
              <w:bottom w:val="single" w:sz="4" w:space="0" w:color="auto"/>
              <w:right w:val="single" w:sz="4" w:space="0" w:color="auto"/>
            </w:tcBorders>
            <w:shd w:val="clear" w:color="000000" w:fill="FFFFFF"/>
            <w:vAlign w:val="center"/>
            <w:hideMark/>
          </w:tcPr>
          <w:p w14:paraId="215457D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Sub-awards / Section 7 Security</w:t>
            </w:r>
          </w:p>
        </w:tc>
        <w:tc>
          <w:tcPr>
            <w:tcW w:w="4180" w:type="dxa"/>
            <w:tcBorders>
              <w:top w:val="nil"/>
              <w:left w:val="nil"/>
              <w:bottom w:val="single" w:sz="4" w:space="0" w:color="auto"/>
              <w:right w:val="single" w:sz="4" w:space="0" w:color="auto"/>
            </w:tcBorders>
            <w:shd w:val="clear" w:color="000000" w:fill="FFFFFF"/>
            <w:vAlign w:val="center"/>
            <w:hideMark/>
          </w:tcPr>
          <w:p w14:paraId="3BBA40F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Can a graduate student be a sub-award in this proposal? Specifically, if the student is an international PhD student under F1 visa status?</w:t>
            </w:r>
          </w:p>
        </w:tc>
        <w:tc>
          <w:tcPr>
            <w:tcW w:w="6760" w:type="dxa"/>
            <w:tcBorders>
              <w:top w:val="nil"/>
              <w:left w:val="nil"/>
              <w:bottom w:val="single" w:sz="4" w:space="0" w:color="auto"/>
              <w:right w:val="single" w:sz="4" w:space="0" w:color="auto"/>
            </w:tcBorders>
            <w:shd w:val="clear" w:color="000000" w:fill="FFFFFF"/>
            <w:vAlign w:val="center"/>
            <w:hideMark/>
          </w:tcPr>
          <w:p w14:paraId="735B82F2"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Yes, but the student must meet the requirements stated in the answer to question 3.</w:t>
            </w:r>
          </w:p>
        </w:tc>
      </w:tr>
      <w:tr w:rsidR="005F69E4" w:rsidRPr="005F69E4" w14:paraId="33E8D3B9" w14:textId="77777777" w:rsidTr="005F69E4">
        <w:trPr>
          <w:trHeight w:val="5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94734A6"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14:paraId="6BBBA1A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w:t>
            </w:r>
          </w:p>
        </w:tc>
        <w:tc>
          <w:tcPr>
            <w:tcW w:w="4180" w:type="dxa"/>
            <w:tcBorders>
              <w:top w:val="nil"/>
              <w:left w:val="nil"/>
              <w:bottom w:val="single" w:sz="4" w:space="0" w:color="auto"/>
              <w:right w:val="single" w:sz="4" w:space="0" w:color="auto"/>
            </w:tcBorders>
            <w:shd w:val="clear" w:color="000000" w:fill="FFFFFF"/>
            <w:vAlign w:val="center"/>
            <w:hideMark/>
          </w:tcPr>
          <w:p w14:paraId="1835DD0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Is </w:t>
            </w:r>
            <w:proofErr w:type="spellStart"/>
            <w:r w:rsidRPr="005F69E4">
              <w:rPr>
                <w:rFonts w:eastAsia="Times New Roman"/>
                <w:sz w:val="20"/>
                <w:szCs w:val="20"/>
              </w:rPr>
              <w:t>GeoESCON</w:t>
            </w:r>
            <w:proofErr w:type="spellEnd"/>
            <w:r w:rsidRPr="005F69E4">
              <w:rPr>
                <w:rFonts w:eastAsia="Times New Roman"/>
                <w:sz w:val="20"/>
                <w:szCs w:val="20"/>
              </w:rPr>
              <w:t xml:space="preserve"> membership a necessary requirement for applying for this funding?</w:t>
            </w:r>
          </w:p>
        </w:tc>
        <w:tc>
          <w:tcPr>
            <w:tcW w:w="6760" w:type="dxa"/>
            <w:tcBorders>
              <w:top w:val="nil"/>
              <w:left w:val="nil"/>
              <w:bottom w:val="single" w:sz="4" w:space="0" w:color="auto"/>
              <w:right w:val="single" w:sz="4" w:space="0" w:color="auto"/>
            </w:tcBorders>
            <w:shd w:val="clear" w:color="000000" w:fill="FFFFFF"/>
            <w:vAlign w:val="center"/>
            <w:hideMark/>
          </w:tcPr>
          <w:p w14:paraId="656D79DC"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No.</w:t>
            </w:r>
          </w:p>
        </w:tc>
      </w:tr>
      <w:tr w:rsidR="005F69E4" w:rsidRPr="005F69E4" w14:paraId="66786258" w14:textId="77777777" w:rsidTr="005F69E4">
        <w:trPr>
          <w:trHeight w:val="255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60F4224"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14:paraId="12692211"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Sub-awards</w:t>
            </w:r>
          </w:p>
        </w:tc>
        <w:tc>
          <w:tcPr>
            <w:tcW w:w="4180" w:type="dxa"/>
            <w:tcBorders>
              <w:top w:val="nil"/>
              <w:left w:val="nil"/>
              <w:bottom w:val="single" w:sz="4" w:space="0" w:color="auto"/>
              <w:right w:val="single" w:sz="4" w:space="0" w:color="auto"/>
            </w:tcBorders>
            <w:shd w:val="clear" w:color="000000" w:fill="FFFFFF"/>
            <w:vAlign w:val="center"/>
            <w:hideMark/>
          </w:tcPr>
          <w:p w14:paraId="664CA87C"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Would it be OK for a university to have a subcontract with a small company (to help obtain data and expertise in certain areas)?  </w:t>
            </w:r>
          </w:p>
        </w:tc>
        <w:tc>
          <w:tcPr>
            <w:tcW w:w="6760" w:type="dxa"/>
            <w:tcBorders>
              <w:top w:val="nil"/>
              <w:left w:val="nil"/>
              <w:bottom w:val="single" w:sz="4" w:space="0" w:color="auto"/>
              <w:right w:val="single" w:sz="4" w:space="0" w:color="auto"/>
            </w:tcBorders>
            <w:shd w:val="clear" w:color="000000" w:fill="FFFFFF"/>
            <w:vAlign w:val="center"/>
            <w:hideMark/>
          </w:tcPr>
          <w:p w14:paraId="25E893BC"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br/>
              <w:t>The university prime can have a small business as a subcontractor.</w:t>
            </w:r>
            <w:r w:rsidRPr="005F69E4">
              <w:rPr>
                <w:rFonts w:eastAsia="Times New Roman"/>
                <w:sz w:val="20"/>
                <w:szCs w:val="20"/>
              </w:rPr>
              <w:br/>
              <w:t>1) All subcontractors are subject to the same grant rules as the university prime.</w:t>
            </w:r>
            <w:r w:rsidRPr="005F69E4">
              <w:rPr>
                <w:rFonts w:eastAsia="Times New Roman"/>
                <w:sz w:val="20"/>
                <w:szCs w:val="20"/>
              </w:rPr>
              <w:br/>
              <w:t>2) The purpose of the grants is to stimulate or support a public purpose, i.e. main beneficiary is the public; therefore subcontractors should not submit proprietary information in the execution of the grant, because results will be shared with the public.</w:t>
            </w:r>
            <w:r w:rsidRPr="005F69E4">
              <w:rPr>
                <w:rFonts w:eastAsia="Times New Roman"/>
                <w:sz w:val="20"/>
                <w:szCs w:val="20"/>
              </w:rPr>
              <w:br/>
              <w:t>3) The prime is responsible for managing, paying, and providing other support to their subcontractors.</w:t>
            </w:r>
            <w:r w:rsidRPr="005F69E4">
              <w:rPr>
                <w:rFonts w:eastAsia="Times New Roman"/>
                <w:sz w:val="20"/>
                <w:szCs w:val="20"/>
              </w:rPr>
              <w:br/>
              <w:t>4) Subcontractor relationships shall be detailed in the proposal.</w:t>
            </w:r>
          </w:p>
        </w:tc>
      </w:tr>
      <w:tr w:rsidR="005F69E4" w:rsidRPr="005F69E4" w14:paraId="02430FE2" w14:textId="77777777" w:rsidTr="005F69E4">
        <w:trPr>
          <w:trHeight w:val="76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361BC03"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14:paraId="47768419"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Sub-awards</w:t>
            </w:r>
          </w:p>
        </w:tc>
        <w:tc>
          <w:tcPr>
            <w:tcW w:w="4180" w:type="dxa"/>
            <w:tcBorders>
              <w:top w:val="nil"/>
              <w:left w:val="nil"/>
              <w:bottom w:val="single" w:sz="4" w:space="0" w:color="auto"/>
              <w:right w:val="single" w:sz="4" w:space="0" w:color="auto"/>
            </w:tcBorders>
            <w:shd w:val="clear" w:color="000000" w:fill="FFFFFF"/>
            <w:vAlign w:val="center"/>
            <w:hideMark/>
          </w:tcPr>
          <w:p w14:paraId="28B69816"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And are there any restrictions regarding whether a proposal can involve cooperation between a land-grant university and the Naval Postgraduate School or </w:t>
            </w:r>
            <w:proofErr w:type="gramStart"/>
            <w:r w:rsidRPr="005F69E4">
              <w:rPr>
                <w:rFonts w:eastAsia="Times New Roman"/>
                <w:sz w:val="20"/>
                <w:szCs w:val="20"/>
              </w:rPr>
              <w:t>with  Air</w:t>
            </w:r>
            <w:proofErr w:type="gramEnd"/>
            <w:r w:rsidRPr="005F69E4">
              <w:rPr>
                <w:rFonts w:eastAsia="Times New Roman"/>
                <w:sz w:val="20"/>
                <w:szCs w:val="20"/>
              </w:rPr>
              <w:t xml:space="preserve"> Force Institute of Technology?  </w:t>
            </w:r>
          </w:p>
        </w:tc>
        <w:tc>
          <w:tcPr>
            <w:tcW w:w="6760" w:type="dxa"/>
            <w:tcBorders>
              <w:top w:val="nil"/>
              <w:left w:val="nil"/>
              <w:bottom w:val="single" w:sz="4" w:space="0" w:color="auto"/>
              <w:right w:val="single" w:sz="4" w:space="0" w:color="auto"/>
            </w:tcBorders>
            <w:shd w:val="clear" w:color="000000" w:fill="FFFFFF"/>
            <w:vAlign w:val="center"/>
            <w:hideMark/>
          </w:tcPr>
          <w:p w14:paraId="7FF55822"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No.</w:t>
            </w:r>
          </w:p>
        </w:tc>
      </w:tr>
      <w:tr w:rsidR="005F69E4" w:rsidRPr="005F69E4" w14:paraId="4438E17B" w14:textId="77777777" w:rsidTr="005F69E4">
        <w:trPr>
          <w:trHeight w:val="382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1C50A92"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lastRenderedPageBreak/>
              <w:t>8</w:t>
            </w:r>
          </w:p>
        </w:tc>
        <w:tc>
          <w:tcPr>
            <w:tcW w:w="1880" w:type="dxa"/>
            <w:tcBorders>
              <w:top w:val="nil"/>
              <w:left w:val="nil"/>
              <w:bottom w:val="single" w:sz="4" w:space="0" w:color="auto"/>
              <w:right w:val="single" w:sz="4" w:space="0" w:color="auto"/>
            </w:tcBorders>
            <w:shd w:val="clear" w:color="000000" w:fill="FFFFFF"/>
            <w:vAlign w:val="center"/>
            <w:hideMark/>
          </w:tcPr>
          <w:p w14:paraId="5F33691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Section 3.2.2 Subject Area 2: Geodesy</w:t>
            </w:r>
          </w:p>
        </w:tc>
        <w:tc>
          <w:tcPr>
            <w:tcW w:w="4180" w:type="dxa"/>
            <w:tcBorders>
              <w:top w:val="nil"/>
              <w:left w:val="nil"/>
              <w:bottom w:val="single" w:sz="4" w:space="0" w:color="auto"/>
              <w:right w:val="single" w:sz="4" w:space="0" w:color="auto"/>
            </w:tcBorders>
            <w:shd w:val="clear" w:color="000000" w:fill="FFFFFF"/>
            <w:vAlign w:val="center"/>
            <w:hideMark/>
          </w:tcPr>
          <w:p w14:paraId="5253975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Is requesting funding for hiring new faculty to strengthen our geodesy program considered responsive to this topic? </w:t>
            </w:r>
            <w:r w:rsidRPr="005F69E4">
              <w:rPr>
                <w:rFonts w:eastAsia="Times New Roman"/>
                <w:sz w:val="20"/>
                <w:szCs w:val="20"/>
              </w:rPr>
              <w:br/>
              <w:t xml:space="preserve">We are looking at developing a combined research and teaching program for geodesy that builds on our current expertise, adding a new faculty to contribute to both the research and teaching aspects of the project. The funding is understood to be for five years, at which point the university would take over the support of the new faculty member. </w:t>
            </w:r>
          </w:p>
        </w:tc>
        <w:tc>
          <w:tcPr>
            <w:tcW w:w="6760" w:type="dxa"/>
            <w:tcBorders>
              <w:top w:val="nil"/>
              <w:left w:val="nil"/>
              <w:bottom w:val="single" w:sz="4" w:space="0" w:color="auto"/>
              <w:right w:val="single" w:sz="4" w:space="0" w:color="auto"/>
            </w:tcBorders>
            <w:shd w:val="clear" w:color="000000" w:fill="FFFFFF"/>
            <w:vAlign w:val="center"/>
            <w:hideMark/>
          </w:tcPr>
          <w:p w14:paraId="6BE17B02"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1) For Subject Area 2 (Geodesy): funding is for one year with potential for four additional funding periods of one year each, based upon availability of funds, quality of reports, and progress toward achieving the objectives of this topic (section 8.2 of topic call). The subject area presents specific desired objectives (Topic Call sections 2.2 and 3.2.2); each proposer can propose their path for achieving the goal with respect to </w:t>
            </w:r>
            <w:proofErr w:type="spellStart"/>
            <w:r w:rsidRPr="005F69E4">
              <w:rPr>
                <w:rFonts w:eastAsia="Times New Roman"/>
                <w:sz w:val="20"/>
                <w:szCs w:val="20"/>
              </w:rPr>
              <w:t>increasinig</w:t>
            </w:r>
            <w:proofErr w:type="spellEnd"/>
            <w:r w:rsidRPr="005F69E4">
              <w:rPr>
                <w:rFonts w:eastAsia="Times New Roman"/>
                <w:sz w:val="20"/>
                <w:szCs w:val="20"/>
              </w:rPr>
              <w:t xml:space="preserve"> student exposure to geodetic sciences and research. Therefore, use of some of funds to hire new </w:t>
            </w:r>
            <w:proofErr w:type="spellStart"/>
            <w:r w:rsidRPr="005F69E4">
              <w:rPr>
                <w:rFonts w:eastAsia="Times New Roman"/>
                <w:sz w:val="20"/>
                <w:szCs w:val="20"/>
              </w:rPr>
              <w:t>faculity</w:t>
            </w:r>
            <w:proofErr w:type="spellEnd"/>
            <w:r w:rsidRPr="005F69E4">
              <w:rPr>
                <w:rFonts w:eastAsia="Times New Roman"/>
                <w:sz w:val="20"/>
                <w:szCs w:val="20"/>
              </w:rPr>
              <w:t xml:space="preserve"> is allowed. However, there is no guarantee that NGA will fund the additional funding periods after the first year.</w:t>
            </w:r>
            <w:r w:rsidRPr="005F69E4">
              <w:rPr>
                <w:rFonts w:eastAsia="Times New Roman"/>
                <w:sz w:val="20"/>
                <w:szCs w:val="20"/>
              </w:rPr>
              <w:br/>
            </w:r>
            <w:r w:rsidRPr="005F69E4">
              <w:rPr>
                <w:rFonts w:eastAsia="Times New Roman"/>
                <w:sz w:val="20"/>
                <w:szCs w:val="20"/>
              </w:rPr>
              <w:br/>
              <w:t>2) For Subject Area 1 (SAR): university is free to manage its staff as it feels is appropriate to respond to the topic call.  Note that while funding is for up to five years, Section 8.2 of topic call states that "after funding of the initial 12-month period, additional funding increments will be provided at the sole discretion of the Government."</w:t>
            </w:r>
          </w:p>
        </w:tc>
      </w:tr>
      <w:tr w:rsidR="005F69E4" w:rsidRPr="005F69E4" w14:paraId="4123651B" w14:textId="77777777" w:rsidTr="005F69E4">
        <w:trPr>
          <w:trHeight w:val="76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52EF8EF"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14:paraId="0610CD1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w:t>
            </w:r>
          </w:p>
        </w:tc>
        <w:tc>
          <w:tcPr>
            <w:tcW w:w="4180" w:type="dxa"/>
            <w:tcBorders>
              <w:top w:val="nil"/>
              <w:left w:val="nil"/>
              <w:bottom w:val="single" w:sz="4" w:space="0" w:color="auto"/>
              <w:right w:val="single" w:sz="4" w:space="0" w:color="auto"/>
            </w:tcBorders>
            <w:shd w:val="clear" w:color="000000" w:fill="FFFFFF"/>
            <w:vAlign w:val="center"/>
            <w:hideMark/>
          </w:tcPr>
          <w:p w14:paraId="4D985374"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Is an institutional letter of support, e.g., from the Provost or Chancellor of the university, required or recommended for the proposal submission? </w:t>
            </w:r>
          </w:p>
        </w:tc>
        <w:tc>
          <w:tcPr>
            <w:tcW w:w="6760" w:type="dxa"/>
            <w:tcBorders>
              <w:top w:val="nil"/>
              <w:left w:val="nil"/>
              <w:bottom w:val="single" w:sz="4" w:space="0" w:color="auto"/>
              <w:right w:val="single" w:sz="4" w:space="0" w:color="auto"/>
            </w:tcBorders>
            <w:shd w:val="clear" w:color="000000" w:fill="FFFFFF"/>
            <w:vAlign w:val="center"/>
            <w:hideMark/>
          </w:tcPr>
          <w:p w14:paraId="67C6652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No.</w:t>
            </w:r>
          </w:p>
        </w:tc>
      </w:tr>
      <w:tr w:rsidR="005F69E4" w:rsidRPr="005F69E4" w14:paraId="605F673C" w14:textId="77777777" w:rsidTr="005F69E4">
        <w:trPr>
          <w:trHeight w:val="280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5EA91C8"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14:paraId="12E75863"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Section 3.2.2 Subject Area 2: Geodesy</w:t>
            </w:r>
          </w:p>
        </w:tc>
        <w:tc>
          <w:tcPr>
            <w:tcW w:w="4180" w:type="dxa"/>
            <w:tcBorders>
              <w:top w:val="nil"/>
              <w:left w:val="nil"/>
              <w:bottom w:val="single" w:sz="4" w:space="0" w:color="auto"/>
              <w:right w:val="single" w:sz="4" w:space="0" w:color="auto"/>
            </w:tcBorders>
            <w:shd w:val="clear" w:color="000000" w:fill="FFFFFF"/>
            <w:vAlign w:val="center"/>
            <w:hideMark/>
          </w:tcPr>
          <w:p w14:paraId="50368051"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For the educational component of the project, is there a requirement or strong recommendation to create a new major/certificate/minor degree program? We currently offer degrees in Geological Engineering and Geology and Geophysics and are considering creating new focus areas within these existing degree programs that would expose students to the four fundamental geodetic science principles listed in the solicitation. Would an approach like this be appropriate? </w:t>
            </w:r>
          </w:p>
        </w:tc>
        <w:tc>
          <w:tcPr>
            <w:tcW w:w="6760" w:type="dxa"/>
            <w:tcBorders>
              <w:top w:val="nil"/>
              <w:left w:val="nil"/>
              <w:bottom w:val="single" w:sz="4" w:space="0" w:color="auto"/>
              <w:right w:val="single" w:sz="4" w:space="0" w:color="auto"/>
            </w:tcBorders>
            <w:shd w:val="clear" w:color="000000" w:fill="FFFFFF"/>
            <w:vAlign w:val="center"/>
            <w:hideMark/>
          </w:tcPr>
          <w:p w14:paraId="55E57FA9"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1) For Subject Area 2 (Geodesy): While the creation of a new major/certificate/minor degree program is not a requirement, an approach of this nature would be </w:t>
            </w:r>
            <w:proofErr w:type="spellStart"/>
            <w:r w:rsidRPr="005F69E4">
              <w:rPr>
                <w:rFonts w:eastAsia="Times New Roman"/>
                <w:sz w:val="20"/>
                <w:szCs w:val="20"/>
              </w:rPr>
              <w:t>appropiate</w:t>
            </w:r>
            <w:proofErr w:type="spellEnd"/>
            <w:r w:rsidRPr="005F69E4">
              <w:rPr>
                <w:rFonts w:eastAsia="Times New Roman"/>
                <w:sz w:val="20"/>
                <w:szCs w:val="20"/>
              </w:rPr>
              <w:t xml:space="preserve"> and even encouraged.</w:t>
            </w:r>
            <w:r w:rsidRPr="005F69E4">
              <w:rPr>
                <w:rFonts w:eastAsia="Times New Roman"/>
                <w:sz w:val="20"/>
                <w:szCs w:val="20"/>
              </w:rPr>
              <w:br/>
            </w:r>
            <w:r w:rsidRPr="005F69E4">
              <w:rPr>
                <w:rFonts w:eastAsia="Times New Roman"/>
                <w:sz w:val="20"/>
                <w:szCs w:val="20"/>
              </w:rPr>
              <w:br/>
              <w:t>2) For Subject Area 1 (SAR), this is allowed but is not a requirement. A major/certificate/minor is only one of many ways to accomplish the goals of the grant.</w:t>
            </w:r>
          </w:p>
        </w:tc>
      </w:tr>
      <w:tr w:rsidR="005F69E4" w:rsidRPr="005F69E4" w14:paraId="2BEF88D5" w14:textId="77777777" w:rsidTr="005F69E4">
        <w:trPr>
          <w:trHeight w:val="408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70857C4"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lastRenderedPageBreak/>
              <w:t>11</w:t>
            </w:r>
          </w:p>
        </w:tc>
        <w:tc>
          <w:tcPr>
            <w:tcW w:w="1880" w:type="dxa"/>
            <w:tcBorders>
              <w:top w:val="nil"/>
              <w:left w:val="nil"/>
              <w:bottom w:val="single" w:sz="4" w:space="0" w:color="auto"/>
              <w:right w:val="single" w:sz="4" w:space="0" w:color="auto"/>
            </w:tcBorders>
            <w:shd w:val="clear" w:color="000000" w:fill="FFFFFF"/>
            <w:vAlign w:val="center"/>
            <w:hideMark/>
          </w:tcPr>
          <w:p w14:paraId="261BD46B"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Sub-award</w:t>
            </w:r>
          </w:p>
        </w:tc>
        <w:tc>
          <w:tcPr>
            <w:tcW w:w="4180" w:type="dxa"/>
            <w:tcBorders>
              <w:top w:val="nil"/>
              <w:left w:val="nil"/>
              <w:bottom w:val="single" w:sz="4" w:space="0" w:color="auto"/>
              <w:right w:val="single" w:sz="4" w:space="0" w:color="auto"/>
            </w:tcBorders>
            <w:shd w:val="clear" w:color="000000" w:fill="FFFFFF"/>
            <w:vAlign w:val="center"/>
            <w:hideMark/>
          </w:tcPr>
          <w:p w14:paraId="14B0DB06"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Are there any limitations on academic/industry relationships for Topic 2 MUSE? For example, PSG is an industry member of a University Affiliated Research Center (UARC). If the UARC academic institution was the grantee, can industry subcontracts support MUSE through the academic institution? </w:t>
            </w:r>
          </w:p>
        </w:tc>
        <w:tc>
          <w:tcPr>
            <w:tcW w:w="6760" w:type="dxa"/>
            <w:tcBorders>
              <w:top w:val="nil"/>
              <w:left w:val="nil"/>
              <w:bottom w:val="single" w:sz="4" w:space="0" w:color="auto"/>
              <w:right w:val="single" w:sz="4" w:space="0" w:color="auto"/>
            </w:tcBorders>
            <w:shd w:val="clear" w:color="000000" w:fill="FFFFFF"/>
            <w:vAlign w:val="center"/>
            <w:hideMark/>
          </w:tcPr>
          <w:p w14:paraId="5FCF39F6"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University primes can have an Industry partner as a subcontractor. </w:t>
            </w:r>
            <w:r w:rsidRPr="005F69E4">
              <w:rPr>
                <w:rFonts w:eastAsia="Times New Roman"/>
                <w:sz w:val="20"/>
                <w:szCs w:val="20"/>
              </w:rPr>
              <w:br/>
              <w:t xml:space="preserve">1) UARCS have specific rules they must follow; subcontractors must follow those same rules while supporting work under this grant. (see BIG-ST BAA General </w:t>
            </w:r>
            <w:proofErr w:type="spellStart"/>
            <w:r w:rsidRPr="005F69E4">
              <w:rPr>
                <w:rFonts w:eastAsia="Times New Roman"/>
                <w:sz w:val="20"/>
                <w:szCs w:val="20"/>
              </w:rPr>
              <w:t>Solicitaiton</w:t>
            </w:r>
            <w:proofErr w:type="spellEnd"/>
            <w:r w:rsidRPr="005F69E4">
              <w:rPr>
                <w:rFonts w:eastAsia="Times New Roman"/>
                <w:sz w:val="20"/>
                <w:szCs w:val="20"/>
              </w:rPr>
              <w:t xml:space="preserve"> Section 3.1.1.2)</w:t>
            </w:r>
            <w:r w:rsidRPr="005F69E4">
              <w:rPr>
                <w:rFonts w:eastAsia="Times New Roman"/>
                <w:sz w:val="20"/>
                <w:szCs w:val="20"/>
              </w:rPr>
              <w:br/>
              <w:t>2) During grant execution, and in the future, because UARCS are prohibited from competing with industry, subcontractors supporting UARCS under this grant cannot use knowledge/information gained during execution for other competitive solicitations.</w:t>
            </w:r>
            <w:r w:rsidRPr="005F69E4">
              <w:rPr>
                <w:rFonts w:eastAsia="Times New Roman"/>
                <w:sz w:val="20"/>
                <w:szCs w:val="20"/>
              </w:rPr>
              <w:br/>
              <w:t>3) All subcontractors are subject to the same grant rules as the university prime.</w:t>
            </w:r>
            <w:r w:rsidRPr="005F69E4">
              <w:rPr>
                <w:rFonts w:eastAsia="Times New Roman"/>
                <w:sz w:val="20"/>
                <w:szCs w:val="20"/>
              </w:rPr>
              <w:br/>
              <w:t>4) The purpose of the grants is to stimulate or support a public purpose, i.e., the main beneficiary is the public; therefore subcontractors should not submit proprietary information in the execution of the grant, because results will be shared with the public.</w:t>
            </w:r>
            <w:r w:rsidRPr="005F69E4">
              <w:rPr>
                <w:rFonts w:eastAsia="Times New Roman"/>
                <w:sz w:val="20"/>
                <w:szCs w:val="20"/>
              </w:rPr>
              <w:br/>
              <w:t>5) The prime is responsible for managing, paying, and providing other support to the subcontractors.</w:t>
            </w:r>
            <w:r w:rsidRPr="005F69E4">
              <w:rPr>
                <w:rFonts w:eastAsia="Times New Roman"/>
                <w:sz w:val="20"/>
                <w:szCs w:val="20"/>
              </w:rPr>
              <w:br/>
              <w:t>6) Subcontractor relationships shall be detailed in the proposal.</w:t>
            </w:r>
          </w:p>
        </w:tc>
      </w:tr>
      <w:tr w:rsidR="005F69E4" w:rsidRPr="005F69E4" w14:paraId="6717E454" w14:textId="77777777" w:rsidTr="005F69E4">
        <w:trPr>
          <w:trHeight w:val="76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F610D87"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12</w:t>
            </w:r>
          </w:p>
        </w:tc>
        <w:tc>
          <w:tcPr>
            <w:tcW w:w="1880" w:type="dxa"/>
            <w:tcBorders>
              <w:top w:val="nil"/>
              <w:left w:val="nil"/>
              <w:bottom w:val="single" w:sz="4" w:space="0" w:color="auto"/>
              <w:right w:val="single" w:sz="4" w:space="0" w:color="auto"/>
            </w:tcBorders>
            <w:shd w:val="clear" w:color="000000" w:fill="FFFFFF"/>
            <w:vAlign w:val="center"/>
            <w:hideMark/>
          </w:tcPr>
          <w:p w14:paraId="6950A5B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w:t>
            </w:r>
          </w:p>
        </w:tc>
        <w:tc>
          <w:tcPr>
            <w:tcW w:w="4180" w:type="dxa"/>
            <w:tcBorders>
              <w:top w:val="nil"/>
              <w:left w:val="nil"/>
              <w:bottom w:val="single" w:sz="4" w:space="0" w:color="auto"/>
              <w:right w:val="single" w:sz="4" w:space="0" w:color="auto"/>
            </w:tcBorders>
            <w:shd w:val="clear" w:color="000000" w:fill="FFFFFF"/>
            <w:vAlign w:val="center"/>
            <w:hideMark/>
          </w:tcPr>
          <w:p w14:paraId="55F26E1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Is it possible to work with NGA to seek outreach opportunities as the program is established and evolved through the grant? </w:t>
            </w:r>
          </w:p>
        </w:tc>
        <w:tc>
          <w:tcPr>
            <w:tcW w:w="6760" w:type="dxa"/>
            <w:tcBorders>
              <w:top w:val="nil"/>
              <w:left w:val="nil"/>
              <w:bottom w:val="single" w:sz="4" w:space="0" w:color="auto"/>
              <w:right w:val="single" w:sz="4" w:space="0" w:color="auto"/>
            </w:tcBorders>
            <w:shd w:val="clear" w:color="000000" w:fill="FFFFFF"/>
            <w:vAlign w:val="center"/>
            <w:hideMark/>
          </w:tcPr>
          <w:p w14:paraId="507657EC"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It could be possible, but not guaranteed. In addition, outreach shall support topic call requirements, and it shall not provide an unfair advantage to any partner on any future </w:t>
            </w:r>
            <w:proofErr w:type="gramStart"/>
            <w:r w:rsidRPr="005F69E4">
              <w:rPr>
                <w:rFonts w:eastAsia="Times New Roman"/>
                <w:sz w:val="20"/>
                <w:szCs w:val="20"/>
              </w:rPr>
              <w:t>competed  acquisition</w:t>
            </w:r>
            <w:proofErr w:type="gramEnd"/>
            <w:r w:rsidRPr="005F69E4">
              <w:rPr>
                <w:rFonts w:eastAsia="Times New Roman"/>
                <w:sz w:val="20"/>
                <w:szCs w:val="20"/>
              </w:rPr>
              <w:t>/solicitation opportunity.</w:t>
            </w:r>
          </w:p>
        </w:tc>
      </w:tr>
      <w:tr w:rsidR="005F69E4" w:rsidRPr="005F69E4" w14:paraId="46A6ABDE" w14:textId="77777777" w:rsidTr="005F69E4">
        <w:trPr>
          <w:trHeight w:val="22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A9F646D"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13</w:t>
            </w:r>
          </w:p>
        </w:tc>
        <w:tc>
          <w:tcPr>
            <w:tcW w:w="1880" w:type="dxa"/>
            <w:tcBorders>
              <w:top w:val="nil"/>
              <w:left w:val="nil"/>
              <w:bottom w:val="single" w:sz="4" w:space="0" w:color="auto"/>
              <w:right w:val="single" w:sz="4" w:space="0" w:color="auto"/>
            </w:tcBorders>
            <w:shd w:val="clear" w:color="000000" w:fill="FFFFFF"/>
            <w:vAlign w:val="center"/>
            <w:hideMark/>
          </w:tcPr>
          <w:p w14:paraId="6FDC7160"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Sub-award</w:t>
            </w:r>
          </w:p>
        </w:tc>
        <w:tc>
          <w:tcPr>
            <w:tcW w:w="4180" w:type="dxa"/>
            <w:tcBorders>
              <w:top w:val="nil"/>
              <w:left w:val="nil"/>
              <w:bottom w:val="single" w:sz="4" w:space="0" w:color="auto"/>
              <w:right w:val="single" w:sz="4" w:space="0" w:color="auto"/>
            </w:tcBorders>
            <w:shd w:val="clear" w:color="000000" w:fill="FFFFFF"/>
            <w:vAlign w:val="center"/>
            <w:hideMark/>
          </w:tcPr>
          <w:p w14:paraId="76F67086"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Is there any limitation on bringing in organizations outside academia (i.e. commercial sensor providers, USGIF, IEEE, etc.)? Can these outside organizations' objectives be funded under the grant, with organization-specific objectives and models engaged for sustainment activities?</w:t>
            </w:r>
          </w:p>
        </w:tc>
        <w:tc>
          <w:tcPr>
            <w:tcW w:w="6760" w:type="dxa"/>
            <w:tcBorders>
              <w:top w:val="nil"/>
              <w:left w:val="nil"/>
              <w:bottom w:val="single" w:sz="4" w:space="0" w:color="auto"/>
              <w:right w:val="single" w:sz="4" w:space="0" w:color="auto"/>
            </w:tcBorders>
            <w:shd w:val="clear" w:color="000000" w:fill="FFFFFF"/>
            <w:vAlign w:val="center"/>
            <w:hideMark/>
          </w:tcPr>
          <w:p w14:paraId="6747C03C"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1) Universities/Academia can partner with entities that will be subcontractors under the university prime. NGA will not be responsible and will not pay for work outside the Grant Agreement.</w:t>
            </w:r>
            <w:r w:rsidRPr="005F69E4">
              <w:rPr>
                <w:rFonts w:eastAsia="Times New Roman"/>
                <w:sz w:val="20"/>
                <w:szCs w:val="20"/>
              </w:rPr>
              <w:br/>
              <w:t>2) All payments will be to the prime of awarded grant. The prime is responsible for managing, paying, and providing other support to the subcontractors.</w:t>
            </w:r>
            <w:r w:rsidRPr="005F69E4">
              <w:rPr>
                <w:rFonts w:eastAsia="Times New Roman"/>
                <w:sz w:val="20"/>
                <w:szCs w:val="20"/>
              </w:rPr>
              <w:br/>
              <w:t>3) All efforts/work have to support the objectives and requirements of the Topic Call of the resultant Grant Agreement. In addition, as stated in the "Expected Awards" section of the topic call, topic intent is to award grants; there are no sustainment activities under a grant.</w:t>
            </w:r>
          </w:p>
        </w:tc>
      </w:tr>
      <w:tr w:rsidR="005F69E4" w:rsidRPr="005F69E4" w14:paraId="700BF3E3" w14:textId="77777777" w:rsidTr="005F69E4">
        <w:trPr>
          <w:trHeight w:val="204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31C36F9"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lastRenderedPageBreak/>
              <w:t>14</w:t>
            </w:r>
          </w:p>
        </w:tc>
        <w:tc>
          <w:tcPr>
            <w:tcW w:w="1880" w:type="dxa"/>
            <w:tcBorders>
              <w:top w:val="nil"/>
              <w:left w:val="nil"/>
              <w:bottom w:val="single" w:sz="4" w:space="0" w:color="auto"/>
              <w:right w:val="single" w:sz="4" w:space="0" w:color="auto"/>
            </w:tcBorders>
            <w:shd w:val="clear" w:color="000000" w:fill="FFFFFF"/>
            <w:vAlign w:val="center"/>
            <w:hideMark/>
          </w:tcPr>
          <w:p w14:paraId="6C75A15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w:t>
            </w:r>
          </w:p>
        </w:tc>
        <w:tc>
          <w:tcPr>
            <w:tcW w:w="4180" w:type="dxa"/>
            <w:tcBorders>
              <w:top w:val="nil"/>
              <w:left w:val="nil"/>
              <w:bottom w:val="single" w:sz="4" w:space="0" w:color="auto"/>
              <w:right w:val="single" w:sz="4" w:space="0" w:color="auto"/>
            </w:tcBorders>
            <w:shd w:val="clear" w:color="000000" w:fill="FFFFFF"/>
            <w:vAlign w:val="center"/>
            <w:hideMark/>
          </w:tcPr>
          <w:p w14:paraId="77BB208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Must the proposal be submitted by an academic institution?   </w:t>
            </w:r>
          </w:p>
        </w:tc>
        <w:tc>
          <w:tcPr>
            <w:tcW w:w="6760" w:type="dxa"/>
            <w:tcBorders>
              <w:top w:val="nil"/>
              <w:left w:val="nil"/>
              <w:bottom w:val="single" w:sz="4" w:space="0" w:color="auto"/>
              <w:right w:val="single" w:sz="4" w:space="0" w:color="auto"/>
            </w:tcBorders>
            <w:shd w:val="clear" w:color="000000" w:fill="FFFFFF"/>
            <w:vAlign w:val="center"/>
            <w:hideMark/>
          </w:tcPr>
          <w:p w14:paraId="60DBEC7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While an academic institution was envisioned, other institutions can be considered, provided they address the goals of the topic call. A goal of this topic call (sections 3.2.1 and 3.2.2) is to increase exposure and understanding of SAR and Geodesy, through research efforts with direct student involvement. A proposal from someone other than an academic institution would need to articulate how they will accomplish this goal themselves with students. If a proposer cannot answer the performance metrics in Section 4 of the topic call, they should not submit a proposal. </w:t>
            </w:r>
          </w:p>
        </w:tc>
      </w:tr>
      <w:tr w:rsidR="005F69E4" w:rsidRPr="005F69E4" w14:paraId="3C3487D4" w14:textId="77777777" w:rsidTr="005F69E4">
        <w:trPr>
          <w:trHeight w:val="127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5983711"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15</w:t>
            </w:r>
          </w:p>
        </w:tc>
        <w:tc>
          <w:tcPr>
            <w:tcW w:w="1880" w:type="dxa"/>
            <w:tcBorders>
              <w:top w:val="nil"/>
              <w:left w:val="nil"/>
              <w:bottom w:val="single" w:sz="4" w:space="0" w:color="auto"/>
              <w:right w:val="single" w:sz="4" w:space="0" w:color="auto"/>
            </w:tcBorders>
            <w:shd w:val="clear" w:color="000000" w:fill="FFFFFF"/>
            <w:vAlign w:val="center"/>
            <w:hideMark/>
          </w:tcPr>
          <w:p w14:paraId="0B85345C"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w:t>
            </w:r>
          </w:p>
        </w:tc>
        <w:tc>
          <w:tcPr>
            <w:tcW w:w="4180" w:type="dxa"/>
            <w:tcBorders>
              <w:top w:val="nil"/>
              <w:left w:val="nil"/>
              <w:bottom w:val="single" w:sz="4" w:space="0" w:color="auto"/>
              <w:right w:val="single" w:sz="4" w:space="0" w:color="auto"/>
            </w:tcBorders>
            <w:shd w:val="clear" w:color="000000" w:fill="FFFFFF"/>
            <w:vAlign w:val="center"/>
            <w:hideMark/>
          </w:tcPr>
          <w:p w14:paraId="1036753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Is there a preference for proposals that engage multiple educational institutions?</w:t>
            </w:r>
          </w:p>
        </w:tc>
        <w:tc>
          <w:tcPr>
            <w:tcW w:w="6760" w:type="dxa"/>
            <w:tcBorders>
              <w:top w:val="nil"/>
              <w:left w:val="nil"/>
              <w:bottom w:val="single" w:sz="4" w:space="0" w:color="auto"/>
              <w:right w:val="single" w:sz="4" w:space="0" w:color="auto"/>
            </w:tcBorders>
            <w:shd w:val="clear" w:color="000000" w:fill="FFFFFF"/>
            <w:vAlign w:val="center"/>
            <w:hideMark/>
          </w:tcPr>
          <w:p w14:paraId="143B262F"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There is no inherent preference for multi-institution versus single institution proposals, as long as they can meet or exceed the metrics in section 4 of the topic call.</w:t>
            </w:r>
            <w:r w:rsidRPr="005F69E4">
              <w:rPr>
                <w:rFonts w:eastAsia="Times New Roman"/>
                <w:sz w:val="20"/>
                <w:szCs w:val="20"/>
              </w:rPr>
              <w:br/>
              <w:t>If a multi-institutional proposal is submitted, the proposal shall clearly identify the prime.</w:t>
            </w:r>
          </w:p>
        </w:tc>
      </w:tr>
      <w:tr w:rsidR="005F69E4" w:rsidRPr="005F69E4" w14:paraId="34E5286F" w14:textId="77777777" w:rsidTr="005F69E4">
        <w:trPr>
          <w:trHeight w:val="102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64BB70B"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16</w:t>
            </w:r>
          </w:p>
        </w:tc>
        <w:tc>
          <w:tcPr>
            <w:tcW w:w="1880" w:type="dxa"/>
            <w:tcBorders>
              <w:top w:val="nil"/>
              <w:left w:val="nil"/>
              <w:bottom w:val="single" w:sz="4" w:space="0" w:color="auto"/>
              <w:right w:val="single" w:sz="4" w:space="0" w:color="auto"/>
            </w:tcBorders>
            <w:shd w:val="clear" w:color="000000" w:fill="FFFFFF"/>
            <w:vAlign w:val="center"/>
            <w:hideMark/>
          </w:tcPr>
          <w:p w14:paraId="61B9F17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Topic 2 - Section 2; and General </w:t>
            </w:r>
            <w:proofErr w:type="spellStart"/>
            <w:r w:rsidRPr="005F69E4">
              <w:rPr>
                <w:rFonts w:eastAsia="Times New Roman"/>
                <w:sz w:val="20"/>
                <w:szCs w:val="20"/>
              </w:rPr>
              <w:t>Solicitaiton</w:t>
            </w:r>
            <w:proofErr w:type="spellEnd"/>
            <w:r w:rsidRPr="005F69E4">
              <w:rPr>
                <w:rFonts w:eastAsia="Times New Roman"/>
                <w:sz w:val="20"/>
                <w:szCs w:val="20"/>
              </w:rPr>
              <w:t xml:space="preserve"> - Section 4.2</w:t>
            </w:r>
          </w:p>
        </w:tc>
        <w:tc>
          <w:tcPr>
            <w:tcW w:w="4180" w:type="dxa"/>
            <w:tcBorders>
              <w:top w:val="nil"/>
              <w:left w:val="nil"/>
              <w:bottom w:val="single" w:sz="4" w:space="0" w:color="auto"/>
              <w:right w:val="single" w:sz="4" w:space="0" w:color="auto"/>
            </w:tcBorders>
            <w:shd w:val="clear" w:color="000000" w:fill="FFFFFF"/>
            <w:vAlign w:val="center"/>
            <w:hideMark/>
          </w:tcPr>
          <w:p w14:paraId="3571659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May an institution be included in multiple proposals? May an institution be included in multiple proposals on the same subject area?</w:t>
            </w:r>
          </w:p>
        </w:tc>
        <w:tc>
          <w:tcPr>
            <w:tcW w:w="6760" w:type="dxa"/>
            <w:tcBorders>
              <w:top w:val="nil"/>
              <w:left w:val="nil"/>
              <w:bottom w:val="single" w:sz="4" w:space="0" w:color="auto"/>
              <w:right w:val="single" w:sz="4" w:space="0" w:color="auto"/>
            </w:tcBorders>
            <w:shd w:val="clear" w:color="000000" w:fill="FFFFFF"/>
            <w:vAlign w:val="center"/>
            <w:hideMark/>
          </w:tcPr>
          <w:p w14:paraId="5A52C890"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An institution may submit one proposal per subject area as a prime. </w:t>
            </w:r>
            <w:r w:rsidRPr="005F69E4">
              <w:rPr>
                <w:rFonts w:eastAsia="Times New Roman"/>
                <w:sz w:val="20"/>
                <w:szCs w:val="20"/>
              </w:rPr>
              <w:br/>
              <w:t>An institution can be a subcontractor on several proposals.</w:t>
            </w:r>
          </w:p>
        </w:tc>
      </w:tr>
      <w:tr w:rsidR="005F69E4" w:rsidRPr="005F69E4" w14:paraId="08AFE049" w14:textId="77777777" w:rsidTr="005F69E4">
        <w:trPr>
          <w:trHeight w:val="76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64D0849"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17</w:t>
            </w:r>
          </w:p>
        </w:tc>
        <w:tc>
          <w:tcPr>
            <w:tcW w:w="1880" w:type="dxa"/>
            <w:tcBorders>
              <w:top w:val="nil"/>
              <w:left w:val="nil"/>
              <w:bottom w:val="single" w:sz="4" w:space="0" w:color="auto"/>
              <w:right w:val="single" w:sz="4" w:space="0" w:color="auto"/>
            </w:tcBorders>
            <w:shd w:val="clear" w:color="000000" w:fill="FFFFFF"/>
            <w:vAlign w:val="center"/>
            <w:hideMark/>
          </w:tcPr>
          <w:p w14:paraId="6443A9D1"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 Solicitation, Appendix 5</w:t>
            </w:r>
          </w:p>
        </w:tc>
        <w:tc>
          <w:tcPr>
            <w:tcW w:w="4180" w:type="dxa"/>
            <w:tcBorders>
              <w:top w:val="nil"/>
              <w:left w:val="nil"/>
              <w:bottom w:val="single" w:sz="4" w:space="0" w:color="auto"/>
              <w:right w:val="single" w:sz="4" w:space="0" w:color="auto"/>
            </w:tcBorders>
            <w:shd w:val="clear" w:color="000000" w:fill="FFFFFF"/>
            <w:vAlign w:val="center"/>
            <w:hideMark/>
          </w:tcPr>
          <w:p w14:paraId="12D693D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Does an award support the purchase of equipment (e.g., UAV SAR system or corner reflectors) as part of the grant?</w:t>
            </w:r>
          </w:p>
        </w:tc>
        <w:tc>
          <w:tcPr>
            <w:tcW w:w="6760" w:type="dxa"/>
            <w:tcBorders>
              <w:top w:val="nil"/>
              <w:left w:val="nil"/>
              <w:bottom w:val="single" w:sz="4" w:space="0" w:color="auto"/>
              <w:right w:val="single" w:sz="4" w:space="0" w:color="auto"/>
            </w:tcBorders>
            <w:shd w:val="clear" w:color="000000" w:fill="FFFFFF"/>
            <w:vAlign w:val="center"/>
            <w:hideMark/>
          </w:tcPr>
          <w:p w14:paraId="4CF25B92"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Yes. </w:t>
            </w:r>
            <w:r w:rsidRPr="005F69E4">
              <w:rPr>
                <w:rFonts w:eastAsia="Times New Roman"/>
                <w:sz w:val="20"/>
                <w:szCs w:val="20"/>
              </w:rPr>
              <w:br/>
              <w:t xml:space="preserve">See General Solicitation, Appendix 5, Section 4.5.2.4, </w:t>
            </w:r>
            <w:r w:rsidRPr="005F69E4">
              <w:rPr>
                <w:rFonts w:eastAsia="Times New Roman"/>
                <w:sz w:val="20"/>
                <w:szCs w:val="20"/>
              </w:rPr>
              <w:br/>
              <w:t>(5) Research &amp; Related Budget</w:t>
            </w:r>
          </w:p>
        </w:tc>
      </w:tr>
      <w:tr w:rsidR="005F69E4" w:rsidRPr="005F69E4" w14:paraId="67B93B54" w14:textId="77777777" w:rsidTr="005F69E4">
        <w:trPr>
          <w:trHeight w:val="5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E3C07BD"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18</w:t>
            </w:r>
          </w:p>
        </w:tc>
        <w:tc>
          <w:tcPr>
            <w:tcW w:w="1880" w:type="dxa"/>
            <w:tcBorders>
              <w:top w:val="nil"/>
              <w:left w:val="nil"/>
              <w:bottom w:val="single" w:sz="4" w:space="0" w:color="auto"/>
              <w:right w:val="single" w:sz="4" w:space="0" w:color="auto"/>
            </w:tcBorders>
            <w:shd w:val="clear" w:color="000000" w:fill="FFFFFF"/>
            <w:vAlign w:val="center"/>
            <w:hideMark/>
          </w:tcPr>
          <w:p w14:paraId="4001D8D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Budget</w:t>
            </w:r>
          </w:p>
        </w:tc>
        <w:tc>
          <w:tcPr>
            <w:tcW w:w="4180" w:type="dxa"/>
            <w:tcBorders>
              <w:top w:val="nil"/>
              <w:left w:val="nil"/>
              <w:bottom w:val="single" w:sz="4" w:space="0" w:color="auto"/>
              <w:right w:val="single" w:sz="4" w:space="0" w:color="auto"/>
            </w:tcBorders>
            <w:shd w:val="clear" w:color="000000" w:fill="FFFFFF"/>
            <w:vAlign w:val="center"/>
            <w:hideMark/>
          </w:tcPr>
          <w:p w14:paraId="21E8A1A0"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Do we expect that the recent funding bill from Congress affects this BAA in any way? </w:t>
            </w:r>
          </w:p>
        </w:tc>
        <w:tc>
          <w:tcPr>
            <w:tcW w:w="6760" w:type="dxa"/>
            <w:tcBorders>
              <w:top w:val="nil"/>
              <w:left w:val="nil"/>
              <w:bottom w:val="single" w:sz="4" w:space="0" w:color="auto"/>
              <w:right w:val="single" w:sz="4" w:space="0" w:color="auto"/>
            </w:tcBorders>
            <w:shd w:val="clear" w:color="000000" w:fill="FFFFFF"/>
            <w:vAlign w:val="center"/>
            <w:hideMark/>
          </w:tcPr>
          <w:p w14:paraId="748D31B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No.</w:t>
            </w:r>
          </w:p>
        </w:tc>
      </w:tr>
      <w:tr w:rsidR="005F69E4" w:rsidRPr="005F69E4" w14:paraId="4D925732" w14:textId="77777777" w:rsidTr="005F69E4">
        <w:trPr>
          <w:trHeight w:val="127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825FD7A"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19</w:t>
            </w:r>
          </w:p>
        </w:tc>
        <w:tc>
          <w:tcPr>
            <w:tcW w:w="1880" w:type="dxa"/>
            <w:tcBorders>
              <w:top w:val="nil"/>
              <w:left w:val="nil"/>
              <w:bottom w:val="single" w:sz="4" w:space="0" w:color="auto"/>
              <w:right w:val="single" w:sz="4" w:space="0" w:color="auto"/>
            </w:tcBorders>
            <w:shd w:val="clear" w:color="000000" w:fill="FFFFFF"/>
            <w:vAlign w:val="center"/>
            <w:hideMark/>
          </w:tcPr>
          <w:p w14:paraId="747A03BD"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Section 3.2.1 Subject Area 1: Synthetic Aperture Radar (SAR)</w:t>
            </w:r>
          </w:p>
        </w:tc>
        <w:tc>
          <w:tcPr>
            <w:tcW w:w="4180" w:type="dxa"/>
            <w:tcBorders>
              <w:top w:val="nil"/>
              <w:left w:val="nil"/>
              <w:bottom w:val="single" w:sz="4" w:space="0" w:color="auto"/>
              <w:right w:val="single" w:sz="4" w:space="0" w:color="auto"/>
            </w:tcBorders>
            <w:shd w:val="clear" w:color="000000" w:fill="FFFFFF"/>
            <w:vAlign w:val="center"/>
            <w:hideMark/>
          </w:tcPr>
          <w:p w14:paraId="07EE6260"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Regarding SAR sensor development, is there a preference for futuristic system development, including quantum sensors or ground sensors such as micro gravity sensors that help improve SAR accuracy?</w:t>
            </w:r>
          </w:p>
        </w:tc>
        <w:tc>
          <w:tcPr>
            <w:tcW w:w="6760" w:type="dxa"/>
            <w:tcBorders>
              <w:top w:val="nil"/>
              <w:left w:val="nil"/>
              <w:bottom w:val="single" w:sz="4" w:space="0" w:color="auto"/>
              <w:right w:val="single" w:sz="4" w:space="0" w:color="auto"/>
            </w:tcBorders>
            <w:shd w:val="clear" w:color="000000" w:fill="FFFFFF"/>
            <w:vAlign w:val="center"/>
            <w:hideMark/>
          </w:tcPr>
          <w:p w14:paraId="5F40A1F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This is neither required nor excluded by the solicitation. As stated in section 2.1 of topic call, the goal is to increase knowledge, exposure, understanding, awareness, and familiarity of SAR in the next generation of GEOINT professionals. Futuristic system development could enhance or detract from this goal, depending on how it is implemented in the proposal.</w:t>
            </w:r>
          </w:p>
        </w:tc>
      </w:tr>
      <w:tr w:rsidR="005F69E4" w:rsidRPr="005F69E4" w14:paraId="1311BBAE" w14:textId="77777777" w:rsidTr="005F69E4">
        <w:trPr>
          <w:trHeight w:val="22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2280A89"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lastRenderedPageBreak/>
              <w:t>20</w:t>
            </w:r>
          </w:p>
        </w:tc>
        <w:tc>
          <w:tcPr>
            <w:tcW w:w="1880" w:type="dxa"/>
            <w:tcBorders>
              <w:top w:val="nil"/>
              <w:left w:val="nil"/>
              <w:bottom w:val="single" w:sz="4" w:space="0" w:color="auto"/>
              <w:right w:val="single" w:sz="4" w:space="0" w:color="auto"/>
            </w:tcBorders>
            <w:shd w:val="clear" w:color="000000" w:fill="FFFFFF"/>
            <w:vAlign w:val="center"/>
            <w:hideMark/>
          </w:tcPr>
          <w:p w14:paraId="5528D66D"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Section 3</w:t>
            </w:r>
          </w:p>
        </w:tc>
        <w:tc>
          <w:tcPr>
            <w:tcW w:w="4180" w:type="dxa"/>
            <w:tcBorders>
              <w:top w:val="nil"/>
              <w:left w:val="nil"/>
              <w:bottom w:val="single" w:sz="4" w:space="0" w:color="auto"/>
              <w:right w:val="single" w:sz="4" w:space="0" w:color="auto"/>
            </w:tcBorders>
            <w:shd w:val="clear" w:color="000000" w:fill="FFFFFF"/>
            <w:vAlign w:val="center"/>
            <w:hideMark/>
          </w:tcPr>
          <w:p w14:paraId="1AB6F75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Are the three item detection areas that we concentrate on— (a) underground coal fires, (b) oil spills, and (c) waste crimes—of interest?</w:t>
            </w:r>
          </w:p>
        </w:tc>
        <w:tc>
          <w:tcPr>
            <w:tcW w:w="6760" w:type="dxa"/>
            <w:tcBorders>
              <w:top w:val="nil"/>
              <w:left w:val="nil"/>
              <w:bottom w:val="single" w:sz="4" w:space="0" w:color="auto"/>
              <w:right w:val="single" w:sz="4" w:space="0" w:color="auto"/>
            </w:tcBorders>
            <w:shd w:val="clear" w:color="000000" w:fill="FFFFFF"/>
            <w:vAlign w:val="center"/>
            <w:hideMark/>
          </w:tcPr>
          <w:p w14:paraId="783B394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1) For Subject Area 1 (SAR): NGA is open to a variety of applications, including those listed, but proposals must link them to the SAR subject area.  Proposals must answer how these detection areas support the SAR subject area. NGA would need to know how the SAR sensor would be used in the three detection areas listed and the SAR knowledge that they convey. Proposer needs to highlight the plans in the abstract.</w:t>
            </w:r>
            <w:r w:rsidRPr="005F69E4">
              <w:rPr>
                <w:rFonts w:eastAsia="Times New Roman"/>
                <w:sz w:val="20"/>
                <w:szCs w:val="20"/>
              </w:rPr>
              <w:br/>
              <w:t>2) For Subject Area 2 (Geodesy): these detection areas are not related to the geodesy subject area. Proposals for subject area 2 must support the objectives from topic call section 2.2 and 3.2.2.</w:t>
            </w:r>
          </w:p>
        </w:tc>
      </w:tr>
      <w:tr w:rsidR="005F69E4" w:rsidRPr="005F69E4" w14:paraId="742ED0DC" w14:textId="77777777" w:rsidTr="005F69E4">
        <w:trPr>
          <w:trHeight w:val="5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A59B5FD"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21</w:t>
            </w:r>
          </w:p>
        </w:tc>
        <w:tc>
          <w:tcPr>
            <w:tcW w:w="1880" w:type="dxa"/>
            <w:tcBorders>
              <w:top w:val="nil"/>
              <w:left w:val="nil"/>
              <w:bottom w:val="single" w:sz="4" w:space="0" w:color="auto"/>
              <w:right w:val="single" w:sz="4" w:space="0" w:color="auto"/>
            </w:tcBorders>
            <w:shd w:val="clear" w:color="000000" w:fill="FFFFFF"/>
            <w:vAlign w:val="center"/>
            <w:hideMark/>
          </w:tcPr>
          <w:p w14:paraId="4EA7721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General </w:t>
            </w:r>
            <w:proofErr w:type="spellStart"/>
            <w:r w:rsidRPr="005F69E4">
              <w:rPr>
                <w:rFonts w:eastAsia="Times New Roman"/>
                <w:sz w:val="20"/>
                <w:szCs w:val="20"/>
              </w:rPr>
              <w:t>Soliciation</w:t>
            </w:r>
            <w:proofErr w:type="spellEnd"/>
            <w:r w:rsidRPr="005F69E4">
              <w:rPr>
                <w:rFonts w:eastAsia="Times New Roman"/>
                <w:sz w:val="20"/>
                <w:szCs w:val="20"/>
              </w:rPr>
              <w:t xml:space="preserve"> Section 4.4</w:t>
            </w:r>
          </w:p>
        </w:tc>
        <w:tc>
          <w:tcPr>
            <w:tcW w:w="4180" w:type="dxa"/>
            <w:tcBorders>
              <w:top w:val="nil"/>
              <w:left w:val="nil"/>
              <w:bottom w:val="single" w:sz="4" w:space="0" w:color="auto"/>
              <w:right w:val="single" w:sz="4" w:space="0" w:color="auto"/>
            </w:tcBorders>
            <w:shd w:val="clear" w:color="000000" w:fill="FFFFFF"/>
            <w:vAlign w:val="center"/>
            <w:hideMark/>
          </w:tcPr>
          <w:p w14:paraId="08D0CBA1"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What is the method for submitting the abstract, via email or a portal?</w:t>
            </w:r>
          </w:p>
        </w:tc>
        <w:tc>
          <w:tcPr>
            <w:tcW w:w="6760" w:type="dxa"/>
            <w:tcBorders>
              <w:top w:val="nil"/>
              <w:left w:val="nil"/>
              <w:bottom w:val="single" w:sz="4" w:space="0" w:color="auto"/>
              <w:right w:val="single" w:sz="4" w:space="0" w:color="auto"/>
            </w:tcBorders>
            <w:shd w:val="clear" w:color="000000" w:fill="FFFFFF"/>
            <w:vAlign w:val="center"/>
            <w:hideMark/>
          </w:tcPr>
          <w:p w14:paraId="4D2088D9"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Abstracts shall be submitted via email (see BIG-ST BAA General Solicitation Section 4.4.1)</w:t>
            </w:r>
          </w:p>
        </w:tc>
      </w:tr>
      <w:tr w:rsidR="005F69E4" w:rsidRPr="005F69E4" w14:paraId="78645DEB" w14:textId="77777777" w:rsidTr="005F69E4">
        <w:trPr>
          <w:trHeight w:val="5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30F7491"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22</w:t>
            </w:r>
          </w:p>
        </w:tc>
        <w:tc>
          <w:tcPr>
            <w:tcW w:w="1880" w:type="dxa"/>
            <w:tcBorders>
              <w:top w:val="nil"/>
              <w:left w:val="nil"/>
              <w:bottom w:val="single" w:sz="4" w:space="0" w:color="auto"/>
              <w:right w:val="single" w:sz="4" w:space="0" w:color="auto"/>
            </w:tcBorders>
            <w:shd w:val="clear" w:color="000000" w:fill="FFFFFF"/>
            <w:vAlign w:val="center"/>
            <w:hideMark/>
          </w:tcPr>
          <w:p w14:paraId="42F7C733"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Budget</w:t>
            </w:r>
          </w:p>
        </w:tc>
        <w:tc>
          <w:tcPr>
            <w:tcW w:w="4180" w:type="dxa"/>
            <w:tcBorders>
              <w:top w:val="nil"/>
              <w:left w:val="nil"/>
              <w:bottom w:val="single" w:sz="4" w:space="0" w:color="auto"/>
              <w:right w:val="single" w:sz="4" w:space="0" w:color="auto"/>
            </w:tcBorders>
            <w:shd w:val="clear" w:color="000000" w:fill="FFFFFF"/>
            <w:vAlign w:val="center"/>
            <w:hideMark/>
          </w:tcPr>
          <w:p w14:paraId="36A1D84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Our intention is to provide a proposal for a duration of five years, encompassing a total budget of $2.5 Million.  Is it permissible?</w:t>
            </w:r>
          </w:p>
        </w:tc>
        <w:tc>
          <w:tcPr>
            <w:tcW w:w="6760" w:type="dxa"/>
            <w:tcBorders>
              <w:top w:val="nil"/>
              <w:left w:val="nil"/>
              <w:bottom w:val="single" w:sz="4" w:space="0" w:color="auto"/>
              <w:right w:val="single" w:sz="4" w:space="0" w:color="auto"/>
            </w:tcBorders>
            <w:shd w:val="clear" w:color="000000" w:fill="FFFFFF"/>
            <w:vAlign w:val="center"/>
            <w:hideMark/>
          </w:tcPr>
          <w:p w14:paraId="79F2F31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Yes.</w:t>
            </w:r>
          </w:p>
        </w:tc>
      </w:tr>
      <w:tr w:rsidR="005F69E4" w:rsidRPr="005F69E4" w14:paraId="5BD57004" w14:textId="77777777" w:rsidTr="005F69E4">
        <w:trPr>
          <w:trHeight w:val="5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D73F2C9"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23</w:t>
            </w:r>
          </w:p>
        </w:tc>
        <w:tc>
          <w:tcPr>
            <w:tcW w:w="1880" w:type="dxa"/>
            <w:tcBorders>
              <w:top w:val="nil"/>
              <w:left w:val="nil"/>
              <w:bottom w:val="single" w:sz="4" w:space="0" w:color="auto"/>
              <w:right w:val="single" w:sz="4" w:space="0" w:color="auto"/>
            </w:tcBorders>
            <w:shd w:val="clear" w:color="000000" w:fill="FFFFFF"/>
            <w:vAlign w:val="center"/>
            <w:hideMark/>
          </w:tcPr>
          <w:p w14:paraId="2435F0F2"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w:t>
            </w:r>
          </w:p>
        </w:tc>
        <w:tc>
          <w:tcPr>
            <w:tcW w:w="4180" w:type="dxa"/>
            <w:tcBorders>
              <w:top w:val="nil"/>
              <w:left w:val="nil"/>
              <w:bottom w:val="single" w:sz="4" w:space="0" w:color="auto"/>
              <w:right w:val="single" w:sz="4" w:space="0" w:color="auto"/>
            </w:tcBorders>
            <w:shd w:val="clear" w:color="000000" w:fill="FFFFFF"/>
            <w:vAlign w:val="center"/>
            <w:hideMark/>
          </w:tcPr>
          <w:p w14:paraId="44694B48"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Is it permissible to use the budget to pay the summer salary of CO-PIs?</w:t>
            </w:r>
          </w:p>
        </w:tc>
        <w:tc>
          <w:tcPr>
            <w:tcW w:w="6760" w:type="dxa"/>
            <w:tcBorders>
              <w:top w:val="nil"/>
              <w:left w:val="nil"/>
              <w:bottom w:val="single" w:sz="4" w:space="0" w:color="auto"/>
              <w:right w:val="single" w:sz="4" w:space="0" w:color="auto"/>
            </w:tcBorders>
            <w:shd w:val="clear" w:color="000000" w:fill="FFFFFF"/>
            <w:vAlign w:val="center"/>
            <w:hideMark/>
          </w:tcPr>
          <w:p w14:paraId="1679DB0E"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Yes, as long as CO-PI work is in support of the topic call.</w:t>
            </w:r>
          </w:p>
        </w:tc>
      </w:tr>
      <w:tr w:rsidR="005F69E4" w:rsidRPr="005F69E4" w14:paraId="120CD2C7" w14:textId="77777777" w:rsidTr="005F69E4">
        <w:trPr>
          <w:trHeight w:val="76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63731AE"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24</w:t>
            </w:r>
          </w:p>
        </w:tc>
        <w:tc>
          <w:tcPr>
            <w:tcW w:w="1880" w:type="dxa"/>
            <w:tcBorders>
              <w:top w:val="nil"/>
              <w:left w:val="nil"/>
              <w:bottom w:val="single" w:sz="4" w:space="0" w:color="auto"/>
              <w:right w:val="single" w:sz="4" w:space="0" w:color="auto"/>
            </w:tcBorders>
            <w:shd w:val="clear" w:color="000000" w:fill="FFFFFF"/>
            <w:vAlign w:val="center"/>
            <w:hideMark/>
          </w:tcPr>
          <w:p w14:paraId="2E79AD1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 Solicitation, Appendix 5</w:t>
            </w:r>
          </w:p>
        </w:tc>
        <w:tc>
          <w:tcPr>
            <w:tcW w:w="4180" w:type="dxa"/>
            <w:tcBorders>
              <w:top w:val="nil"/>
              <w:left w:val="nil"/>
              <w:bottom w:val="single" w:sz="4" w:space="0" w:color="auto"/>
              <w:right w:val="single" w:sz="4" w:space="0" w:color="auto"/>
            </w:tcBorders>
            <w:shd w:val="clear" w:color="000000" w:fill="FFFFFF"/>
            <w:vAlign w:val="center"/>
            <w:hideMark/>
          </w:tcPr>
          <w:p w14:paraId="0CF20CC5"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Can the budget for hardware and software be allocated?</w:t>
            </w:r>
          </w:p>
        </w:tc>
        <w:tc>
          <w:tcPr>
            <w:tcW w:w="6760" w:type="dxa"/>
            <w:tcBorders>
              <w:top w:val="nil"/>
              <w:left w:val="nil"/>
              <w:bottom w:val="single" w:sz="4" w:space="0" w:color="auto"/>
              <w:right w:val="single" w:sz="4" w:space="0" w:color="auto"/>
            </w:tcBorders>
            <w:shd w:val="clear" w:color="000000" w:fill="FFFFFF"/>
            <w:vAlign w:val="center"/>
            <w:hideMark/>
          </w:tcPr>
          <w:p w14:paraId="3CE0AAFF"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Yes. </w:t>
            </w:r>
            <w:r w:rsidRPr="005F69E4">
              <w:rPr>
                <w:rFonts w:eastAsia="Times New Roman"/>
                <w:sz w:val="20"/>
                <w:szCs w:val="20"/>
              </w:rPr>
              <w:br/>
              <w:t xml:space="preserve">See General Solicitation, Appendix 5, Section 4.5.2.4, </w:t>
            </w:r>
            <w:r w:rsidRPr="005F69E4">
              <w:rPr>
                <w:rFonts w:eastAsia="Times New Roman"/>
                <w:sz w:val="20"/>
                <w:szCs w:val="20"/>
              </w:rPr>
              <w:br/>
              <w:t>(5) Research &amp; Related Budget</w:t>
            </w:r>
          </w:p>
        </w:tc>
      </w:tr>
      <w:tr w:rsidR="005F69E4" w:rsidRPr="005F69E4" w14:paraId="285173A7" w14:textId="77777777" w:rsidTr="005F69E4">
        <w:trPr>
          <w:trHeight w:val="102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0FEE37A" w14:textId="77777777" w:rsidR="005F69E4" w:rsidRPr="005F69E4" w:rsidRDefault="005F69E4" w:rsidP="005F69E4">
            <w:pPr>
              <w:spacing w:after="0" w:line="240" w:lineRule="auto"/>
              <w:jc w:val="center"/>
              <w:rPr>
                <w:rFonts w:eastAsia="Times New Roman"/>
                <w:b/>
                <w:bCs/>
                <w:sz w:val="20"/>
                <w:szCs w:val="20"/>
              </w:rPr>
            </w:pPr>
            <w:r w:rsidRPr="005F69E4">
              <w:rPr>
                <w:rFonts w:eastAsia="Times New Roman"/>
                <w:b/>
                <w:bCs/>
                <w:sz w:val="20"/>
                <w:szCs w:val="20"/>
              </w:rPr>
              <w:t>25</w:t>
            </w:r>
          </w:p>
        </w:tc>
        <w:tc>
          <w:tcPr>
            <w:tcW w:w="1880" w:type="dxa"/>
            <w:tcBorders>
              <w:top w:val="nil"/>
              <w:left w:val="nil"/>
              <w:bottom w:val="single" w:sz="4" w:space="0" w:color="auto"/>
              <w:right w:val="single" w:sz="4" w:space="0" w:color="auto"/>
            </w:tcBorders>
            <w:shd w:val="clear" w:color="000000" w:fill="FFFFFF"/>
            <w:vAlign w:val="center"/>
            <w:hideMark/>
          </w:tcPr>
          <w:p w14:paraId="1D69883A"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General Solicitation, Appendix 5</w:t>
            </w:r>
          </w:p>
        </w:tc>
        <w:tc>
          <w:tcPr>
            <w:tcW w:w="4180" w:type="dxa"/>
            <w:tcBorders>
              <w:top w:val="nil"/>
              <w:left w:val="nil"/>
              <w:bottom w:val="single" w:sz="4" w:space="0" w:color="auto"/>
              <w:right w:val="single" w:sz="4" w:space="0" w:color="auto"/>
            </w:tcBorders>
            <w:shd w:val="clear" w:color="000000" w:fill="FFFFFF"/>
            <w:vAlign w:val="center"/>
            <w:hideMark/>
          </w:tcPr>
          <w:p w14:paraId="749BE8CB"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Can the travel budget be allocated?</w:t>
            </w:r>
          </w:p>
        </w:tc>
        <w:tc>
          <w:tcPr>
            <w:tcW w:w="6760" w:type="dxa"/>
            <w:tcBorders>
              <w:top w:val="nil"/>
              <w:left w:val="nil"/>
              <w:bottom w:val="single" w:sz="4" w:space="0" w:color="auto"/>
              <w:right w:val="single" w:sz="4" w:space="0" w:color="auto"/>
            </w:tcBorders>
            <w:shd w:val="clear" w:color="000000" w:fill="FFFFFF"/>
            <w:vAlign w:val="center"/>
            <w:hideMark/>
          </w:tcPr>
          <w:p w14:paraId="1C3E97C7" w14:textId="77777777" w:rsidR="005F69E4" w:rsidRPr="005F69E4" w:rsidRDefault="005F69E4" w:rsidP="005F69E4">
            <w:pPr>
              <w:spacing w:after="0" w:line="240" w:lineRule="auto"/>
              <w:rPr>
                <w:rFonts w:eastAsia="Times New Roman"/>
                <w:sz w:val="20"/>
                <w:szCs w:val="20"/>
              </w:rPr>
            </w:pPr>
            <w:r w:rsidRPr="005F69E4">
              <w:rPr>
                <w:rFonts w:eastAsia="Times New Roman"/>
                <w:sz w:val="20"/>
                <w:szCs w:val="20"/>
              </w:rPr>
              <w:t xml:space="preserve">Yes; however, for subject area 2 (Geodesy), travel budget cannot exceed 5% of the overall proposed budget. </w:t>
            </w:r>
            <w:r w:rsidRPr="005F69E4">
              <w:rPr>
                <w:rFonts w:eastAsia="Times New Roman"/>
                <w:sz w:val="20"/>
                <w:szCs w:val="20"/>
              </w:rPr>
              <w:br/>
              <w:t xml:space="preserve">See General Solicitation, Appendix 5, Section 4.5.2.4, </w:t>
            </w:r>
            <w:r w:rsidRPr="005F69E4">
              <w:rPr>
                <w:rFonts w:eastAsia="Times New Roman"/>
                <w:sz w:val="20"/>
                <w:szCs w:val="20"/>
              </w:rPr>
              <w:br/>
              <w:t>(5) Research &amp; Related Budget</w:t>
            </w:r>
          </w:p>
        </w:tc>
      </w:tr>
    </w:tbl>
    <w:p w14:paraId="17AB50DE" w14:textId="36BB229D" w:rsidR="00DF7D78" w:rsidRPr="003E4479" w:rsidRDefault="00DF7D78" w:rsidP="00145057"/>
    <w:sectPr w:rsidR="00DF7D78" w:rsidRPr="003E4479" w:rsidSect="005F69E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AEDE" w14:textId="77777777" w:rsidR="006675D2" w:rsidRDefault="006675D2" w:rsidP="00412F40">
      <w:r>
        <w:separator/>
      </w:r>
    </w:p>
  </w:endnote>
  <w:endnote w:type="continuationSeparator" w:id="0">
    <w:p w14:paraId="57FF79B0" w14:textId="77777777" w:rsidR="006675D2" w:rsidRDefault="006675D2" w:rsidP="0041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9A19" w14:textId="77777777" w:rsidR="00B953D9" w:rsidRDefault="00F76A46" w:rsidP="00B953D9">
    <w:pPr>
      <w:pStyle w:val="Footer"/>
      <w:jc w:val="right"/>
    </w:pPr>
    <w:sdt>
      <w:sdtPr>
        <w:id w:val="950212037"/>
        <w:docPartObj>
          <w:docPartGallery w:val="Page Numbers (Top of Page)"/>
          <w:docPartUnique/>
        </w:docPartObj>
      </w:sdtPr>
      <w:sdtEndPr/>
      <w:sdtContent>
        <w:r w:rsidR="00B953D9">
          <w:t xml:space="preserve">Page </w:t>
        </w:r>
        <w:r w:rsidR="00B953D9">
          <w:rPr>
            <w:b/>
            <w:bCs/>
          </w:rPr>
          <w:fldChar w:fldCharType="begin"/>
        </w:r>
        <w:r w:rsidR="00B953D9">
          <w:rPr>
            <w:b/>
            <w:bCs/>
          </w:rPr>
          <w:instrText xml:space="preserve"> PAGE </w:instrText>
        </w:r>
        <w:r w:rsidR="00B953D9">
          <w:rPr>
            <w:b/>
            <w:bCs/>
          </w:rPr>
          <w:fldChar w:fldCharType="separate"/>
        </w:r>
        <w:r w:rsidR="00B953D9">
          <w:rPr>
            <w:b/>
            <w:bCs/>
          </w:rPr>
          <w:t>1</w:t>
        </w:r>
        <w:r w:rsidR="00B953D9">
          <w:rPr>
            <w:b/>
            <w:bCs/>
          </w:rPr>
          <w:fldChar w:fldCharType="end"/>
        </w:r>
        <w:r w:rsidR="00B953D9">
          <w:t xml:space="preserve"> of </w:t>
        </w:r>
        <w:r w:rsidR="00B953D9">
          <w:rPr>
            <w:b/>
            <w:bCs/>
          </w:rPr>
          <w:fldChar w:fldCharType="begin"/>
        </w:r>
        <w:r w:rsidR="00B953D9">
          <w:rPr>
            <w:b/>
            <w:bCs/>
          </w:rPr>
          <w:instrText xml:space="preserve"> NUMPAGES  </w:instrText>
        </w:r>
        <w:r w:rsidR="00B953D9">
          <w:rPr>
            <w:b/>
            <w:bCs/>
          </w:rPr>
          <w:fldChar w:fldCharType="separate"/>
        </w:r>
        <w:r w:rsidR="00B953D9">
          <w:rPr>
            <w:b/>
            <w:bCs/>
          </w:rPr>
          <w:t>14</w:t>
        </w:r>
        <w:r w:rsidR="00B953D9">
          <w:rPr>
            <w:b/>
            <w:bCs/>
          </w:rPr>
          <w:fldChar w:fldCharType="end"/>
        </w:r>
      </w:sdtContent>
    </w:sdt>
  </w:p>
  <w:p w14:paraId="0C148681" w14:textId="77777777" w:rsidR="00B953D9" w:rsidRPr="003E2643" w:rsidRDefault="00B953D9" w:rsidP="00B953D9">
    <w:pPr>
      <w:pStyle w:val="Header"/>
      <w:jc w:val="center"/>
    </w:pPr>
    <w:r w:rsidRPr="00E95502">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71524"/>
      <w:docPartObj>
        <w:docPartGallery w:val="Page Numbers (Bottom of Page)"/>
        <w:docPartUnique/>
      </w:docPartObj>
    </w:sdtPr>
    <w:sdtEndPr/>
    <w:sdtContent>
      <w:sdt>
        <w:sdtPr>
          <w:id w:val="-1769616900"/>
          <w:docPartObj>
            <w:docPartGallery w:val="Page Numbers (Top of Page)"/>
            <w:docPartUnique/>
          </w:docPartObj>
        </w:sdtPr>
        <w:sdtEndPr/>
        <w:sdtContent>
          <w:p w14:paraId="4D2FCBBF" w14:textId="7AF789ED" w:rsidR="00B953D9" w:rsidRDefault="00B953D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341765F" w14:textId="5F944858" w:rsidR="006675D2" w:rsidRPr="003E2643" w:rsidRDefault="00B953D9" w:rsidP="00B953D9">
    <w:pPr>
      <w:pStyle w:val="Header"/>
      <w:jc w:val="center"/>
    </w:pPr>
    <w:r w:rsidRPr="00E95502">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62B9D" w14:textId="77777777" w:rsidR="006675D2" w:rsidRDefault="006675D2" w:rsidP="00412F40">
      <w:r>
        <w:separator/>
      </w:r>
    </w:p>
  </w:footnote>
  <w:footnote w:type="continuationSeparator" w:id="0">
    <w:p w14:paraId="1788CF29" w14:textId="77777777" w:rsidR="006675D2" w:rsidRDefault="006675D2" w:rsidP="0041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AC9C" w14:textId="77777777" w:rsidR="006675D2" w:rsidRPr="00E95502" w:rsidRDefault="006675D2" w:rsidP="00C80ED9">
    <w:pPr>
      <w:pStyle w:val="Header"/>
      <w:jc w:val="center"/>
    </w:pPr>
    <w:r w:rsidRPr="00E95502">
      <w:t>UNCLASSIFIED</w:t>
    </w:r>
  </w:p>
  <w:p w14:paraId="68C426F2" w14:textId="77777777" w:rsidR="003E2643" w:rsidRPr="001D7D02" w:rsidRDefault="003E2643" w:rsidP="003E2643">
    <w:pPr>
      <w:pStyle w:val="Header"/>
      <w:jc w:val="right"/>
      <w:rPr>
        <w:sz w:val="20"/>
      </w:rPr>
    </w:pPr>
    <w:r w:rsidRPr="001D7D02">
      <w:rPr>
        <w:sz w:val="20"/>
      </w:rPr>
      <w:t>BIG-</w:t>
    </w:r>
    <w:r>
      <w:rPr>
        <w:sz w:val="20"/>
      </w:rPr>
      <w:t>ST</w:t>
    </w:r>
    <w:r w:rsidRPr="001D7D02">
      <w:rPr>
        <w:sz w:val="20"/>
      </w:rPr>
      <w:t xml:space="preserve"> BAA HM04762</w:t>
    </w:r>
    <w:r>
      <w:rPr>
        <w:sz w:val="20"/>
      </w:rPr>
      <w:t>3</w:t>
    </w:r>
    <w:r w:rsidRPr="001D7D02">
      <w:rPr>
        <w:sz w:val="20"/>
      </w:rPr>
      <w:t>BAA0001</w:t>
    </w:r>
  </w:p>
  <w:p w14:paraId="4816F2A5" w14:textId="2B763500" w:rsidR="003E2643" w:rsidRPr="004E1B5A" w:rsidRDefault="003E2643" w:rsidP="003E2643">
    <w:pPr>
      <w:pStyle w:val="Header"/>
      <w:jc w:val="right"/>
      <w:rPr>
        <w:b/>
        <w:sz w:val="20"/>
      </w:rPr>
    </w:pPr>
    <w:r w:rsidRPr="001D7D02">
      <w:rPr>
        <w:sz w:val="20"/>
      </w:rPr>
      <w:t xml:space="preserve">Topic </w:t>
    </w:r>
    <w:r>
      <w:rPr>
        <w:sz w:val="20"/>
      </w:rPr>
      <w:t>02</w:t>
    </w:r>
    <w:r w:rsidRPr="001D7D02">
      <w:rPr>
        <w:sz w:val="20"/>
      </w:rPr>
      <w:t xml:space="preserve">: </w:t>
    </w:r>
    <w:r>
      <w:rPr>
        <w:sz w:val="20"/>
      </w:rPr>
      <w:t>MUSE</w:t>
    </w:r>
    <w:r w:rsidRPr="003C6C91">
      <w:rPr>
        <w:sz w:val="20"/>
      </w:rPr>
      <w:t xml:space="preserve">_ </w:t>
    </w:r>
    <w:r w:rsidR="00042FF5" w:rsidRPr="005F69E4">
      <w:rPr>
        <w:sz w:val="20"/>
        <w:highlight w:val="yellow"/>
      </w:rPr>
      <w:t>Rev1</w:t>
    </w:r>
  </w:p>
  <w:p w14:paraId="1BA95B00" w14:textId="269295E8" w:rsidR="006675D2" w:rsidRDefault="006675D2" w:rsidP="0041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03DD" w14:textId="77777777" w:rsidR="006675D2" w:rsidRPr="00E95502" w:rsidRDefault="006675D2" w:rsidP="00155CAA">
    <w:pPr>
      <w:pStyle w:val="Header"/>
      <w:jc w:val="center"/>
    </w:pPr>
    <w:r w:rsidRPr="00E95502">
      <w:t>UNCLASSIFIED</w:t>
    </w:r>
  </w:p>
  <w:p w14:paraId="100BAF4A" w14:textId="77777777" w:rsidR="006675D2" w:rsidRPr="001D7D02" w:rsidRDefault="006675D2" w:rsidP="00C8244A">
    <w:pPr>
      <w:pStyle w:val="Header"/>
      <w:jc w:val="right"/>
      <w:rPr>
        <w:sz w:val="20"/>
      </w:rPr>
    </w:pPr>
    <w:r w:rsidRPr="001D7D02">
      <w:rPr>
        <w:sz w:val="20"/>
      </w:rPr>
      <w:t>BIG-</w:t>
    </w:r>
    <w:r>
      <w:rPr>
        <w:sz w:val="20"/>
      </w:rPr>
      <w:t>ST</w:t>
    </w:r>
    <w:r w:rsidRPr="001D7D02">
      <w:rPr>
        <w:sz w:val="20"/>
      </w:rPr>
      <w:t xml:space="preserve"> BAA HM04762</w:t>
    </w:r>
    <w:r>
      <w:rPr>
        <w:sz w:val="20"/>
      </w:rPr>
      <w:t>3</w:t>
    </w:r>
    <w:r w:rsidRPr="001D7D02">
      <w:rPr>
        <w:sz w:val="20"/>
      </w:rPr>
      <w:t>BAA0001</w:t>
    </w:r>
  </w:p>
  <w:p w14:paraId="2B506980" w14:textId="1EF72457" w:rsidR="006675D2" w:rsidRPr="004E1B5A" w:rsidRDefault="006675D2" w:rsidP="00C8244A">
    <w:pPr>
      <w:pStyle w:val="Header"/>
      <w:jc w:val="right"/>
      <w:rPr>
        <w:b/>
        <w:sz w:val="20"/>
      </w:rPr>
    </w:pPr>
    <w:r w:rsidRPr="001D7D02">
      <w:rPr>
        <w:sz w:val="20"/>
      </w:rPr>
      <w:t xml:space="preserve">Topic </w:t>
    </w:r>
    <w:r>
      <w:rPr>
        <w:sz w:val="20"/>
      </w:rPr>
      <w:t>02</w:t>
    </w:r>
    <w:r w:rsidRPr="001D7D02">
      <w:rPr>
        <w:sz w:val="20"/>
      </w:rPr>
      <w:t xml:space="preserve">: </w:t>
    </w:r>
    <w:r>
      <w:rPr>
        <w:sz w:val="20"/>
      </w:rPr>
      <w:t>MUSE</w:t>
    </w:r>
    <w:r w:rsidRPr="003C6C91">
      <w:rPr>
        <w:sz w:val="20"/>
      </w:rPr>
      <w:t xml:space="preserve">_ </w:t>
    </w:r>
    <w:r w:rsidR="00042FF5" w:rsidRPr="005F69E4">
      <w:rPr>
        <w:sz w:val="20"/>
        <w:highlight w:val="yellow"/>
      </w:rPr>
      <w:t>Rev 1</w:t>
    </w:r>
  </w:p>
  <w:p w14:paraId="2D929019" w14:textId="77777777" w:rsidR="006675D2" w:rsidRDefault="006675D2" w:rsidP="0041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69F6"/>
    <w:multiLevelType w:val="hybridMultilevel"/>
    <w:tmpl w:val="AF70E7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4375C9"/>
    <w:multiLevelType w:val="multilevel"/>
    <w:tmpl w:val="C3D2DC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0122A7"/>
    <w:multiLevelType w:val="multilevel"/>
    <w:tmpl w:val="1F8CAEE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94E80"/>
    <w:multiLevelType w:val="hybridMultilevel"/>
    <w:tmpl w:val="896C5E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4E3E6B"/>
    <w:multiLevelType w:val="hybridMultilevel"/>
    <w:tmpl w:val="092C4058"/>
    <w:lvl w:ilvl="0" w:tplc="BB5E78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50921"/>
    <w:multiLevelType w:val="multilevel"/>
    <w:tmpl w:val="F0B884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811649"/>
    <w:multiLevelType w:val="multilevel"/>
    <w:tmpl w:val="51BC218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56AC3"/>
    <w:multiLevelType w:val="hybridMultilevel"/>
    <w:tmpl w:val="A380D492"/>
    <w:lvl w:ilvl="0" w:tplc="8640D564">
      <w:start w:val="1"/>
      <w:numFmt w:val="decimal"/>
      <w:lvlText w:val="%1."/>
      <w:lvlJc w:val="left"/>
      <w:pPr>
        <w:ind w:left="1440" w:hanging="360"/>
      </w:pPr>
      <w:rPr>
        <w:color w:val="2F5496" w:themeColor="accent5"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714C11"/>
    <w:multiLevelType w:val="hybridMultilevel"/>
    <w:tmpl w:val="E4C05AD2"/>
    <w:lvl w:ilvl="0" w:tplc="61D0E21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75257"/>
    <w:multiLevelType w:val="multilevel"/>
    <w:tmpl w:val="3E5E1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906E76"/>
    <w:multiLevelType w:val="hybridMultilevel"/>
    <w:tmpl w:val="D4DA2BAC"/>
    <w:lvl w:ilvl="0" w:tplc="60E4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41306"/>
    <w:multiLevelType w:val="hybridMultilevel"/>
    <w:tmpl w:val="C8A60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3183E"/>
    <w:multiLevelType w:val="hybridMultilevel"/>
    <w:tmpl w:val="4D82DB34"/>
    <w:lvl w:ilvl="0" w:tplc="C3F63010">
      <w:start w:val="1"/>
      <w:numFmt w:val="decimal"/>
      <w:pStyle w:val="Heading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CB4C69"/>
    <w:multiLevelType w:val="multilevel"/>
    <w:tmpl w:val="A91C2C18"/>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3E3B6F"/>
    <w:multiLevelType w:val="hybridMultilevel"/>
    <w:tmpl w:val="8D2E9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E2484D"/>
    <w:multiLevelType w:val="multilevel"/>
    <w:tmpl w:val="C72EEC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4C43C3"/>
    <w:multiLevelType w:val="hybridMultilevel"/>
    <w:tmpl w:val="84B0F12E"/>
    <w:lvl w:ilvl="0" w:tplc="DC1CCE9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A2C71BB"/>
    <w:multiLevelType w:val="hybridMultilevel"/>
    <w:tmpl w:val="C574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972260"/>
    <w:multiLevelType w:val="hybridMultilevel"/>
    <w:tmpl w:val="59D255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B1B58"/>
    <w:multiLevelType w:val="multilevel"/>
    <w:tmpl w:val="8392DA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4BA582E"/>
    <w:multiLevelType w:val="hybridMultilevel"/>
    <w:tmpl w:val="470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44F80F9A"/>
    <w:multiLevelType w:val="multilevel"/>
    <w:tmpl w:val="2DCEC6CE"/>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0F79F4"/>
    <w:multiLevelType w:val="multilevel"/>
    <w:tmpl w:val="C90A1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F7779C"/>
    <w:multiLevelType w:val="hybridMultilevel"/>
    <w:tmpl w:val="C402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C5DA6"/>
    <w:multiLevelType w:val="multilevel"/>
    <w:tmpl w:val="EBE65EF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F92617A"/>
    <w:multiLevelType w:val="hybridMultilevel"/>
    <w:tmpl w:val="9DD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44456"/>
    <w:multiLevelType w:val="hybridMultilevel"/>
    <w:tmpl w:val="9B36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06BF2"/>
    <w:multiLevelType w:val="multilevel"/>
    <w:tmpl w:val="FD44E4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AF5222"/>
    <w:multiLevelType w:val="hybridMultilevel"/>
    <w:tmpl w:val="676AB054"/>
    <w:lvl w:ilvl="0" w:tplc="051C69FA">
      <w:start w:val="1"/>
      <w:numFmt w:val="decimal"/>
      <w:lvlText w:val="%1."/>
      <w:lvlJc w:val="left"/>
      <w:pPr>
        <w:ind w:left="480" w:hanging="360"/>
      </w:pPr>
      <w:rPr>
        <w:rFonts w:ascii="Times New Roman" w:eastAsia="Times New Roman" w:hAnsi="Times New Roman" w:hint="default"/>
        <w:sz w:val="24"/>
        <w:szCs w:val="24"/>
      </w:rPr>
    </w:lvl>
    <w:lvl w:ilvl="1" w:tplc="15907D8C">
      <w:start w:val="1"/>
      <w:numFmt w:val="bullet"/>
      <w:lvlText w:val="•"/>
      <w:lvlJc w:val="left"/>
      <w:pPr>
        <w:ind w:left="1392" w:hanging="360"/>
      </w:pPr>
      <w:rPr>
        <w:rFonts w:hint="default"/>
      </w:rPr>
    </w:lvl>
    <w:lvl w:ilvl="2" w:tplc="FA0677BA">
      <w:start w:val="1"/>
      <w:numFmt w:val="bullet"/>
      <w:lvlText w:val="•"/>
      <w:lvlJc w:val="left"/>
      <w:pPr>
        <w:ind w:left="2304" w:hanging="360"/>
      </w:pPr>
      <w:rPr>
        <w:rFonts w:hint="default"/>
      </w:rPr>
    </w:lvl>
    <w:lvl w:ilvl="3" w:tplc="AB626588">
      <w:start w:val="1"/>
      <w:numFmt w:val="bullet"/>
      <w:lvlText w:val="•"/>
      <w:lvlJc w:val="left"/>
      <w:pPr>
        <w:ind w:left="3216" w:hanging="360"/>
      </w:pPr>
      <w:rPr>
        <w:rFonts w:hint="default"/>
      </w:rPr>
    </w:lvl>
    <w:lvl w:ilvl="4" w:tplc="8DC89CF6">
      <w:start w:val="1"/>
      <w:numFmt w:val="bullet"/>
      <w:lvlText w:val="•"/>
      <w:lvlJc w:val="left"/>
      <w:pPr>
        <w:ind w:left="4128" w:hanging="360"/>
      </w:pPr>
      <w:rPr>
        <w:rFonts w:hint="default"/>
      </w:rPr>
    </w:lvl>
    <w:lvl w:ilvl="5" w:tplc="FA30B740">
      <w:start w:val="1"/>
      <w:numFmt w:val="bullet"/>
      <w:lvlText w:val="•"/>
      <w:lvlJc w:val="left"/>
      <w:pPr>
        <w:ind w:left="5040" w:hanging="360"/>
      </w:pPr>
      <w:rPr>
        <w:rFonts w:hint="default"/>
      </w:rPr>
    </w:lvl>
    <w:lvl w:ilvl="6" w:tplc="CB143246">
      <w:start w:val="1"/>
      <w:numFmt w:val="bullet"/>
      <w:lvlText w:val="•"/>
      <w:lvlJc w:val="left"/>
      <w:pPr>
        <w:ind w:left="5952" w:hanging="360"/>
      </w:pPr>
      <w:rPr>
        <w:rFonts w:hint="default"/>
      </w:rPr>
    </w:lvl>
    <w:lvl w:ilvl="7" w:tplc="3508CF06">
      <w:start w:val="1"/>
      <w:numFmt w:val="bullet"/>
      <w:lvlText w:val="•"/>
      <w:lvlJc w:val="left"/>
      <w:pPr>
        <w:ind w:left="6864" w:hanging="360"/>
      </w:pPr>
      <w:rPr>
        <w:rFonts w:hint="default"/>
      </w:rPr>
    </w:lvl>
    <w:lvl w:ilvl="8" w:tplc="B958DB34">
      <w:start w:val="1"/>
      <w:numFmt w:val="bullet"/>
      <w:lvlText w:val="•"/>
      <w:lvlJc w:val="left"/>
      <w:pPr>
        <w:ind w:left="7776" w:hanging="360"/>
      </w:pPr>
      <w:rPr>
        <w:rFonts w:hint="default"/>
      </w:rPr>
    </w:lvl>
  </w:abstractNum>
  <w:abstractNum w:abstractNumId="29" w15:restartNumberingAfterBreak="0">
    <w:nsid w:val="66551924"/>
    <w:multiLevelType w:val="hybridMultilevel"/>
    <w:tmpl w:val="CEB452E2"/>
    <w:lvl w:ilvl="0" w:tplc="19D0AB6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E2FDB"/>
    <w:multiLevelType w:val="hybridMultilevel"/>
    <w:tmpl w:val="21B4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97FAE"/>
    <w:multiLevelType w:val="hybridMultilevel"/>
    <w:tmpl w:val="17CAF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DF5770"/>
    <w:multiLevelType w:val="hybridMultilevel"/>
    <w:tmpl w:val="47D64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26898"/>
    <w:multiLevelType w:val="multilevel"/>
    <w:tmpl w:val="308258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AD0CC4"/>
    <w:multiLevelType w:val="hybridMultilevel"/>
    <w:tmpl w:val="DFBCE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5B1BBB"/>
    <w:multiLevelType w:val="hybridMultilevel"/>
    <w:tmpl w:val="2244D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F7560"/>
    <w:multiLevelType w:val="hybridMultilevel"/>
    <w:tmpl w:val="32401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2"/>
  </w:num>
  <w:num w:numId="5">
    <w:abstractNumId w:val="6"/>
  </w:num>
  <w:num w:numId="6">
    <w:abstractNumId w:val="25"/>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2"/>
  </w:num>
  <w:num w:numId="11">
    <w:abstractNumId w:val="5"/>
  </w:num>
  <w:num w:numId="12">
    <w:abstractNumId w:val="15"/>
  </w:num>
  <w:num w:numId="13">
    <w:abstractNumId w:val="33"/>
  </w:num>
  <w:num w:numId="14">
    <w:abstractNumId w:val="24"/>
  </w:num>
  <w:num w:numId="15">
    <w:abstractNumId w:val="21"/>
  </w:num>
  <w:num w:numId="16">
    <w:abstractNumId w:val="13"/>
  </w:num>
  <w:num w:numId="17">
    <w:abstractNumId w:val="21"/>
  </w:num>
  <w:num w:numId="18">
    <w:abstractNumId w:val="29"/>
  </w:num>
  <w:num w:numId="19">
    <w:abstractNumId w:val="10"/>
  </w:num>
  <w:num w:numId="20">
    <w:abstractNumId w:val="20"/>
  </w:num>
  <w:num w:numId="21">
    <w:abstractNumId w:val="30"/>
  </w:num>
  <w:num w:numId="22">
    <w:abstractNumId w:val="23"/>
  </w:num>
  <w:num w:numId="23">
    <w:abstractNumId w:val="8"/>
  </w:num>
  <w:num w:numId="24">
    <w:abstractNumId w:val="36"/>
  </w:num>
  <w:num w:numId="25">
    <w:abstractNumId w:val="21"/>
  </w:num>
  <w:num w:numId="26">
    <w:abstractNumId w:val="13"/>
  </w:num>
  <w:num w:numId="27">
    <w:abstractNumId w:val="13"/>
  </w:num>
  <w:num w:numId="28">
    <w:abstractNumId w:val="13"/>
  </w:num>
  <w:num w:numId="29">
    <w:abstractNumId w:val="13"/>
  </w:num>
  <w:num w:numId="30">
    <w:abstractNumId w:val="4"/>
  </w:num>
  <w:num w:numId="31">
    <w:abstractNumId w:val="0"/>
  </w:num>
  <w:num w:numId="32">
    <w:abstractNumId w:val="7"/>
  </w:num>
  <w:num w:numId="33">
    <w:abstractNumId w:val="28"/>
  </w:num>
  <w:num w:numId="34">
    <w:abstractNumId w:val="13"/>
  </w:num>
  <w:num w:numId="35">
    <w:abstractNumId w:val="13"/>
  </w:num>
  <w:num w:numId="36">
    <w:abstractNumId w:val="13"/>
  </w:num>
  <w:num w:numId="37">
    <w:abstractNumId w:val="21"/>
  </w:num>
  <w:num w:numId="38">
    <w:abstractNumId w:val="21"/>
  </w:num>
  <w:num w:numId="39">
    <w:abstractNumId w:val="21"/>
  </w:num>
  <w:num w:numId="40">
    <w:abstractNumId w:val="1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7"/>
  </w:num>
  <w:num w:numId="44">
    <w:abstractNumId w:val="34"/>
  </w:num>
  <w:num w:numId="45">
    <w:abstractNumId w:val="31"/>
  </w:num>
  <w:num w:numId="46">
    <w:abstractNumId w:val="9"/>
  </w:num>
  <w:num w:numId="47">
    <w:abstractNumId w:val="27"/>
  </w:num>
  <w:num w:numId="48">
    <w:abstractNumId w:val="22"/>
  </w:num>
  <w:num w:numId="49">
    <w:abstractNumId w:val="35"/>
  </w:num>
  <w:num w:numId="50">
    <w:abstractNumId w:val="22"/>
  </w:num>
  <w:num w:numId="51">
    <w:abstractNumId w:val="1"/>
  </w:num>
  <w:num w:numId="52">
    <w:abstractNumId w:val="19"/>
  </w:num>
  <w:num w:numId="53">
    <w:abstractNumId w:val="22"/>
  </w:num>
  <w:num w:numId="54">
    <w:abstractNumId w:val="22"/>
  </w:num>
  <w:num w:numId="55">
    <w:abstractNumId w:val="22"/>
  </w:num>
  <w:num w:numId="5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BF"/>
    <w:rsid w:val="000046BE"/>
    <w:rsid w:val="00007F3B"/>
    <w:rsid w:val="000109C6"/>
    <w:rsid w:val="00012B3D"/>
    <w:rsid w:val="00013BFA"/>
    <w:rsid w:val="00015308"/>
    <w:rsid w:val="00016069"/>
    <w:rsid w:val="000177E5"/>
    <w:rsid w:val="00017A13"/>
    <w:rsid w:val="00017B59"/>
    <w:rsid w:val="0002000D"/>
    <w:rsid w:val="00020E67"/>
    <w:rsid w:val="0002143B"/>
    <w:rsid w:val="00023AE9"/>
    <w:rsid w:val="00024083"/>
    <w:rsid w:val="00024087"/>
    <w:rsid w:val="000240F1"/>
    <w:rsid w:val="0002487D"/>
    <w:rsid w:val="00025E64"/>
    <w:rsid w:val="00026153"/>
    <w:rsid w:val="00026CF5"/>
    <w:rsid w:val="000323AF"/>
    <w:rsid w:val="00032CCE"/>
    <w:rsid w:val="00032EAE"/>
    <w:rsid w:val="00035394"/>
    <w:rsid w:val="00036AC2"/>
    <w:rsid w:val="0004078A"/>
    <w:rsid w:val="00042FF5"/>
    <w:rsid w:val="00043F3A"/>
    <w:rsid w:val="00043F6B"/>
    <w:rsid w:val="000448D2"/>
    <w:rsid w:val="00047C8B"/>
    <w:rsid w:val="0005081F"/>
    <w:rsid w:val="00051B61"/>
    <w:rsid w:val="00052F2C"/>
    <w:rsid w:val="000531FD"/>
    <w:rsid w:val="000546A4"/>
    <w:rsid w:val="000554EE"/>
    <w:rsid w:val="00056B05"/>
    <w:rsid w:val="00056FAA"/>
    <w:rsid w:val="0005738D"/>
    <w:rsid w:val="00061C81"/>
    <w:rsid w:val="0006217A"/>
    <w:rsid w:val="000631B4"/>
    <w:rsid w:val="000638A4"/>
    <w:rsid w:val="000660FB"/>
    <w:rsid w:val="000706EB"/>
    <w:rsid w:val="0007177A"/>
    <w:rsid w:val="00071E55"/>
    <w:rsid w:val="0007446E"/>
    <w:rsid w:val="00075829"/>
    <w:rsid w:val="00077FF4"/>
    <w:rsid w:val="00082590"/>
    <w:rsid w:val="00082D6C"/>
    <w:rsid w:val="00084603"/>
    <w:rsid w:val="000859C9"/>
    <w:rsid w:val="00086EEF"/>
    <w:rsid w:val="00087857"/>
    <w:rsid w:val="0009066C"/>
    <w:rsid w:val="0009069C"/>
    <w:rsid w:val="000917C5"/>
    <w:rsid w:val="00092A9F"/>
    <w:rsid w:val="0009324F"/>
    <w:rsid w:val="00093522"/>
    <w:rsid w:val="00093DA8"/>
    <w:rsid w:val="0009485B"/>
    <w:rsid w:val="0009761D"/>
    <w:rsid w:val="000A26D0"/>
    <w:rsid w:val="000A5B84"/>
    <w:rsid w:val="000A5E04"/>
    <w:rsid w:val="000A6A0D"/>
    <w:rsid w:val="000B2E23"/>
    <w:rsid w:val="000B43A6"/>
    <w:rsid w:val="000B48A5"/>
    <w:rsid w:val="000B61D7"/>
    <w:rsid w:val="000B62C1"/>
    <w:rsid w:val="000C1350"/>
    <w:rsid w:val="000C4355"/>
    <w:rsid w:val="000C451E"/>
    <w:rsid w:val="000C6046"/>
    <w:rsid w:val="000C6F3B"/>
    <w:rsid w:val="000D14DD"/>
    <w:rsid w:val="000D2CEE"/>
    <w:rsid w:val="000D3DB7"/>
    <w:rsid w:val="000D5D22"/>
    <w:rsid w:val="000D7DB3"/>
    <w:rsid w:val="000E3B25"/>
    <w:rsid w:val="000E7A9B"/>
    <w:rsid w:val="000F0C54"/>
    <w:rsid w:val="000F1E90"/>
    <w:rsid w:val="000F2677"/>
    <w:rsid w:val="000F3128"/>
    <w:rsid w:val="000F36CE"/>
    <w:rsid w:val="000F588B"/>
    <w:rsid w:val="00101309"/>
    <w:rsid w:val="00103144"/>
    <w:rsid w:val="001044D4"/>
    <w:rsid w:val="00106A35"/>
    <w:rsid w:val="001077F5"/>
    <w:rsid w:val="00110BC5"/>
    <w:rsid w:val="0011259E"/>
    <w:rsid w:val="00112D46"/>
    <w:rsid w:val="0011437C"/>
    <w:rsid w:val="00114E10"/>
    <w:rsid w:val="0011513B"/>
    <w:rsid w:val="0011527C"/>
    <w:rsid w:val="0011689B"/>
    <w:rsid w:val="00117ADC"/>
    <w:rsid w:val="0012257A"/>
    <w:rsid w:val="001233C0"/>
    <w:rsid w:val="00124DAF"/>
    <w:rsid w:val="00124FCF"/>
    <w:rsid w:val="0012771A"/>
    <w:rsid w:val="00127FA5"/>
    <w:rsid w:val="0013221F"/>
    <w:rsid w:val="001326BE"/>
    <w:rsid w:val="0013459E"/>
    <w:rsid w:val="00134DB6"/>
    <w:rsid w:val="001411F9"/>
    <w:rsid w:val="001425EC"/>
    <w:rsid w:val="00145057"/>
    <w:rsid w:val="00145D68"/>
    <w:rsid w:val="00146220"/>
    <w:rsid w:val="00150B40"/>
    <w:rsid w:val="00150D2E"/>
    <w:rsid w:val="00151315"/>
    <w:rsid w:val="001528F9"/>
    <w:rsid w:val="00155CAA"/>
    <w:rsid w:val="001564DA"/>
    <w:rsid w:val="001570D9"/>
    <w:rsid w:val="00157384"/>
    <w:rsid w:val="00162C3A"/>
    <w:rsid w:val="00162CAA"/>
    <w:rsid w:val="00163340"/>
    <w:rsid w:val="0016429C"/>
    <w:rsid w:val="001649D4"/>
    <w:rsid w:val="00164E78"/>
    <w:rsid w:val="0016554D"/>
    <w:rsid w:val="00165EC3"/>
    <w:rsid w:val="00167053"/>
    <w:rsid w:val="0017016D"/>
    <w:rsid w:val="00171FD3"/>
    <w:rsid w:val="001742C5"/>
    <w:rsid w:val="00174C90"/>
    <w:rsid w:val="0018253A"/>
    <w:rsid w:val="001827C5"/>
    <w:rsid w:val="0018364B"/>
    <w:rsid w:val="001843B2"/>
    <w:rsid w:val="001847B7"/>
    <w:rsid w:val="00194E1B"/>
    <w:rsid w:val="0019519B"/>
    <w:rsid w:val="001977F7"/>
    <w:rsid w:val="00197B39"/>
    <w:rsid w:val="001A0DC1"/>
    <w:rsid w:val="001A4B92"/>
    <w:rsid w:val="001A4D08"/>
    <w:rsid w:val="001A7786"/>
    <w:rsid w:val="001A7D48"/>
    <w:rsid w:val="001B0516"/>
    <w:rsid w:val="001B5056"/>
    <w:rsid w:val="001C07E0"/>
    <w:rsid w:val="001C1989"/>
    <w:rsid w:val="001C514E"/>
    <w:rsid w:val="001C65C2"/>
    <w:rsid w:val="001D040D"/>
    <w:rsid w:val="001D07B1"/>
    <w:rsid w:val="001D2B64"/>
    <w:rsid w:val="001D495A"/>
    <w:rsid w:val="001D5A9F"/>
    <w:rsid w:val="001E0FD2"/>
    <w:rsid w:val="001E1BC3"/>
    <w:rsid w:val="001E3A44"/>
    <w:rsid w:val="001E6498"/>
    <w:rsid w:val="001F2D0E"/>
    <w:rsid w:val="001F2DF1"/>
    <w:rsid w:val="001F43A3"/>
    <w:rsid w:val="001F5109"/>
    <w:rsid w:val="001F5B03"/>
    <w:rsid w:val="0020214F"/>
    <w:rsid w:val="0020274C"/>
    <w:rsid w:val="002028C2"/>
    <w:rsid w:val="00203A4E"/>
    <w:rsid w:val="00203E70"/>
    <w:rsid w:val="00206921"/>
    <w:rsid w:val="00207B80"/>
    <w:rsid w:val="00211146"/>
    <w:rsid w:val="00211317"/>
    <w:rsid w:val="002116E0"/>
    <w:rsid w:val="00212445"/>
    <w:rsid w:val="00214583"/>
    <w:rsid w:val="00214FC5"/>
    <w:rsid w:val="00220A78"/>
    <w:rsid w:val="0022122F"/>
    <w:rsid w:val="00223478"/>
    <w:rsid w:val="00230B22"/>
    <w:rsid w:val="00231C53"/>
    <w:rsid w:val="00231F3C"/>
    <w:rsid w:val="00232A80"/>
    <w:rsid w:val="00233E32"/>
    <w:rsid w:val="0023495B"/>
    <w:rsid w:val="00240D64"/>
    <w:rsid w:val="00242291"/>
    <w:rsid w:val="00243233"/>
    <w:rsid w:val="002462E2"/>
    <w:rsid w:val="00250572"/>
    <w:rsid w:val="00252D01"/>
    <w:rsid w:val="00252F25"/>
    <w:rsid w:val="00255532"/>
    <w:rsid w:val="00255F05"/>
    <w:rsid w:val="002567B8"/>
    <w:rsid w:val="00256CBF"/>
    <w:rsid w:val="00260980"/>
    <w:rsid w:val="00262DD9"/>
    <w:rsid w:val="002635BB"/>
    <w:rsid w:val="002637CE"/>
    <w:rsid w:val="00263BF6"/>
    <w:rsid w:val="00264D2B"/>
    <w:rsid w:val="002664E0"/>
    <w:rsid w:val="00266E57"/>
    <w:rsid w:val="00267570"/>
    <w:rsid w:val="00267DA5"/>
    <w:rsid w:val="002705E6"/>
    <w:rsid w:val="002706D4"/>
    <w:rsid w:val="0027090B"/>
    <w:rsid w:val="002736B4"/>
    <w:rsid w:val="00276C33"/>
    <w:rsid w:val="00276F85"/>
    <w:rsid w:val="0028074F"/>
    <w:rsid w:val="00284B5B"/>
    <w:rsid w:val="00285824"/>
    <w:rsid w:val="00292DA2"/>
    <w:rsid w:val="002934D5"/>
    <w:rsid w:val="002A031A"/>
    <w:rsid w:val="002A08BE"/>
    <w:rsid w:val="002A0E07"/>
    <w:rsid w:val="002A4061"/>
    <w:rsid w:val="002A6A7A"/>
    <w:rsid w:val="002B11F7"/>
    <w:rsid w:val="002B13D8"/>
    <w:rsid w:val="002B499E"/>
    <w:rsid w:val="002B4BCF"/>
    <w:rsid w:val="002B4C17"/>
    <w:rsid w:val="002B5263"/>
    <w:rsid w:val="002B537D"/>
    <w:rsid w:val="002B6F6D"/>
    <w:rsid w:val="002B742F"/>
    <w:rsid w:val="002B7C92"/>
    <w:rsid w:val="002C0304"/>
    <w:rsid w:val="002C168F"/>
    <w:rsid w:val="002C23A8"/>
    <w:rsid w:val="002C2883"/>
    <w:rsid w:val="002C3D71"/>
    <w:rsid w:val="002C5D7B"/>
    <w:rsid w:val="002C757F"/>
    <w:rsid w:val="002C7A0A"/>
    <w:rsid w:val="002D143F"/>
    <w:rsid w:val="002D1BEE"/>
    <w:rsid w:val="002D35A4"/>
    <w:rsid w:val="002D3BA4"/>
    <w:rsid w:val="002D4FB7"/>
    <w:rsid w:val="002D624F"/>
    <w:rsid w:val="002E05A3"/>
    <w:rsid w:val="002E079B"/>
    <w:rsid w:val="002E21BE"/>
    <w:rsid w:val="002E52D7"/>
    <w:rsid w:val="002F40E8"/>
    <w:rsid w:val="002F50A7"/>
    <w:rsid w:val="002F56EB"/>
    <w:rsid w:val="002F5C8A"/>
    <w:rsid w:val="002F5F21"/>
    <w:rsid w:val="00300235"/>
    <w:rsid w:val="0030042A"/>
    <w:rsid w:val="00300469"/>
    <w:rsid w:val="0030087F"/>
    <w:rsid w:val="00303EEF"/>
    <w:rsid w:val="0030404A"/>
    <w:rsid w:val="003044AD"/>
    <w:rsid w:val="0030473E"/>
    <w:rsid w:val="003060EC"/>
    <w:rsid w:val="00306AA1"/>
    <w:rsid w:val="003102FC"/>
    <w:rsid w:val="00310FE9"/>
    <w:rsid w:val="00310FFA"/>
    <w:rsid w:val="00311425"/>
    <w:rsid w:val="00312928"/>
    <w:rsid w:val="00312BAC"/>
    <w:rsid w:val="00314196"/>
    <w:rsid w:val="0031492D"/>
    <w:rsid w:val="003169C5"/>
    <w:rsid w:val="00316B93"/>
    <w:rsid w:val="00320D11"/>
    <w:rsid w:val="00320D7F"/>
    <w:rsid w:val="00321C5A"/>
    <w:rsid w:val="00322889"/>
    <w:rsid w:val="00322A6B"/>
    <w:rsid w:val="003243F8"/>
    <w:rsid w:val="00327660"/>
    <w:rsid w:val="00333388"/>
    <w:rsid w:val="0033656C"/>
    <w:rsid w:val="00337C51"/>
    <w:rsid w:val="003404D2"/>
    <w:rsid w:val="00341D08"/>
    <w:rsid w:val="00342041"/>
    <w:rsid w:val="00344BDF"/>
    <w:rsid w:val="003470CA"/>
    <w:rsid w:val="00347B20"/>
    <w:rsid w:val="00347D81"/>
    <w:rsid w:val="00350F92"/>
    <w:rsid w:val="003528D2"/>
    <w:rsid w:val="0035350A"/>
    <w:rsid w:val="00356736"/>
    <w:rsid w:val="00357415"/>
    <w:rsid w:val="00357F6D"/>
    <w:rsid w:val="003600A5"/>
    <w:rsid w:val="00360E2B"/>
    <w:rsid w:val="003612C2"/>
    <w:rsid w:val="003623ED"/>
    <w:rsid w:val="00362763"/>
    <w:rsid w:val="00362B78"/>
    <w:rsid w:val="00364672"/>
    <w:rsid w:val="00364B86"/>
    <w:rsid w:val="00365465"/>
    <w:rsid w:val="0036633F"/>
    <w:rsid w:val="00371633"/>
    <w:rsid w:val="00373078"/>
    <w:rsid w:val="00377BDA"/>
    <w:rsid w:val="00380E93"/>
    <w:rsid w:val="003847CB"/>
    <w:rsid w:val="00385214"/>
    <w:rsid w:val="0038537B"/>
    <w:rsid w:val="00386BA0"/>
    <w:rsid w:val="00387040"/>
    <w:rsid w:val="0038725F"/>
    <w:rsid w:val="00391C7A"/>
    <w:rsid w:val="003927B9"/>
    <w:rsid w:val="003938CA"/>
    <w:rsid w:val="003951F7"/>
    <w:rsid w:val="003957D4"/>
    <w:rsid w:val="00397273"/>
    <w:rsid w:val="0039756C"/>
    <w:rsid w:val="003A1287"/>
    <w:rsid w:val="003A181E"/>
    <w:rsid w:val="003A34AD"/>
    <w:rsid w:val="003A4D97"/>
    <w:rsid w:val="003A67F2"/>
    <w:rsid w:val="003B1E61"/>
    <w:rsid w:val="003B427A"/>
    <w:rsid w:val="003B47A3"/>
    <w:rsid w:val="003B6094"/>
    <w:rsid w:val="003B77D3"/>
    <w:rsid w:val="003C1A61"/>
    <w:rsid w:val="003C47E5"/>
    <w:rsid w:val="003C5172"/>
    <w:rsid w:val="003C5867"/>
    <w:rsid w:val="003C6C39"/>
    <w:rsid w:val="003C72EB"/>
    <w:rsid w:val="003C7DA6"/>
    <w:rsid w:val="003D289C"/>
    <w:rsid w:val="003D3D29"/>
    <w:rsid w:val="003D439B"/>
    <w:rsid w:val="003D5174"/>
    <w:rsid w:val="003D6229"/>
    <w:rsid w:val="003D6D51"/>
    <w:rsid w:val="003E0AC6"/>
    <w:rsid w:val="003E1D8B"/>
    <w:rsid w:val="003E1D9A"/>
    <w:rsid w:val="003E242B"/>
    <w:rsid w:val="003E2643"/>
    <w:rsid w:val="003E2906"/>
    <w:rsid w:val="003E4479"/>
    <w:rsid w:val="003E4B07"/>
    <w:rsid w:val="003E727A"/>
    <w:rsid w:val="003F72C7"/>
    <w:rsid w:val="003F7A06"/>
    <w:rsid w:val="0040095C"/>
    <w:rsid w:val="00400BA8"/>
    <w:rsid w:val="00401780"/>
    <w:rsid w:val="00401FEB"/>
    <w:rsid w:val="004037CC"/>
    <w:rsid w:val="004041D2"/>
    <w:rsid w:val="00405307"/>
    <w:rsid w:val="00405BD0"/>
    <w:rsid w:val="00405CB1"/>
    <w:rsid w:val="004071B6"/>
    <w:rsid w:val="00411EF9"/>
    <w:rsid w:val="0041228B"/>
    <w:rsid w:val="00412EE6"/>
    <w:rsid w:val="00412F40"/>
    <w:rsid w:val="00413AE2"/>
    <w:rsid w:val="004160BB"/>
    <w:rsid w:val="0042041E"/>
    <w:rsid w:val="00420510"/>
    <w:rsid w:val="00421BDF"/>
    <w:rsid w:val="00422E27"/>
    <w:rsid w:val="0042365D"/>
    <w:rsid w:val="00425377"/>
    <w:rsid w:val="00426972"/>
    <w:rsid w:val="00426D06"/>
    <w:rsid w:val="0043399C"/>
    <w:rsid w:val="00433D9A"/>
    <w:rsid w:val="00435005"/>
    <w:rsid w:val="0043540A"/>
    <w:rsid w:val="00435E9F"/>
    <w:rsid w:val="00442026"/>
    <w:rsid w:val="00442525"/>
    <w:rsid w:val="00445049"/>
    <w:rsid w:val="00445079"/>
    <w:rsid w:val="00445834"/>
    <w:rsid w:val="00445B61"/>
    <w:rsid w:val="00445E7E"/>
    <w:rsid w:val="0045041E"/>
    <w:rsid w:val="00453112"/>
    <w:rsid w:val="00454866"/>
    <w:rsid w:val="00456C94"/>
    <w:rsid w:val="00462BFB"/>
    <w:rsid w:val="00462C2F"/>
    <w:rsid w:val="0046394F"/>
    <w:rsid w:val="00464AB3"/>
    <w:rsid w:val="00464F0B"/>
    <w:rsid w:val="00465D80"/>
    <w:rsid w:val="004660BD"/>
    <w:rsid w:val="00466EB9"/>
    <w:rsid w:val="00470315"/>
    <w:rsid w:val="0047154A"/>
    <w:rsid w:val="004744DB"/>
    <w:rsid w:val="00474EC1"/>
    <w:rsid w:val="00475A05"/>
    <w:rsid w:val="00475FB3"/>
    <w:rsid w:val="004768CB"/>
    <w:rsid w:val="00477101"/>
    <w:rsid w:val="004779BA"/>
    <w:rsid w:val="004805FA"/>
    <w:rsid w:val="00490A90"/>
    <w:rsid w:val="00490E93"/>
    <w:rsid w:val="00492A13"/>
    <w:rsid w:val="00492DC6"/>
    <w:rsid w:val="004943A6"/>
    <w:rsid w:val="00497B98"/>
    <w:rsid w:val="004A083C"/>
    <w:rsid w:val="004A14EC"/>
    <w:rsid w:val="004A3262"/>
    <w:rsid w:val="004A33CA"/>
    <w:rsid w:val="004A3889"/>
    <w:rsid w:val="004A43A4"/>
    <w:rsid w:val="004A7842"/>
    <w:rsid w:val="004B0320"/>
    <w:rsid w:val="004B1A3C"/>
    <w:rsid w:val="004B2F90"/>
    <w:rsid w:val="004B7483"/>
    <w:rsid w:val="004C1B64"/>
    <w:rsid w:val="004C1B67"/>
    <w:rsid w:val="004C1F7A"/>
    <w:rsid w:val="004C5449"/>
    <w:rsid w:val="004C7CBA"/>
    <w:rsid w:val="004D166C"/>
    <w:rsid w:val="004D1910"/>
    <w:rsid w:val="004D2444"/>
    <w:rsid w:val="004D31A3"/>
    <w:rsid w:val="004D4131"/>
    <w:rsid w:val="004D457D"/>
    <w:rsid w:val="004D66F0"/>
    <w:rsid w:val="004E1482"/>
    <w:rsid w:val="004E1F1A"/>
    <w:rsid w:val="004E2845"/>
    <w:rsid w:val="004E4808"/>
    <w:rsid w:val="004E5A43"/>
    <w:rsid w:val="004E6BEF"/>
    <w:rsid w:val="004F10C7"/>
    <w:rsid w:val="004F50DA"/>
    <w:rsid w:val="004F5108"/>
    <w:rsid w:val="004F597D"/>
    <w:rsid w:val="004F742D"/>
    <w:rsid w:val="004F7DE2"/>
    <w:rsid w:val="00500707"/>
    <w:rsid w:val="00502B0D"/>
    <w:rsid w:val="00503D2D"/>
    <w:rsid w:val="005068E5"/>
    <w:rsid w:val="005104E2"/>
    <w:rsid w:val="0051077B"/>
    <w:rsid w:val="00511136"/>
    <w:rsid w:val="0051135E"/>
    <w:rsid w:val="00513D2B"/>
    <w:rsid w:val="005164C3"/>
    <w:rsid w:val="00522100"/>
    <w:rsid w:val="005231B2"/>
    <w:rsid w:val="005231BD"/>
    <w:rsid w:val="00523A23"/>
    <w:rsid w:val="00523BB2"/>
    <w:rsid w:val="005247DE"/>
    <w:rsid w:val="005247F3"/>
    <w:rsid w:val="005256A7"/>
    <w:rsid w:val="005257DB"/>
    <w:rsid w:val="0052585B"/>
    <w:rsid w:val="00527E2C"/>
    <w:rsid w:val="0053359F"/>
    <w:rsid w:val="0053521F"/>
    <w:rsid w:val="00535341"/>
    <w:rsid w:val="005360D4"/>
    <w:rsid w:val="00537E4E"/>
    <w:rsid w:val="00540951"/>
    <w:rsid w:val="00540EF3"/>
    <w:rsid w:val="00541A3E"/>
    <w:rsid w:val="00543075"/>
    <w:rsid w:val="0054325C"/>
    <w:rsid w:val="00543A32"/>
    <w:rsid w:val="005449FC"/>
    <w:rsid w:val="00545A62"/>
    <w:rsid w:val="00547AD5"/>
    <w:rsid w:val="00551C70"/>
    <w:rsid w:val="00554EC4"/>
    <w:rsid w:val="00555D71"/>
    <w:rsid w:val="005563BA"/>
    <w:rsid w:val="0055643A"/>
    <w:rsid w:val="0055789C"/>
    <w:rsid w:val="00557972"/>
    <w:rsid w:val="005610DC"/>
    <w:rsid w:val="00561AB0"/>
    <w:rsid w:val="005659A3"/>
    <w:rsid w:val="00566E36"/>
    <w:rsid w:val="00566F4E"/>
    <w:rsid w:val="0057487C"/>
    <w:rsid w:val="00574E14"/>
    <w:rsid w:val="0057590F"/>
    <w:rsid w:val="00576326"/>
    <w:rsid w:val="0057709C"/>
    <w:rsid w:val="005774A6"/>
    <w:rsid w:val="00584837"/>
    <w:rsid w:val="005850C8"/>
    <w:rsid w:val="005861F0"/>
    <w:rsid w:val="00586633"/>
    <w:rsid w:val="00587CB3"/>
    <w:rsid w:val="00591A2B"/>
    <w:rsid w:val="00592CFD"/>
    <w:rsid w:val="00592EBC"/>
    <w:rsid w:val="00592FB1"/>
    <w:rsid w:val="005953DE"/>
    <w:rsid w:val="00595CDD"/>
    <w:rsid w:val="005974EB"/>
    <w:rsid w:val="00597FB0"/>
    <w:rsid w:val="005A15DC"/>
    <w:rsid w:val="005A402D"/>
    <w:rsid w:val="005A43CD"/>
    <w:rsid w:val="005A48FA"/>
    <w:rsid w:val="005A4AF8"/>
    <w:rsid w:val="005A576E"/>
    <w:rsid w:val="005A708C"/>
    <w:rsid w:val="005A7574"/>
    <w:rsid w:val="005A78B7"/>
    <w:rsid w:val="005B03BB"/>
    <w:rsid w:val="005B1730"/>
    <w:rsid w:val="005B2190"/>
    <w:rsid w:val="005B366D"/>
    <w:rsid w:val="005B3A4B"/>
    <w:rsid w:val="005B43DA"/>
    <w:rsid w:val="005B4A84"/>
    <w:rsid w:val="005B4E45"/>
    <w:rsid w:val="005B5E03"/>
    <w:rsid w:val="005C030C"/>
    <w:rsid w:val="005C031A"/>
    <w:rsid w:val="005C08B8"/>
    <w:rsid w:val="005C1A35"/>
    <w:rsid w:val="005C3538"/>
    <w:rsid w:val="005C4161"/>
    <w:rsid w:val="005C557C"/>
    <w:rsid w:val="005C5B26"/>
    <w:rsid w:val="005C5BC3"/>
    <w:rsid w:val="005D02A6"/>
    <w:rsid w:val="005D0B6D"/>
    <w:rsid w:val="005D0F08"/>
    <w:rsid w:val="005D30AF"/>
    <w:rsid w:val="005D42E2"/>
    <w:rsid w:val="005D4B11"/>
    <w:rsid w:val="005D5F95"/>
    <w:rsid w:val="005D6529"/>
    <w:rsid w:val="005D6CA2"/>
    <w:rsid w:val="005D7B63"/>
    <w:rsid w:val="005E0D10"/>
    <w:rsid w:val="005E10BA"/>
    <w:rsid w:val="005E10E0"/>
    <w:rsid w:val="005E2DEF"/>
    <w:rsid w:val="005E471A"/>
    <w:rsid w:val="005E4A08"/>
    <w:rsid w:val="005E63D8"/>
    <w:rsid w:val="005E7805"/>
    <w:rsid w:val="005F1D67"/>
    <w:rsid w:val="005F3972"/>
    <w:rsid w:val="005F5566"/>
    <w:rsid w:val="005F69E4"/>
    <w:rsid w:val="005F76C1"/>
    <w:rsid w:val="00600E84"/>
    <w:rsid w:val="00604899"/>
    <w:rsid w:val="0061009F"/>
    <w:rsid w:val="006119D8"/>
    <w:rsid w:val="006147F1"/>
    <w:rsid w:val="0061555B"/>
    <w:rsid w:val="00616A8F"/>
    <w:rsid w:val="006176C6"/>
    <w:rsid w:val="0061771D"/>
    <w:rsid w:val="00620E24"/>
    <w:rsid w:val="00621770"/>
    <w:rsid w:val="006229D1"/>
    <w:rsid w:val="00624C2C"/>
    <w:rsid w:val="0062552C"/>
    <w:rsid w:val="00627F82"/>
    <w:rsid w:val="006309A5"/>
    <w:rsid w:val="00630F8C"/>
    <w:rsid w:val="006336EC"/>
    <w:rsid w:val="00633B50"/>
    <w:rsid w:val="00633CCE"/>
    <w:rsid w:val="00634663"/>
    <w:rsid w:val="006350A6"/>
    <w:rsid w:val="00640652"/>
    <w:rsid w:val="006406EB"/>
    <w:rsid w:val="00641B0F"/>
    <w:rsid w:val="00643441"/>
    <w:rsid w:val="00651DB9"/>
    <w:rsid w:val="00652303"/>
    <w:rsid w:val="00654A79"/>
    <w:rsid w:val="0065504E"/>
    <w:rsid w:val="006563B7"/>
    <w:rsid w:val="00662EE0"/>
    <w:rsid w:val="00663247"/>
    <w:rsid w:val="00663C49"/>
    <w:rsid w:val="00663C50"/>
    <w:rsid w:val="00664450"/>
    <w:rsid w:val="0066598E"/>
    <w:rsid w:val="00666091"/>
    <w:rsid w:val="00667248"/>
    <w:rsid w:val="006675D2"/>
    <w:rsid w:val="00667EF7"/>
    <w:rsid w:val="00667F60"/>
    <w:rsid w:val="00670824"/>
    <w:rsid w:val="006718C3"/>
    <w:rsid w:val="00672570"/>
    <w:rsid w:val="006726C6"/>
    <w:rsid w:val="0067439A"/>
    <w:rsid w:val="00674F34"/>
    <w:rsid w:val="006758BD"/>
    <w:rsid w:val="00676B0C"/>
    <w:rsid w:val="00676BDB"/>
    <w:rsid w:val="00680E08"/>
    <w:rsid w:val="00684BBB"/>
    <w:rsid w:val="00684C83"/>
    <w:rsid w:val="00685ADB"/>
    <w:rsid w:val="00691717"/>
    <w:rsid w:val="00692383"/>
    <w:rsid w:val="006924E2"/>
    <w:rsid w:val="00694735"/>
    <w:rsid w:val="00694A6F"/>
    <w:rsid w:val="006958DC"/>
    <w:rsid w:val="00697097"/>
    <w:rsid w:val="006970F3"/>
    <w:rsid w:val="0069723B"/>
    <w:rsid w:val="006979D5"/>
    <w:rsid w:val="006A0388"/>
    <w:rsid w:val="006A1547"/>
    <w:rsid w:val="006A1F7E"/>
    <w:rsid w:val="006A4F8E"/>
    <w:rsid w:val="006A5B22"/>
    <w:rsid w:val="006A627E"/>
    <w:rsid w:val="006B0ACB"/>
    <w:rsid w:val="006B57FA"/>
    <w:rsid w:val="006C10AE"/>
    <w:rsid w:val="006C2224"/>
    <w:rsid w:val="006C4EA0"/>
    <w:rsid w:val="006C527B"/>
    <w:rsid w:val="006C77D7"/>
    <w:rsid w:val="006D084E"/>
    <w:rsid w:val="006D2D39"/>
    <w:rsid w:val="006D3768"/>
    <w:rsid w:val="006D7B62"/>
    <w:rsid w:val="006E04C5"/>
    <w:rsid w:val="006E063C"/>
    <w:rsid w:val="006E0DC7"/>
    <w:rsid w:val="006E0EBA"/>
    <w:rsid w:val="006E5842"/>
    <w:rsid w:val="006E5857"/>
    <w:rsid w:val="006F0804"/>
    <w:rsid w:val="006F28B1"/>
    <w:rsid w:val="006F3B9F"/>
    <w:rsid w:val="006F4AB9"/>
    <w:rsid w:val="006F4E23"/>
    <w:rsid w:val="006F5816"/>
    <w:rsid w:val="006F5989"/>
    <w:rsid w:val="006F5DEF"/>
    <w:rsid w:val="006F6388"/>
    <w:rsid w:val="0070106D"/>
    <w:rsid w:val="007026CC"/>
    <w:rsid w:val="007073F8"/>
    <w:rsid w:val="00712C66"/>
    <w:rsid w:val="00717A46"/>
    <w:rsid w:val="0072030F"/>
    <w:rsid w:val="00721B81"/>
    <w:rsid w:val="00723851"/>
    <w:rsid w:val="0072549E"/>
    <w:rsid w:val="007255DD"/>
    <w:rsid w:val="00730271"/>
    <w:rsid w:val="00732DA7"/>
    <w:rsid w:val="00734EAB"/>
    <w:rsid w:val="00735E37"/>
    <w:rsid w:val="00737DF1"/>
    <w:rsid w:val="007400AB"/>
    <w:rsid w:val="00740432"/>
    <w:rsid w:val="007409A2"/>
    <w:rsid w:val="007420F8"/>
    <w:rsid w:val="007425CA"/>
    <w:rsid w:val="00742EC5"/>
    <w:rsid w:val="00745321"/>
    <w:rsid w:val="00745A3A"/>
    <w:rsid w:val="0075345C"/>
    <w:rsid w:val="00755DB2"/>
    <w:rsid w:val="0075684B"/>
    <w:rsid w:val="00764EDC"/>
    <w:rsid w:val="00765B5F"/>
    <w:rsid w:val="007679E0"/>
    <w:rsid w:val="00767B9B"/>
    <w:rsid w:val="00772ED6"/>
    <w:rsid w:val="00773055"/>
    <w:rsid w:val="00773B64"/>
    <w:rsid w:val="0077423E"/>
    <w:rsid w:val="007744D7"/>
    <w:rsid w:val="00780AB7"/>
    <w:rsid w:val="007811E9"/>
    <w:rsid w:val="00781EE6"/>
    <w:rsid w:val="00783971"/>
    <w:rsid w:val="00784EC0"/>
    <w:rsid w:val="007857A1"/>
    <w:rsid w:val="00786491"/>
    <w:rsid w:val="007905A4"/>
    <w:rsid w:val="0079129D"/>
    <w:rsid w:val="00791A67"/>
    <w:rsid w:val="007926C9"/>
    <w:rsid w:val="00793AB7"/>
    <w:rsid w:val="00795BDE"/>
    <w:rsid w:val="00796670"/>
    <w:rsid w:val="007976D7"/>
    <w:rsid w:val="007A099F"/>
    <w:rsid w:val="007A353B"/>
    <w:rsid w:val="007A4F81"/>
    <w:rsid w:val="007A6D14"/>
    <w:rsid w:val="007A6DC5"/>
    <w:rsid w:val="007B2A4F"/>
    <w:rsid w:val="007B5030"/>
    <w:rsid w:val="007B6132"/>
    <w:rsid w:val="007B6388"/>
    <w:rsid w:val="007B65E4"/>
    <w:rsid w:val="007B767C"/>
    <w:rsid w:val="007C146B"/>
    <w:rsid w:val="007C2C8F"/>
    <w:rsid w:val="007C3918"/>
    <w:rsid w:val="007C4D64"/>
    <w:rsid w:val="007C5867"/>
    <w:rsid w:val="007C718F"/>
    <w:rsid w:val="007D09B3"/>
    <w:rsid w:val="007D17B1"/>
    <w:rsid w:val="007D38D1"/>
    <w:rsid w:val="007D3EBA"/>
    <w:rsid w:val="007D4265"/>
    <w:rsid w:val="007D5541"/>
    <w:rsid w:val="007D5DB4"/>
    <w:rsid w:val="007D643A"/>
    <w:rsid w:val="007D741D"/>
    <w:rsid w:val="007D7DF6"/>
    <w:rsid w:val="007E4A4B"/>
    <w:rsid w:val="007E4BF0"/>
    <w:rsid w:val="007E6036"/>
    <w:rsid w:val="007E7385"/>
    <w:rsid w:val="007F0675"/>
    <w:rsid w:val="007F0AEB"/>
    <w:rsid w:val="007F0D9C"/>
    <w:rsid w:val="007F1F8B"/>
    <w:rsid w:val="007F307A"/>
    <w:rsid w:val="007F466D"/>
    <w:rsid w:val="007F551C"/>
    <w:rsid w:val="007F62D8"/>
    <w:rsid w:val="007F661B"/>
    <w:rsid w:val="007F6BE2"/>
    <w:rsid w:val="007F7BA0"/>
    <w:rsid w:val="00800D6D"/>
    <w:rsid w:val="008014E9"/>
    <w:rsid w:val="00801C9E"/>
    <w:rsid w:val="0080375F"/>
    <w:rsid w:val="0080513A"/>
    <w:rsid w:val="00806DFC"/>
    <w:rsid w:val="008112C7"/>
    <w:rsid w:val="008133F5"/>
    <w:rsid w:val="00813F36"/>
    <w:rsid w:val="008165BF"/>
    <w:rsid w:val="008167CD"/>
    <w:rsid w:val="008178B1"/>
    <w:rsid w:val="00817C0D"/>
    <w:rsid w:val="00817C34"/>
    <w:rsid w:val="00821ADC"/>
    <w:rsid w:val="008223D8"/>
    <w:rsid w:val="008227C5"/>
    <w:rsid w:val="00822F97"/>
    <w:rsid w:val="008249A8"/>
    <w:rsid w:val="008260BD"/>
    <w:rsid w:val="00827F20"/>
    <w:rsid w:val="00830CAA"/>
    <w:rsid w:val="008344FE"/>
    <w:rsid w:val="0083568D"/>
    <w:rsid w:val="0083605C"/>
    <w:rsid w:val="008365C1"/>
    <w:rsid w:val="0083761D"/>
    <w:rsid w:val="008413DD"/>
    <w:rsid w:val="0084207D"/>
    <w:rsid w:val="00842F05"/>
    <w:rsid w:val="00844D8A"/>
    <w:rsid w:val="00844EF3"/>
    <w:rsid w:val="00845B4D"/>
    <w:rsid w:val="00846044"/>
    <w:rsid w:val="0084628F"/>
    <w:rsid w:val="00846481"/>
    <w:rsid w:val="00846BC1"/>
    <w:rsid w:val="00846E30"/>
    <w:rsid w:val="00850C2F"/>
    <w:rsid w:val="008512B4"/>
    <w:rsid w:val="0085158F"/>
    <w:rsid w:val="008516FE"/>
    <w:rsid w:val="0085330B"/>
    <w:rsid w:val="00853A24"/>
    <w:rsid w:val="00853D50"/>
    <w:rsid w:val="00860B8F"/>
    <w:rsid w:val="00861501"/>
    <w:rsid w:val="00863C3A"/>
    <w:rsid w:val="00863E8A"/>
    <w:rsid w:val="00867227"/>
    <w:rsid w:val="00867327"/>
    <w:rsid w:val="00886543"/>
    <w:rsid w:val="00886B2E"/>
    <w:rsid w:val="00890C3E"/>
    <w:rsid w:val="00893B13"/>
    <w:rsid w:val="00896501"/>
    <w:rsid w:val="00897235"/>
    <w:rsid w:val="00897DE4"/>
    <w:rsid w:val="008A0182"/>
    <w:rsid w:val="008A114B"/>
    <w:rsid w:val="008A13ED"/>
    <w:rsid w:val="008A19C0"/>
    <w:rsid w:val="008A26ED"/>
    <w:rsid w:val="008A5ABA"/>
    <w:rsid w:val="008A5D4F"/>
    <w:rsid w:val="008A78AB"/>
    <w:rsid w:val="008A7E59"/>
    <w:rsid w:val="008B24AF"/>
    <w:rsid w:val="008B48A7"/>
    <w:rsid w:val="008B5DBB"/>
    <w:rsid w:val="008B6FE5"/>
    <w:rsid w:val="008C0601"/>
    <w:rsid w:val="008C118C"/>
    <w:rsid w:val="008C1B13"/>
    <w:rsid w:val="008C38B0"/>
    <w:rsid w:val="008C500D"/>
    <w:rsid w:val="008C7699"/>
    <w:rsid w:val="008C7BD4"/>
    <w:rsid w:val="008D1260"/>
    <w:rsid w:val="008D1883"/>
    <w:rsid w:val="008D2A13"/>
    <w:rsid w:val="008D3522"/>
    <w:rsid w:val="008D4642"/>
    <w:rsid w:val="008D4769"/>
    <w:rsid w:val="008D5B83"/>
    <w:rsid w:val="008D66F9"/>
    <w:rsid w:val="008D6FF1"/>
    <w:rsid w:val="008E0319"/>
    <w:rsid w:val="008E0452"/>
    <w:rsid w:val="008E5BF6"/>
    <w:rsid w:val="008E5C3B"/>
    <w:rsid w:val="008F2736"/>
    <w:rsid w:val="008F5AF5"/>
    <w:rsid w:val="008F5CC5"/>
    <w:rsid w:val="008F66AA"/>
    <w:rsid w:val="008F7F14"/>
    <w:rsid w:val="00900052"/>
    <w:rsid w:val="00902BAB"/>
    <w:rsid w:val="00902C1C"/>
    <w:rsid w:val="00902F51"/>
    <w:rsid w:val="009036BC"/>
    <w:rsid w:val="00903C6C"/>
    <w:rsid w:val="0090783C"/>
    <w:rsid w:val="00907B5C"/>
    <w:rsid w:val="00911FBA"/>
    <w:rsid w:val="0091393A"/>
    <w:rsid w:val="00914050"/>
    <w:rsid w:val="00914F2A"/>
    <w:rsid w:val="00916353"/>
    <w:rsid w:val="0091713A"/>
    <w:rsid w:val="00917329"/>
    <w:rsid w:val="00917C84"/>
    <w:rsid w:val="00920D47"/>
    <w:rsid w:val="00923742"/>
    <w:rsid w:val="00924EFA"/>
    <w:rsid w:val="009277BF"/>
    <w:rsid w:val="00933533"/>
    <w:rsid w:val="00933FF1"/>
    <w:rsid w:val="00935053"/>
    <w:rsid w:val="009360A5"/>
    <w:rsid w:val="009377AA"/>
    <w:rsid w:val="00937B1C"/>
    <w:rsid w:val="00941B54"/>
    <w:rsid w:val="009438C5"/>
    <w:rsid w:val="00944479"/>
    <w:rsid w:val="00944992"/>
    <w:rsid w:val="00945C6C"/>
    <w:rsid w:val="00945CBC"/>
    <w:rsid w:val="00946FFE"/>
    <w:rsid w:val="00947110"/>
    <w:rsid w:val="00951100"/>
    <w:rsid w:val="0095189B"/>
    <w:rsid w:val="00951F0B"/>
    <w:rsid w:val="009536CE"/>
    <w:rsid w:val="0095473F"/>
    <w:rsid w:val="0095574E"/>
    <w:rsid w:val="00957935"/>
    <w:rsid w:val="00962D74"/>
    <w:rsid w:val="009646C0"/>
    <w:rsid w:val="00964987"/>
    <w:rsid w:val="0096581D"/>
    <w:rsid w:val="009659F5"/>
    <w:rsid w:val="00965AB9"/>
    <w:rsid w:val="00971D26"/>
    <w:rsid w:val="009727F1"/>
    <w:rsid w:val="009736EF"/>
    <w:rsid w:val="009737F3"/>
    <w:rsid w:val="00973FC2"/>
    <w:rsid w:val="00974B37"/>
    <w:rsid w:val="009765DF"/>
    <w:rsid w:val="009776D0"/>
    <w:rsid w:val="009808C7"/>
    <w:rsid w:val="00981100"/>
    <w:rsid w:val="009844EE"/>
    <w:rsid w:val="00985747"/>
    <w:rsid w:val="00990669"/>
    <w:rsid w:val="00990959"/>
    <w:rsid w:val="009944E2"/>
    <w:rsid w:val="0099563B"/>
    <w:rsid w:val="009A03C0"/>
    <w:rsid w:val="009A0B9D"/>
    <w:rsid w:val="009A1B39"/>
    <w:rsid w:val="009A30DA"/>
    <w:rsid w:val="009A5AF6"/>
    <w:rsid w:val="009B097A"/>
    <w:rsid w:val="009B1674"/>
    <w:rsid w:val="009B1E62"/>
    <w:rsid w:val="009B7105"/>
    <w:rsid w:val="009B73E2"/>
    <w:rsid w:val="009B7EE2"/>
    <w:rsid w:val="009C26B4"/>
    <w:rsid w:val="009C4CEF"/>
    <w:rsid w:val="009C63B3"/>
    <w:rsid w:val="009D1DAE"/>
    <w:rsid w:val="009D1F1A"/>
    <w:rsid w:val="009D2057"/>
    <w:rsid w:val="009D2361"/>
    <w:rsid w:val="009D2DE1"/>
    <w:rsid w:val="009D56A3"/>
    <w:rsid w:val="009D58A2"/>
    <w:rsid w:val="009D7217"/>
    <w:rsid w:val="009D74F8"/>
    <w:rsid w:val="009D7555"/>
    <w:rsid w:val="009D768D"/>
    <w:rsid w:val="009E06C9"/>
    <w:rsid w:val="009E1659"/>
    <w:rsid w:val="009E1B7D"/>
    <w:rsid w:val="009E1BE4"/>
    <w:rsid w:val="009E25E2"/>
    <w:rsid w:val="009E2A8E"/>
    <w:rsid w:val="009E6540"/>
    <w:rsid w:val="009E7431"/>
    <w:rsid w:val="009F06E6"/>
    <w:rsid w:val="009F2623"/>
    <w:rsid w:val="009F3E85"/>
    <w:rsid w:val="009F4E33"/>
    <w:rsid w:val="009F56D3"/>
    <w:rsid w:val="009F5CA1"/>
    <w:rsid w:val="009F5FCF"/>
    <w:rsid w:val="009F678D"/>
    <w:rsid w:val="00A00FC2"/>
    <w:rsid w:val="00A053C4"/>
    <w:rsid w:val="00A0615F"/>
    <w:rsid w:val="00A06844"/>
    <w:rsid w:val="00A100A1"/>
    <w:rsid w:val="00A106FF"/>
    <w:rsid w:val="00A12B47"/>
    <w:rsid w:val="00A130AA"/>
    <w:rsid w:val="00A2094F"/>
    <w:rsid w:val="00A21B33"/>
    <w:rsid w:val="00A240A3"/>
    <w:rsid w:val="00A2483E"/>
    <w:rsid w:val="00A258EE"/>
    <w:rsid w:val="00A26A1C"/>
    <w:rsid w:val="00A26E2F"/>
    <w:rsid w:val="00A26E36"/>
    <w:rsid w:val="00A318EB"/>
    <w:rsid w:val="00A33072"/>
    <w:rsid w:val="00A33ACF"/>
    <w:rsid w:val="00A34CA6"/>
    <w:rsid w:val="00A3501E"/>
    <w:rsid w:val="00A3582E"/>
    <w:rsid w:val="00A35B0F"/>
    <w:rsid w:val="00A36462"/>
    <w:rsid w:val="00A3663F"/>
    <w:rsid w:val="00A43315"/>
    <w:rsid w:val="00A434DC"/>
    <w:rsid w:val="00A511AD"/>
    <w:rsid w:val="00A512CD"/>
    <w:rsid w:val="00A52485"/>
    <w:rsid w:val="00A52714"/>
    <w:rsid w:val="00A53B92"/>
    <w:rsid w:val="00A57E0B"/>
    <w:rsid w:val="00A64489"/>
    <w:rsid w:val="00A6596A"/>
    <w:rsid w:val="00A675A4"/>
    <w:rsid w:val="00A729C8"/>
    <w:rsid w:val="00A76090"/>
    <w:rsid w:val="00A76B6A"/>
    <w:rsid w:val="00A76E41"/>
    <w:rsid w:val="00A77011"/>
    <w:rsid w:val="00A77CB2"/>
    <w:rsid w:val="00A77DAC"/>
    <w:rsid w:val="00A83BD6"/>
    <w:rsid w:val="00A84629"/>
    <w:rsid w:val="00A84882"/>
    <w:rsid w:val="00A84BBA"/>
    <w:rsid w:val="00A91A35"/>
    <w:rsid w:val="00A9240F"/>
    <w:rsid w:val="00A9284C"/>
    <w:rsid w:val="00A936E8"/>
    <w:rsid w:val="00A94176"/>
    <w:rsid w:val="00A9616C"/>
    <w:rsid w:val="00A96DAF"/>
    <w:rsid w:val="00AA2838"/>
    <w:rsid w:val="00AA4EC8"/>
    <w:rsid w:val="00AA6046"/>
    <w:rsid w:val="00AA6BAC"/>
    <w:rsid w:val="00AA7501"/>
    <w:rsid w:val="00AA7D93"/>
    <w:rsid w:val="00AB105C"/>
    <w:rsid w:val="00AB17FC"/>
    <w:rsid w:val="00AB1A3F"/>
    <w:rsid w:val="00AB2E24"/>
    <w:rsid w:val="00AB4270"/>
    <w:rsid w:val="00AB434A"/>
    <w:rsid w:val="00AB44C8"/>
    <w:rsid w:val="00AB6E90"/>
    <w:rsid w:val="00AC1E3F"/>
    <w:rsid w:val="00AC645F"/>
    <w:rsid w:val="00AC6DF9"/>
    <w:rsid w:val="00AD15DD"/>
    <w:rsid w:val="00AD2569"/>
    <w:rsid w:val="00AD2E61"/>
    <w:rsid w:val="00AD5561"/>
    <w:rsid w:val="00AE170E"/>
    <w:rsid w:val="00AE19CA"/>
    <w:rsid w:val="00AE1FA5"/>
    <w:rsid w:val="00AE2B33"/>
    <w:rsid w:val="00AE2FAF"/>
    <w:rsid w:val="00AE3021"/>
    <w:rsid w:val="00AE3474"/>
    <w:rsid w:val="00AE6FAA"/>
    <w:rsid w:val="00AE792D"/>
    <w:rsid w:val="00AF1BBC"/>
    <w:rsid w:val="00AF1D12"/>
    <w:rsid w:val="00AF2065"/>
    <w:rsid w:val="00AF508C"/>
    <w:rsid w:val="00AF79A8"/>
    <w:rsid w:val="00B00D77"/>
    <w:rsid w:val="00B00FA4"/>
    <w:rsid w:val="00B01E6B"/>
    <w:rsid w:val="00B04E5F"/>
    <w:rsid w:val="00B05423"/>
    <w:rsid w:val="00B06008"/>
    <w:rsid w:val="00B0621E"/>
    <w:rsid w:val="00B06245"/>
    <w:rsid w:val="00B069CA"/>
    <w:rsid w:val="00B069FA"/>
    <w:rsid w:val="00B074E4"/>
    <w:rsid w:val="00B10BCF"/>
    <w:rsid w:val="00B122D8"/>
    <w:rsid w:val="00B1359D"/>
    <w:rsid w:val="00B13887"/>
    <w:rsid w:val="00B1595D"/>
    <w:rsid w:val="00B17BEB"/>
    <w:rsid w:val="00B2039C"/>
    <w:rsid w:val="00B20FEC"/>
    <w:rsid w:val="00B27474"/>
    <w:rsid w:val="00B30042"/>
    <w:rsid w:val="00B303B2"/>
    <w:rsid w:val="00B31551"/>
    <w:rsid w:val="00B32059"/>
    <w:rsid w:val="00B3528B"/>
    <w:rsid w:val="00B35CEA"/>
    <w:rsid w:val="00B36941"/>
    <w:rsid w:val="00B3741B"/>
    <w:rsid w:val="00B402FE"/>
    <w:rsid w:val="00B40B55"/>
    <w:rsid w:val="00B460A2"/>
    <w:rsid w:val="00B50B6F"/>
    <w:rsid w:val="00B50EEC"/>
    <w:rsid w:val="00B51104"/>
    <w:rsid w:val="00B52364"/>
    <w:rsid w:val="00B530D2"/>
    <w:rsid w:val="00B54039"/>
    <w:rsid w:val="00B542E1"/>
    <w:rsid w:val="00B55823"/>
    <w:rsid w:val="00B55CE3"/>
    <w:rsid w:val="00B56DC6"/>
    <w:rsid w:val="00B6129E"/>
    <w:rsid w:val="00B64F05"/>
    <w:rsid w:val="00B65771"/>
    <w:rsid w:val="00B65908"/>
    <w:rsid w:val="00B66B65"/>
    <w:rsid w:val="00B6791F"/>
    <w:rsid w:val="00B67DD1"/>
    <w:rsid w:val="00B67EA5"/>
    <w:rsid w:val="00B70289"/>
    <w:rsid w:val="00B7054B"/>
    <w:rsid w:val="00B716DF"/>
    <w:rsid w:val="00B72B95"/>
    <w:rsid w:val="00B772A7"/>
    <w:rsid w:val="00B806AA"/>
    <w:rsid w:val="00B80F09"/>
    <w:rsid w:val="00B81F29"/>
    <w:rsid w:val="00B82BA9"/>
    <w:rsid w:val="00B83D8D"/>
    <w:rsid w:val="00B85C40"/>
    <w:rsid w:val="00B87090"/>
    <w:rsid w:val="00B8761C"/>
    <w:rsid w:val="00B8768A"/>
    <w:rsid w:val="00B90655"/>
    <w:rsid w:val="00B90C14"/>
    <w:rsid w:val="00B90D4A"/>
    <w:rsid w:val="00B913FB"/>
    <w:rsid w:val="00B92F88"/>
    <w:rsid w:val="00B9324C"/>
    <w:rsid w:val="00B93959"/>
    <w:rsid w:val="00B94053"/>
    <w:rsid w:val="00B953D9"/>
    <w:rsid w:val="00B96B5D"/>
    <w:rsid w:val="00B97E32"/>
    <w:rsid w:val="00BA0077"/>
    <w:rsid w:val="00BA02C4"/>
    <w:rsid w:val="00BA0478"/>
    <w:rsid w:val="00BA0EA2"/>
    <w:rsid w:val="00BA1CE0"/>
    <w:rsid w:val="00BA4626"/>
    <w:rsid w:val="00BA46A2"/>
    <w:rsid w:val="00BA46CB"/>
    <w:rsid w:val="00BA49D1"/>
    <w:rsid w:val="00BA4EB8"/>
    <w:rsid w:val="00BA568E"/>
    <w:rsid w:val="00BA5746"/>
    <w:rsid w:val="00BA654D"/>
    <w:rsid w:val="00BA6B56"/>
    <w:rsid w:val="00BA733D"/>
    <w:rsid w:val="00BB10B7"/>
    <w:rsid w:val="00BB203F"/>
    <w:rsid w:val="00BB4577"/>
    <w:rsid w:val="00BB70FF"/>
    <w:rsid w:val="00BC11C1"/>
    <w:rsid w:val="00BC1386"/>
    <w:rsid w:val="00BC14F4"/>
    <w:rsid w:val="00BC6CE6"/>
    <w:rsid w:val="00BC740B"/>
    <w:rsid w:val="00BC754D"/>
    <w:rsid w:val="00BC76EF"/>
    <w:rsid w:val="00BC7ED8"/>
    <w:rsid w:val="00BD01EC"/>
    <w:rsid w:val="00BD1385"/>
    <w:rsid w:val="00BD1488"/>
    <w:rsid w:val="00BD58A6"/>
    <w:rsid w:val="00BD79D1"/>
    <w:rsid w:val="00BD7AF9"/>
    <w:rsid w:val="00BE0639"/>
    <w:rsid w:val="00BE09CB"/>
    <w:rsid w:val="00BE0FF0"/>
    <w:rsid w:val="00BE10CC"/>
    <w:rsid w:val="00BE12EB"/>
    <w:rsid w:val="00BE414D"/>
    <w:rsid w:val="00BE5026"/>
    <w:rsid w:val="00BE50ED"/>
    <w:rsid w:val="00BE6D83"/>
    <w:rsid w:val="00BE6E6F"/>
    <w:rsid w:val="00BE7A19"/>
    <w:rsid w:val="00BF0B68"/>
    <w:rsid w:val="00BF3127"/>
    <w:rsid w:val="00BF3562"/>
    <w:rsid w:val="00BF666F"/>
    <w:rsid w:val="00BF6747"/>
    <w:rsid w:val="00BF70E5"/>
    <w:rsid w:val="00C012BF"/>
    <w:rsid w:val="00C02978"/>
    <w:rsid w:val="00C03D18"/>
    <w:rsid w:val="00C04C94"/>
    <w:rsid w:val="00C053BC"/>
    <w:rsid w:val="00C07EB4"/>
    <w:rsid w:val="00C108C0"/>
    <w:rsid w:val="00C11A49"/>
    <w:rsid w:val="00C14F59"/>
    <w:rsid w:val="00C217C3"/>
    <w:rsid w:val="00C2237C"/>
    <w:rsid w:val="00C24EF3"/>
    <w:rsid w:val="00C254D0"/>
    <w:rsid w:val="00C26321"/>
    <w:rsid w:val="00C265A7"/>
    <w:rsid w:val="00C267D7"/>
    <w:rsid w:val="00C27C43"/>
    <w:rsid w:val="00C31799"/>
    <w:rsid w:val="00C3279A"/>
    <w:rsid w:val="00C35C71"/>
    <w:rsid w:val="00C44470"/>
    <w:rsid w:val="00C444D3"/>
    <w:rsid w:val="00C46D1F"/>
    <w:rsid w:val="00C47436"/>
    <w:rsid w:val="00C47EC9"/>
    <w:rsid w:val="00C501A4"/>
    <w:rsid w:val="00C517F5"/>
    <w:rsid w:val="00C51DD8"/>
    <w:rsid w:val="00C53FC4"/>
    <w:rsid w:val="00C55C2B"/>
    <w:rsid w:val="00C6168F"/>
    <w:rsid w:val="00C61895"/>
    <w:rsid w:val="00C63EE1"/>
    <w:rsid w:val="00C647E3"/>
    <w:rsid w:val="00C64D0D"/>
    <w:rsid w:val="00C67677"/>
    <w:rsid w:val="00C7450B"/>
    <w:rsid w:val="00C74644"/>
    <w:rsid w:val="00C74F17"/>
    <w:rsid w:val="00C7504E"/>
    <w:rsid w:val="00C7663C"/>
    <w:rsid w:val="00C7668F"/>
    <w:rsid w:val="00C77231"/>
    <w:rsid w:val="00C80ED9"/>
    <w:rsid w:val="00C81B64"/>
    <w:rsid w:val="00C8244A"/>
    <w:rsid w:val="00C83D14"/>
    <w:rsid w:val="00C85628"/>
    <w:rsid w:val="00C90EEB"/>
    <w:rsid w:val="00C9237E"/>
    <w:rsid w:val="00C926F4"/>
    <w:rsid w:val="00C93849"/>
    <w:rsid w:val="00C953CF"/>
    <w:rsid w:val="00C97D0E"/>
    <w:rsid w:val="00CA00EB"/>
    <w:rsid w:val="00CA0779"/>
    <w:rsid w:val="00CA0E9D"/>
    <w:rsid w:val="00CA3262"/>
    <w:rsid w:val="00CA344A"/>
    <w:rsid w:val="00CA55A5"/>
    <w:rsid w:val="00CA61B4"/>
    <w:rsid w:val="00CA6D6D"/>
    <w:rsid w:val="00CB0456"/>
    <w:rsid w:val="00CB1A1C"/>
    <w:rsid w:val="00CB201A"/>
    <w:rsid w:val="00CB4BB9"/>
    <w:rsid w:val="00CB5299"/>
    <w:rsid w:val="00CB712D"/>
    <w:rsid w:val="00CB778D"/>
    <w:rsid w:val="00CB7B21"/>
    <w:rsid w:val="00CC2323"/>
    <w:rsid w:val="00CC32DA"/>
    <w:rsid w:val="00CC4DF4"/>
    <w:rsid w:val="00CC5CB0"/>
    <w:rsid w:val="00CD57DB"/>
    <w:rsid w:val="00CD5D54"/>
    <w:rsid w:val="00CE0819"/>
    <w:rsid w:val="00CE20AC"/>
    <w:rsid w:val="00CE2134"/>
    <w:rsid w:val="00CE2B02"/>
    <w:rsid w:val="00CE3235"/>
    <w:rsid w:val="00CE3922"/>
    <w:rsid w:val="00CE41A7"/>
    <w:rsid w:val="00CE484B"/>
    <w:rsid w:val="00CE5A7E"/>
    <w:rsid w:val="00CE5D93"/>
    <w:rsid w:val="00CE78E3"/>
    <w:rsid w:val="00CE79E0"/>
    <w:rsid w:val="00CF1CED"/>
    <w:rsid w:val="00CF2F03"/>
    <w:rsid w:val="00CF39B1"/>
    <w:rsid w:val="00D0056C"/>
    <w:rsid w:val="00D04041"/>
    <w:rsid w:val="00D04A46"/>
    <w:rsid w:val="00D05505"/>
    <w:rsid w:val="00D06A63"/>
    <w:rsid w:val="00D07696"/>
    <w:rsid w:val="00D11683"/>
    <w:rsid w:val="00D13E71"/>
    <w:rsid w:val="00D14824"/>
    <w:rsid w:val="00D150D1"/>
    <w:rsid w:val="00D156D9"/>
    <w:rsid w:val="00D1634D"/>
    <w:rsid w:val="00D20470"/>
    <w:rsid w:val="00D20707"/>
    <w:rsid w:val="00D20D30"/>
    <w:rsid w:val="00D211E6"/>
    <w:rsid w:val="00D21EB1"/>
    <w:rsid w:val="00D259B5"/>
    <w:rsid w:val="00D26E2D"/>
    <w:rsid w:val="00D274C1"/>
    <w:rsid w:val="00D31EA3"/>
    <w:rsid w:val="00D34533"/>
    <w:rsid w:val="00D3680C"/>
    <w:rsid w:val="00D36C34"/>
    <w:rsid w:val="00D37C21"/>
    <w:rsid w:val="00D40759"/>
    <w:rsid w:val="00D420D6"/>
    <w:rsid w:val="00D42958"/>
    <w:rsid w:val="00D432E7"/>
    <w:rsid w:val="00D43DD1"/>
    <w:rsid w:val="00D44AAA"/>
    <w:rsid w:val="00D4501B"/>
    <w:rsid w:val="00D50E0B"/>
    <w:rsid w:val="00D510AE"/>
    <w:rsid w:val="00D5178F"/>
    <w:rsid w:val="00D52149"/>
    <w:rsid w:val="00D527B5"/>
    <w:rsid w:val="00D5379D"/>
    <w:rsid w:val="00D54787"/>
    <w:rsid w:val="00D54E9B"/>
    <w:rsid w:val="00D57E91"/>
    <w:rsid w:val="00D60C88"/>
    <w:rsid w:val="00D61958"/>
    <w:rsid w:val="00D62780"/>
    <w:rsid w:val="00D62EA4"/>
    <w:rsid w:val="00D62FCC"/>
    <w:rsid w:val="00D67444"/>
    <w:rsid w:val="00D67581"/>
    <w:rsid w:val="00D6765C"/>
    <w:rsid w:val="00D705DF"/>
    <w:rsid w:val="00D7072E"/>
    <w:rsid w:val="00D71CE5"/>
    <w:rsid w:val="00D72B5C"/>
    <w:rsid w:val="00D7417A"/>
    <w:rsid w:val="00D76A3D"/>
    <w:rsid w:val="00D77BDF"/>
    <w:rsid w:val="00D80B94"/>
    <w:rsid w:val="00D819B8"/>
    <w:rsid w:val="00D81E2E"/>
    <w:rsid w:val="00D90CE8"/>
    <w:rsid w:val="00D95A4D"/>
    <w:rsid w:val="00D9665C"/>
    <w:rsid w:val="00D96C5A"/>
    <w:rsid w:val="00DA17F0"/>
    <w:rsid w:val="00DA2100"/>
    <w:rsid w:val="00DA362C"/>
    <w:rsid w:val="00DA397B"/>
    <w:rsid w:val="00DA5328"/>
    <w:rsid w:val="00DA7BF4"/>
    <w:rsid w:val="00DB2DA2"/>
    <w:rsid w:val="00DB3C3C"/>
    <w:rsid w:val="00DB4212"/>
    <w:rsid w:val="00DB443D"/>
    <w:rsid w:val="00DB522D"/>
    <w:rsid w:val="00DB7A76"/>
    <w:rsid w:val="00DC0A62"/>
    <w:rsid w:val="00DC13C6"/>
    <w:rsid w:val="00DC284D"/>
    <w:rsid w:val="00DC37D4"/>
    <w:rsid w:val="00DC5D55"/>
    <w:rsid w:val="00DD065A"/>
    <w:rsid w:val="00DD1003"/>
    <w:rsid w:val="00DD33BF"/>
    <w:rsid w:val="00DD4C46"/>
    <w:rsid w:val="00DD7932"/>
    <w:rsid w:val="00DE1E2B"/>
    <w:rsid w:val="00DE5EAE"/>
    <w:rsid w:val="00DE645E"/>
    <w:rsid w:val="00DE699F"/>
    <w:rsid w:val="00DE711C"/>
    <w:rsid w:val="00DE72D6"/>
    <w:rsid w:val="00DF2DE4"/>
    <w:rsid w:val="00DF36A5"/>
    <w:rsid w:val="00DF5906"/>
    <w:rsid w:val="00DF69BA"/>
    <w:rsid w:val="00DF6EA7"/>
    <w:rsid w:val="00DF7D78"/>
    <w:rsid w:val="00E00390"/>
    <w:rsid w:val="00E007A3"/>
    <w:rsid w:val="00E008A9"/>
    <w:rsid w:val="00E0347D"/>
    <w:rsid w:val="00E03BB1"/>
    <w:rsid w:val="00E06DFE"/>
    <w:rsid w:val="00E073B4"/>
    <w:rsid w:val="00E11ED0"/>
    <w:rsid w:val="00E12434"/>
    <w:rsid w:val="00E12BDD"/>
    <w:rsid w:val="00E16850"/>
    <w:rsid w:val="00E168E9"/>
    <w:rsid w:val="00E16CCA"/>
    <w:rsid w:val="00E21DB6"/>
    <w:rsid w:val="00E2283F"/>
    <w:rsid w:val="00E23481"/>
    <w:rsid w:val="00E238D1"/>
    <w:rsid w:val="00E24F0D"/>
    <w:rsid w:val="00E250D8"/>
    <w:rsid w:val="00E25A1E"/>
    <w:rsid w:val="00E3239F"/>
    <w:rsid w:val="00E32884"/>
    <w:rsid w:val="00E33796"/>
    <w:rsid w:val="00E3380D"/>
    <w:rsid w:val="00E3474E"/>
    <w:rsid w:val="00E468C4"/>
    <w:rsid w:val="00E51167"/>
    <w:rsid w:val="00E51F2B"/>
    <w:rsid w:val="00E53267"/>
    <w:rsid w:val="00E54B81"/>
    <w:rsid w:val="00E5646D"/>
    <w:rsid w:val="00E56480"/>
    <w:rsid w:val="00E56B84"/>
    <w:rsid w:val="00E60AF4"/>
    <w:rsid w:val="00E613F1"/>
    <w:rsid w:val="00E64087"/>
    <w:rsid w:val="00E651FC"/>
    <w:rsid w:val="00E6561B"/>
    <w:rsid w:val="00E70CCC"/>
    <w:rsid w:val="00E71054"/>
    <w:rsid w:val="00E7161B"/>
    <w:rsid w:val="00E71972"/>
    <w:rsid w:val="00E7329D"/>
    <w:rsid w:val="00E7344C"/>
    <w:rsid w:val="00E73C0E"/>
    <w:rsid w:val="00E73CC4"/>
    <w:rsid w:val="00E80693"/>
    <w:rsid w:val="00E819CC"/>
    <w:rsid w:val="00E843BC"/>
    <w:rsid w:val="00E857D6"/>
    <w:rsid w:val="00E90C22"/>
    <w:rsid w:val="00E91267"/>
    <w:rsid w:val="00E91646"/>
    <w:rsid w:val="00E92B49"/>
    <w:rsid w:val="00E94E74"/>
    <w:rsid w:val="00E94E9A"/>
    <w:rsid w:val="00E95502"/>
    <w:rsid w:val="00EA1462"/>
    <w:rsid w:val="00EA2169"/>
    <w:rsid w:val="00EA225B"/>
    <w:rsid w:val="00EA6262"/>
    <w:rsid w:val="00EB0237"/>
    <w:rsid w:val="00EB2989"/>
    <w:rsid w:val="00EB4BD6"/>
    <w:rsid w:val="00EB5F38"/>
    <w:rsid w:val="00EB70D2"/>
    <w:rsid w:val="00EB7881"/>
    <w:rsid w:val="00EC1327"/>
    <w:rsid w:val="00EC2499"/>
    <w:rsid w:val="00EC270A"/>
    <w:rsid w:val="00EC48B4"/>
    <w:rsid w:val="00EC4BBE"/>
    <w:rsid w:val="00EC4C41"/>
    <w:rsid w:val="00EC7151"/>
    <w:rsid w:val="00ED0634"/>
    <w:rsid w:val="00ED0CE7"/>
    <w:rsid w:val="00ED2419"/>
    <w:rsid w:val="00ED3637"/>
    <w:rsid w:val="00ED41A4"/>
    <w:rsid w:val="00ED52C2"/>
    <w:rsid w:val="00ED5350"/>
    <w:rsid w:val="00ED56EC"/>
    <w:rsid w:val="00ED5935"/>
    <w:rsid w:val="00ED6E31"/>
    <w:rsid w:val="00EE0BA7"/>
    <w:rsid w:val="00EE0F65"/>
    <w:rsid w:val="00EE1585"/>
    <w:rsid w:val="00EE20B2"/>
    <w:rsid w:val="00EE24D8"/>
    <w:rsid w:val="00EE5533"/>
    <w:rsid w:val="00EE6B46"/>
    <w:rsid w:val="00EF1B29"/>
    <w:rsid w:val="00EF1BD0"/>
    <w:rsid w:val="00EF633D"/>
    <w:rsid w:val="00EF6428"/>
    <w:rsid w:val="00EF659F"/>
    <w:rsid w:val="00EF6773"/>
    <w:rsid w:val="00EF6E4F"/>
    <w:rsid w:val="00EF71EA"/>
    <w:rsid w:val="00F003B3"/>
    <w:rsid w:val="00F007CD"/>
    <w:rsid w:val="00F00A06"/>
    <w:rsid w:val="00F0151D"/>
    <w:rsid w:val="00F01F11"/>
    <w:rsid w:val="00F0723C"/>
    <w:rsid w:val="00F1101D"/>
    <w:rsid w:val="00F12BBD"/>
    <w:rsid w:val="00F14BD2"/>
    <w:rsid w:val="00F14FC8"/>
    <w:rsid w:val="00F16B1B"/>
    <w:rsid w:val="00F16CB9"/>
    <w:rsid w:val="00F20B96"/>
    <w:rsid w:val="00F21087"/>
    <w:rsid w:val="00F25A45"/>
    <w:rsid w:val="00F25C77"/>
    <w:rsid w:val="00F263D6"/>
    <w:rsid w:val="00F2799B"/>
    <w:rsid w:val="00F33595"/>
    <w:rsid w:val="00F3603C"/>
    <w:rsid w:val="00F361A9"/>
    <w:rsid w:val="00F36618"/>
    <w:rsid w:val="00F40FE8"/>
    <w:rsid w:val="00F4263C"/>
    <w:rsid w:val="00F43311"/>
    <w:rsid w:val="00F45B5B"/>
    <w:rsid w:val="00F45ECB"/>
    <w:rsid w:val="00F46E33"/>
    <w:rsid w:val="00F4779D"/>
    <w:rsid w:val="00F47CFE"/>
    <w:rsid w:val="00F5311D"/>
    <w:rsid w:val="00F54972"/>
    <w:rsid w:val="00F5783A"/>
    <w:rsid w:val="00F60FB9"/>
    <w:rsid w:val="00F613CE"/>
    <w:rsid w:val="00F62FBF"/>
    <w:rsid w:val="00F66A6E"/>
    <w:rsid w:val="00F6750D"/>
    <w:rsid w:val="00F71601"/>
    <w:rsid w:val="00F71E49"/>
    <w:rsid w:val="00F72372"/>
    <w:rsid w:val="00F73837"/>
    <w:rsid w:val="00F76AA6"/>
    <w:rsid w:val="00F82361"/>
    <w:rsid w:val="00F82AD4"/>
    <w:rsid w:val="00F855D4"/>
    <w:rsid w:val="00F923E0"/>
    <w:rsid w:val="00F93C6C"/>
    <w:rsid w:val="00F942DA"/>
    <w:rsid w:val="00F9464C"/>
    <w:rsid w:val="00F9725F"/>
    <w:rsid w:val="00F9749D"/>
    <w:rsid w:val="00FA0AB5"/>
    <w:rsid w:val="00FA0D94"/>
    <w:rsid w:val="00FA23D1"/>
    <w:rsid w:val="00FA2A1C"/>
    <w:rsid w:val="00FA3AB5"/>
    <w:rsid w:val="00FA4245"/>
    <w:rsid w:val="00FB0045"/>
    <w:rsid w:val="00FB176C"/>
    <w:rsid w:val="00FB336C"/>
    <w:rsid w:val="00FB3A13"/>
    <w:rsid w:val="00FB3FE8"/>
    <w:rsid w:val="00FB441F"/>
    <w:rsid w:val="00FC06E0"/>
    <w:rsid w:val="00FC070E"/>
    <w:rsid w:val="00FC1EA8"/>
    <w:rsid w:val="00FC2104"/>
    <w:rsid w:val="00FC2922"/>
    <w:rsid w:val="00FC292A"/>
    <w:rsid w:val="00FC4969"/>
    <w:rsid w:val="00FC499B"/>
    <w:rsid w:val="00FC4BFE"/>
    <w:rsid w:val="00FC5E07"/>
    <w:rsid w:val="00FC74F8"/>
    <w:rsid w:val="00FD05C0"/>
    <w:rsid w:val="00FD1407"/>
    <w:rsid w:val="00FD221B"/>
    <w:rsid w:val="00FD4701"/>
    <w:rsid w:val="00FD6532"/>
    <w:rsid w:val="00FE1066"/>
    <w:rsid w:val="00FE12E1"/>
    <w:rsid w:val="00FE21CE"/>
    <w:rsid w:val="00FE3D8C"/>
    <w:rsid w:val="00FE5598"/>
    <w:rsid w:val="00FE6EAE"/>
    <w:rsid w:val="00FF0356"/>
    <w:rsid w:val="00FF444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79DFF3"/>
  <w15:chartTrackingRefBased/>
  <w15:docId w15:val="{7A826499-D04E-42EF-B348-EF68AAB4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2D8"/>
    <w:rPr>
      <w:rFonts w:ascii="Times New Roman" w:hAnsi="Times New Roman" w:cs="Times New Roman"/>
      <w:sz w:val="24"/>
      <w:szCs w:val="24"/>
    </w:rPr>
  </w:style>
  <w:style w:type="paragraph" w:styleId="Heading1">
    <w:name w:val="heading 1"/>
    <w:basedOn w:val="Normal"/>
    <w:next w:val="Normal"/>
    <w:link w:val="Heading1Char"/>
    <w:uiPriority w:val="9"/>
    <w:qFormat/>
    <w:rsid w:val="00D40759"/>
    <w:pPr>
      <w:numPr>
        <w:numId w:val="3"/>
      </w:numPr>
      <w:outlineLvl w:val="0"/>
    </w:pPr>
    <w:rPr>
      <w:b/>
      <w:color w:val="2F5496" w:themeColor="accent5" w:themeShade="BF"/>
      <w:sz w:val="28"/>
    </w:rPr>
  </w:style>
  <w:style w:type="paragraph" w:styleId="Heading2">
    <w:name w:val="heading 2"/>
    <w:basedOn w:val="Normal"/>
    <w:next w:val="Normal"/>
    <w:link w:val="Heading2Char"/>
    <w:autoRedefine/>
    <w:uiPriority w:val="9"/>
    <w:unhideWhenUsed/>
    <w:qFormat/>
    <w:rsid w:val="003B47A3"/>
    <w:pPr>
      <w:keepNext/>
      <w:keepLines/>
      <w:pBdr>
        <w:top w:val="single" w:sz="4" w:space="1" w:color="1F4E79" w:themeColor="accent1" w:themeShade="80"/>
        <w:bottom w:val="single" w:sz="4" w:space="1" w:color="1F4E79" w:themeColor="accent1" w:themeShade="80"/>
      </w:pBdr>
      <w:spacing w:before="100" w:beforeAutospacing="1" w:after="100" w:afterAutospacing="1" w:line="240" w:lineRule="auto"/>
      <w:ind w:left="720"/>
      <w:outlineLvl w:val="1"/>
    </w:pPr>
    <w:rPr>
      <w:rFonts w:eastAsiaTheme="majorEastAsia"/>
      <w:b/>
      <w:color w:val="2F5496" w:themeColor="accent5" w:themeShade="BF"/>
    </w:rPr>
  </w:style>
  <w:style w:type="paragraph" w:styleId="Heading3">
    <w:name w:val="heading 3"/>
    <w:basedOn w:val="Normal"/>
    <w:next w:val="Normal"/>
    <w:link w:val="Heading3Char"/>
    <w:uiPriority w:val="9"/>
    <w:unhideWhenUsed/>
    <w:qFormat/>
    <w:rsid w:val="00732DA7"/>
    <w:pPr>
      <w:keepNext/>
      <w:keepLines/>
      <w:numPr>
        <w:ilvl w:val="2"/>
        <w:numId w:val="1"/>
      </w:numPr>
      <w:pBdr>
        <w:top w:val="single" w:sz="4" w:space="1" w:color="auto"/>
        <w:bottom w:val="single" w:sz="4" w:space="1" w:color="auto"/>
      </w:pBdr>
      <w:spacing w:before="40" w:after="0"/>
      <w:outlineLvl w:val="2"/>
    </w:pPr>
    <w:rPr>
      <w:rFonts w:eastAsiaTheme="majorEastAsia"/>
      <w:b/>
    </w:rPr>
  </w:style>
  <w:style w:type="paragraph" w:styleId="Heading4">
    <w:name w:val="heading 4"/>
    <w:basedOn w:val="Heading3"/>
    <w:next w:val="Normal"/>
    <w:link w:val="Heading4Char"/>
    <w:uiPriority w:val="9"/>
    <w:unhideWhenUsed/>
    <w:qFormat/>
    <w:rsid w:val="00B17BEB"/>
    <w:pPr>
      <w:keepLines w:val="0"/>
      <w:numPr>
        <w:ilvl w:val="0"/>
        <w:numId w:val="0"/>
      </w:numPr>
      <w:spacing w:before="100" w:beforeAutospacing="1" w:after="100" w:afterAutospacing="1" w:line="250" w:lineRule="auto"/>
      <w:ind w:left="1080" w:right="14" w:hanging="720"/>
      <w:outlineLvl w:val="3"/>
    </w:pPr>
    <w:rPr>
      <w:rFonts w:eastAsia="Times New Roman"/>
      <w:i/>
      <w:color w:val="1F3864" w:themeColor="accent5" w:themeShade="80"/>
      <w:szCs w:val="22"/>
    </w:rPr>
  </w:style>
  <w:style w:type="paragraph" w:styleId="Heading5">
    <w:name w:val="heading 5"/>
    <w:basedOn w:val="Normal"/>
    <w:next w:val="Normal"/>
    <w:link w:val="Heading5Char"/>
    <w:uiPriority w:val="9"/>
    <w:unhideWhenUsed/>
    <w:qFormat/>
    <w:rsid w:val="00527E2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17BEB"/>
    <w:pPr>
      <w:keepNext/>
      <w:keepLines/>
      <w:spacing w:before="200" w:beforeAutospacing="1" w:after="0" w:afterAutospacing="1" w:line="240" w:lineRule="auto"/>
      <w:ind w:left="2430" w:right="14" w:hanging="1080"/>
      <w:outlineLvl w:val="5"/>
    </w:pPr>
    <w:rPr>
      <w:rFonts w:ascii="Cambria" w:eastAsia="SimSun" w:hAnsi="Cambria"/>
      <w:b/>
      <w:i/>
      <w:iCs/>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08C"/>
    <w:pPr>
      <w:autoSpaceDE w:val="0"/>
      <w:autoSpaceDN w:val="0"/>
      <w:spacing w:after="266" w:line="300" w:lineRule="atLeast"/>
    </w:pPr>
    <w:rPr>
      <w:rFonts w:ascii="MS Mincho" w:eastAsia="MS Mincho"/>
      <w:color w:val="131313"/>
      <w:sz w:val="20"/>
      <w:szCs w:val="20"/>
    </w:rPr>
  </w:style>
  <w:style w:type="character" w:customStyle="1" w:styleId="FootnoteTextChar">
    <w:name w:val="Footnote Text Char"/>
    <w:basedOn w:val="DefaultParagraphFont"/>
    <w:link w:val="FootnoteText"/>
    <w:uiPriority w:val="99"/>
    <w:semiHidden/>
    <w:rsid w:val="00AF508C"/>
    <w:rPr>
      <w:rFonts w:ascii="MS Mincho" w:eastAsia="MS Mincho" w:hAnsi="Times New Roman" w:cs="Times New Roman"/>
      <w:color w:val="131313"/>
      <w:sz w:val="20"/>
      <w:szCs w:val="20"/>
    </w:rPr>
  </w:style>
  <w:style w:type="character" w:styleId="FootnoteReference">
    <w:name w:val="footnote reference"/>
    <w:basedOn w:val="DefaultParagraphFont"/>
    <w:uiPriority w:val="99"/>
    <w:semiHidden/>
    <w:unhideWhenUsed/>
    <w:rsid w:val="00AF508C"/>
    <w:rPr>
      <w:vertAlign w:val="superscript"/>
    </w:rPr>
  </w:style>
  <w:style w:type="table" w:styleId="TableGrid">
    <w:name w:val="Table Grid"/>
    <w:basedOn w:val="TableNormal"/>
    <w:uiPriority w:val="39"/>
    <w:rsid w:val="002C5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502"/>
  </w:style>
  <w:style w:type="paragraph" w:styleId="Footer">
    <w:name w:val="footer"/>
    <w:basedOn w:val="Normal"/>
    <w:link w:val="FooterChar"/>
    <w:uiPriority w:val="99"/>
    <w:unhideWhenUsed/>
    <w:rsid w:val="00E95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502"/>
  </w:style>
  <w:style w:type="paragraph" w:styleId="BalloonText">
    <w:name w:val="Balloon Text"/>
    <w:basedOn w:val="Normal"/>
    <w:link w:val="BalloonTextChar"/>
    <w:uiPriority w:val="99"/>
    <w:semiHidden/>
    <w:unhideWhenUsed/>
    <w:rsid w:val="00B35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8B"/>
    <w:rPr>
      <w:rFonts w:ascii="Segoe UI" w:hAnsi="Segoe UI" w:cs="Segoe UI"/>
      <w:sz w:val="18"/>
      <w:szCs w:val="18"/>
    </w:rPr>
  </w:style>
  <w:style w:type="character" w:styleId="CommentReference">
    <w:name w:val="annotation reference"/>
    <w:basedOn w:val="DefaultParagraphFont"/>
    <w:uiPriority w:val="99"/>
    <w:semiHidden/>
    <w:unhideWhenUsed/>
    <w:rsid w:val="00026153"/>
    <w:rPr>
      <w:sz w:val="16"/>
      <w:szCs w:val="16"/>
    </w:rPr>
  </w:style>
  <w:style w:type="paragraph" w:styleId="CommentText">
    <w:name w:val="annotation text"/>
    <w:basedOn w:val="Normal"/>
    <w:link w:val="CommentTextChar"/>
    <w:unhideWhenUsed/>
    <w:rsid w:val="00026153"/>
    <w:pPr>
      <w:spacing w:line="240" w:lineRule="auto"/>
    </w:pPr>
    <w:rPr>
      <w:sz w:val="20"/>
      <w:szCs w:val="20"/>
    </w:rPr>
  </w:style>
  <w:style w:type="character" w:customStyle="1" w:styleId="CommentTextChar">
    <w:name w:val="Comment Text Char"/>
    <w:basedOn w:val="DefaultParagraphFont"/>
    <w:link w:val="CommentText"/>
    <w:rsid w:val="00026153"/>
    <w:rPr>
      <w:sz w:val="20"/>
      <w:szCs w:val="20"/>
    </w:rPr>
  </w:style>
  <w:style w:type="paragraph" w:styleId="CommentSubject">
    <w:name w:val="annotation subject"/>
    <w:basedOn w:val="CommentText"/>
    <w:next w:val="CommentText"/>
    <w:link w:val="CommentSubjectChar"/>
    <w:uiPriority w:val="99"/>
    <w:semiHidden/>
    <w:unhideWhenUsed/>
    <w:rsid w:val="00026153"/>
    <w:rPr>
      <w:b/>
      <w:bCs/>
    </w:rPr>
  </w:style>
  <w:style w:type="character" w:customStyle="1" w:styleId="CommentSubjectChar">
    <w:name w:val="Comment Subject Char"/>
    <w:basedOn w:val="CommentTextChar"/>
    <w:link w:val="CommentSubject"/>
    <w:uiPriority w:val="99"/>
    <w:semiHidden/>
    <w:rsid w:val="00026153"/>
    <w:rPr>
      <w:b/>
      <w:bCs/>
      <w:sz w:val="20"/>
      <w:szCs w:val="20"/>
    </w:rPr>
  </w:style>
  <w:style w:type="paragraph" w:styleId="ListParagraph">
    <w:name w:val="List Paragraph"/>
    <w:basedOn w:val="Normal"/>
    <w:link w:val="ListParagraphChar"/>
    <w:uiPriority w:val="34"/>
    <w:qFormat/>
    <w:rsid w:val="00B913FB"/>
    <w:pPr>
      <w:ind w:left="720"/>
      <w:contextualSpacing/>
    </w:pPr>
  </w:style>
  <w:style w:type="paragraph" w:styleId="Bibliography">
    <w:name w:val="Bibliography"/>
    <w:basedOn w:val="Normal"/>
    <w:next w:val="Normal"/>
    <w:uiPriority w:val="37"/>
    <w:unhideWhenUsed/>
    <w:rsid w:val="006A1547"/>
  </w:style>
  <w:style w:type="character" w:styleId="Hyperlink">
    <w:name w:val="Hyperlink"/>
    <w:basedOn w:val="DefaultParagraphFont"/>
    <w:uiPriority w:val="99"/>
    <w:unhideWhenUsed/>
    <w:rsid w:val="00502B0D"/>
    <w:rPr>
      <w:color w:val="0563C1" w:themeColor="hyperlink"/>
      <w:u w:val="single"/>
    </w:rPr>
  </w:style>
  <w:style w:type="character" w:customStyle="1" w:styleId="Heading2Char">
    <w:name w:val="Heading 2 Char"/>
    <w:basedOn w:val="DefaultParagraphFont"/>
    <w:link w:val="Heading2"/>
    <w:uiPriority w:val="9"/>
    <w:rsid w:val="003B47A3"/>
    <w:rPr>
      <w:rFonts w:ascii="Times New Roman" w:eastAsiaTheme="majorEastAsia" w:hAnsi="Times New Roman" w:cs="Times New Roman"/>
      <w:b/>
      <w:color w:val="2F5496" w:themeColor="accent5" w:themeShade="BF"/>
      <w:sz w:val="24"/>
      <w:szCs w:val="24"/>
    </w:rPr>
  </w:style>
  <w:style w:type="character" w:customStyle="1" w:styleId="Heading3Char">
    <w:name w:val="Heading 3 Char"/>
    <w:basedOn w:val="DefaultParagraphFont"/>
    <w:link w:val="Heading3"/>
    <w:uiPriority w:val="9"/>
    <w:rsid w:val="00732DA7"/>
    <w:rPr>
      <w:rFonts w:ascii="Times New Roman" w:eastAsiaTheme="majorEastAsia" w:hAnsi="Times New Roman" w:cs="Times New Roman"/>
      <w:b/>
      <w:sz w:val="24"/>
      <w:szCs w:val="24"/>
    </w:rPr>
  </w:style>
  <w:style w:type="paragraph" w:styleId="Caption">
    <w:name w:val="caption"/>
    <w:basedOn w:val="Normal"/>
    <w:next w:val="Normal"/>
    <w:uiPriority w:val="35"/>
    <w:unhideWhenUsed/>
    <w:qFormat/>
    <w:rsid w:val="00DE699F"/>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40759"/>
    <w:rPr>
      <w:rFonts w:ascii="Times New Roman" w:hAnsi="Times New Roman" w:cs="Times New Roman"/>
      <w:b/>
      <w:color w:val="2F5496" w:themeColor="accent5" w:themeShade="BF"/>
      <w:sz w:val="28"/>
      <w:szCs w:val="24"/>
    </w:rPr>
  </w:style>
  <w:style w:type="character" w:styleId="Strong">
    <w:name w:val="Strong"/>
    <w:uiPriority w:val="22"/>
    <w:qFormat/>
    <w:rsid w:val="00412F40"/>
    <w:rPr>
      <w:b/>
    </w:rPr>
  </w:style>
  <w:style w:type="paragraph" w:customStyle="1" w:styleId="Default">
    <w:name w:val="Default"/>
    <w:rsid w:val="0094499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B5299"/>
    <w:rPr>
      <w:color w:val="605E5C"/>
      <w:shd w:val="clear" w:color="auto" w:fill="E1DFDD"/>
    </w:rPr>
  </w:style>
  <w:style w:type="table" w:customStyle="1" w:styleId="TableGrid1">
    <w:name w:val="Table Grid1"/>
    <w:basedOn w:val="TableNormal"/>
    <w:next w:val="TableGrid"/>
    <w:uiPriority w:val="59"/>
    <w:rsid w:val="001C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17BEB"/>
    <w:rPr>
      <w:rFonts w:ascii="Times New Roman" w:eastAsia="Times New Roman" w:hAnsi="Times New Roman" w:cs="Times New Roman"/>
      <w:b/>
      <w:i/>
      <w:color w:val="1F3864" w:themeColor="accent5" w:themeShade="80"/>
      <w:sz w:val="24"/>
    </w:rPr>
  </w:style>
  <w:style w:type="character" w:customStyle="1" w:styleId="Heading6Char">
    <w:name w:val="Heading 6 Char"/>
    <w:basedOn w:val="DefaultParagraphFont"/>
    <w:link w:val="Heading6"/>
    <w:uiPriority w:val="9"/>
    <w:rsid w:val="00B17BEB"/>
    <w:rPr>
      <w:rFonts w:ascii="Cambria" w:eastAsia="SimSun" w:hAnsi="Cambria" w:cs="Times New Roman"/>
      <w:b/>
      <w:i/>
      <w:iCs/>
      <w:color w:val="243F60"/>
      <w:sz w:val="24"/>
    </w:rPr>
  </w:style>
  <w:style w:type="table" w:customStyle="1" w:styleId="TableGrid3">
    <w:name w:val="Table Grid3"/>
    <w:basedOn w:val="TableNormal"/>
    <w:next w:val="TableGrid"/>
    <w:uiPriority w:val="59"/>
    <w:rsid w:val="0026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781EE6"/>
    <w:pPr>
      <w:widowControl w:val="0"/>
      <w:numPr>
        <w:numId w:val="23"/>
      </w:numPr>
      <w:spacing w:after="0" w:line="240" w:lineRule="atLeast"/>
      <w:ind w:right="580"/>
    </w:pPr>
    <w:rPr>
      <w:rFonts w:eastAsia="Times New Roman"/>
      <w:szCs w:val="20"/>
    </w:rPr>
  </w:style>
  <w:style w:type="character" w:customStyle="1" w:styleId="ListParagraphChar">
    <w:name w:val="List Paragraph Char"/>
    <w:link w:val="ListParagraph"/>
    <w:uiPriority w:val="34"/>
    <w:rsid w:val="00781EE6"/>
    <w:rPr>
      <w:rFonts w:ascii="Times New Roman" w:hAnsi="Times New Roman" w:cs="Times New Roman"/>
      <w:sz w:val="24"/>
      <w:szCs w:val="24"/>
    </w:rPr>
  </w:style>
  <w:style w:type="character" w:customStyle="1" w:styleId="Heading5Char">
    <w:name w:val="Heading 5 Char"/>
    <w:basedOn w:val="DefaultParagraphFont"/>
    <w:link w:val="Heading5"/>
    <w:uiPriority w:val="9"/>
    <w:rsid w:val="00527E2C"/>
    <w:rPr>
      <w:rFonts w:asciiTheme="majorHAnsi" w:eastAsiaTheme="majorEastAsia" w:hAnsiTheme="majorHAnsi" w:cstheme="majorBidi"/>
      <w:color w:val="2E74B5" w:themeColor="accent1" w:themeShade="BF"/>
      <w:sz w:val="24"/>
      <w:szCs w:val="24"/>
    </w:rPr>
  </w:style>
  <w:style w:type="paragraph" w:styleId="Revision">
    <w:name w:val="Revision"/>
    <w:hidden/>
    <w:uiPriority w:val="99"/>
    <w:semiHidden/>
    <w:rsid w:val="00667EF7"/>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41B0F"/>
    <w:rPr>
      <w:color w:val="954F72" w:themeColor="followedHyperlink"/>
      <w:u w:val="single"/>
    </w:rPr>
  </w:style>
  <w:style w:type="paragraph" w:styleId="BodyText">
    <w:name w:val="Body Text"/>
    <w:basedOn w:val="Normal"/>
    <w:link w:val="BodyTextChar"/>
    <w:uiPriority w:val="1"/>
    <w:qFormat/>
    <w:rsid w:val="009D2DE1"/>
    <w:pPr>
      <w:widowControl w:val="0"/>
      <w:spacing w:after="0" w:line="240" w:lineRule="auto"/>
      <w:ind w:left="840" w:hanging="360"/>
    </w:pPr>
    <w:rPr>
      <w:rFonts w:eastAsia="Times New Roman" w:cstheme="minorBidi"/>
    </w:rPr>
  </w:style>
  <w:style w:type="character" w:customStyle="1" w:styleId="BodyTextChar">
    <w:name w:val="Body Text Char"/>
    <w:basedOn w:val="DefaultParagraphFont"/>
    <w:link w:val="BodyText"/>
    <w:uiPriority w:val="1"/>
    <w:rsid w:val="009D2DE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1277">
      <w:bodyDiv w:val="1"/>
      <w:marLeft w:val="0"/>
      <w:marRight w:val="0"/>
      <w:marTop w:val="0"/>
      <w:marBottom w:val="0"/>
      <w:divBdr>
        <w:top w:val="none" w:sz="0" w:space="0" w:color="auto"/>
        <w:left w:val="none" w:sz="0" w:space="0" w:color="auto"/>
        <w:bottom w:val="none" w:sz="0" w:space="0" w:color="auto"/>
        <w:right w:val="none" w:sz="0" w:space="0" w:color="auto"/>
      </w:divBdr>
      <w:divsChild>
        <w:div w:id="1225799775">
          <w:marLeft w:val="330"/>
          <w:marRight w:val="330"/>
          <w:marTop w:val="30"/>
          <w:marBottom w:val="180"/>
          <w:divBdr>
            <w:top w:val="none" w:sz="0" w:space="0" w:color="auto"/>
            <w:left w:val="none" w:sz="0" w:space="0" w:color="auto"/>
            <w:bottom w:val="none" w:sz="0" w:space="0" w:color="auto"/>
            <w:right w:val="none" w:sz="0" w:space="0" w:color="auto"/>
          </w:divBdr>
        </w:div>
        <w:div w:id="978996126">
          <w:marLeft w:val="330"/>
          <w:marRight w:val="330"/>
          <w:marTop w:val="0"/>
          <w:marBottom w:val="330"/>
          <w:divBdr>
            <w:top w:val="none" w:sz="0" w:space="0" w:color="auto"/>
            <w:left w:val="none" w:sz="0" w:space="0" w:color="auto"/>
            <w:bottom w:val="none" w:sz="0" w:space="0" w:color="auto"/>
            <w:right w:val="none" w:sz="0" w:space="0" w:color="auto"/>
          </w:divBdr>
        </w:div>
      </w:divsChild>
    </w:div>
    <w:div w:id="334770716">
      <w:bodyDiv w:val="1"/>
      <w:marLeft w:val="0"/>
      <w:marRight w:val="0"/>
      <w:marTop w:val="0"/>
      <w:marBottom w:val="0"/>
      <w:divBdr>
        <w:top w:val="none" w:sz="0" w:space="0" w:color="auto"/>
        <w:left w:val="none" w:sz="0" w:space="0" w:color="auto"/>
        <w:bottom w:val="none" w:sz="0" w:space="0" w:color="auto"/>
        <w:right w:val="none" w:sz="0" w:space="0" w:color="auto"/>
      </w:divBdr>
    </w:div>
    <w:div w:id="634144012">
      <w:bodyDiv w:val="1"/>
      <w:marLeft w:val="0"/>
      <w:marRight w:val="0"/>
      <w:marTop w:val="0"/>
      <w:marBottom w:val="0"/>
      <w:divBdr>
        <w:top w:val="none" w:sz="0" w:space="0" w:color="auto"/>
        <w:left w:val="none" w:sz="0" w:space="0" w:color="auto"/>
        <w:bottom w:val="none" w:sz="0" w:space="0" w:color="auto"/>
        <w:right w:val="none" w:sz="0" w:space="0" w:color="auto"/>
      </w:divBdr>
    </w:div>
    <w:div w:id="693656456">
      <w:bodyDiv w:val="1"/>
      <w:marLeft w:val="0"/>
      <w:marRight w:val="0"/>
      <w:marTop w:val="0"/>
      <w:marBottom w:val="0"/>
      <w:divBdr>
        <w:top w:val="none" w:sz="0" w:space="0" w:color="auto"/>
        <w:left w:val="none" w:sz="0" w:space="0" w:color="auto"/>
        <w:bottom w:val="none" w:sz="0" w:space="0" w:color="auto"/>
        <w:right w:val="none" w:sz="0" w:space="0" w:color="auto"/>
      </w:divBdr>
    </w:div>
    <w:div w:id="771364478">
      <w:bodyDiv w:val="1"/>
      <w:marLeft w:val="0"/>
      <w:marRight w:val="0"/>
      <w:marTop w:val="0"/>
      <w:marBottom w:val="0"/>
      <w:divBdr>
        <w:top w:val="none" w:sz="0" w:space="0" w:color="auto"/>
        <w:left w:val="none" w:sz="0" w:space="0" w:color="auto"/>
        <w:bottom w:val="none" w:sz="0" w:space="0" w:color="auto"/>
        <w:right w:val="none" w:sz="0" w:space="0" w:color="auto"/>
      </w:divBdr>
    </w:div>
    <w:div w:id="1152678961">
      <w:bodyDiv w:val="1"/>
      <w:marLeft w:val="0"/>
      <w:marRight w:val="0"/>
      <w:marTop w:val="0"/>
      <w:marBottom w:val="0"/>
      <w:divBdr>
        <w:top w:val="none" w:sz="0" w:space="0" w:color="auto"/>
        <w:left w:val="none" w:sz="0" w:space="0" w:color="auto"/>
        <w:bottom w:val="none" w:sz="0" w:space="0" w:color="auto"/>
        <w:right w:val="none" w:sz="0" w:space="0" w:color="auto"/>
      </w:divBdr>
    </w:div>
    <w:div w:id="1161774628">
      <w:bodyDiv w:val="1"/>
      <w:marLeft w:val="0"/>
      <w:marRight w:val="0"/>
      <w:marTop w:val="0"/>
      <w:marBottom w:val="0"/>
      <w:divBdr>
        <w:top w:val="none" w:sz="0" w:space="0" w:color="auto"/>
        <w:left w:val="none" w:sz="0" w:space="0" w:color="auto"/>
        <w:bottom w:val="none" w:sz="0" w:space="0" w:color="auto"/>
        <w:right w:val="none" w:sz="0" w:space="0" w:color="auto"/>
      </w:divBdr>
    </w:div>
    <w:div w:id="1274289838">
      <w:bodyDiv w:val="1"/>
      <w:marLeft w:val="0"/>
      <w:marRight w:val="0"/>
      <w:marTop w:val="0"/>
      <w:marBottom w:val="0"/>
      <w:divBdr>
        <w:top w:val="none" w:sz="0" w:space="0" w:color="auto"/>
        <w:left w:val="none" w:sz="0" w:space="0" w:color="auto"/>
        <w:bottom w:val="none" w:sz="0" w:space="0" w:color="auto"/>
        <w:right w:val="none" w:sz="0" w:space="0" w:color="auto"/>
      </w:divBdr>
    </w:div>
    <w:div w:id="1419711796">
      <w:bodyDiv w:val="1"/>
      <w:marLeft w:val="0"/>
      <w:marRight w:val="0"/>
      <w:marTop w:val="0"/>
      <w:marBottom w:val="0"/>
      <w:divBdr>
        <w:top w:val="none" w:sz="0" w:space="0" w:color="auto"/>
        <w:left w:val="none" w:sz="0" w:space="0" w:color="auto"/>
        <w:bottom w:val="none" w:sz="0" w:space="0" w:color="auto"/>
        <w:right w:val="none" w:sz="0" w:space="0" w:color="auto"/>
      </w:divBdr>
    </w:div>
    <w:div w:id="1690446373">
      <w:bodyDiv w:val="1"/>
      <w:marLeft w:val="0"/>
      <w:marRight w:val="0"/>
      <w:marTop w:val="0"/>
      <w:marBottom w:val="0"/>
      <w:divBdr>
        <w:top w:val="none" w:sz="0" w:space="0" w:color="auto"/>
        <w:left w:val="none" w:sz="0" w:space="0" w:color="auto"/>
        <w:bottom w:val="none" w:sz="0" w:space="0" w:color="auto"/>
        <w:right w:val="none" w:sz="0" w:space="0" w:color="auto"/>
      </w:divBdr>
    </w:div>
    <w:div w:id="19729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greg.nga.mil/doc/view?i=49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greg.nga.mil/doc/view?i=49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lass:Classification xmlns:class="urn:us:gov:cia:enterprise:schema:Classification:2.3" dateClassified="2019-06-20" portionMarking="false" caveat="false" tool="AACG" toolVersion="201810">
  <class:ClassificationMarking type="USClassificationMarking" value="UNCLASSIFIED"/>
  <class:ClassifiedBy>1083082-0</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27CD1592CB7D4587955833A47CF296" ma:contentTypeVersion="7" ma:contentTypeDescription="Create a new document." ma:contentTypeScope="" ma:versionID="ff7c8a309d640f41527b3827b0619a7f">
  <xsd:schema xmlns:xsd="http://www.w3.org/2001/XMLSchema" xmlns:xs="http://www.w3.org/2001/XMLSchema" xmlns:p="http://schemas.microsoft.com/office/2006/metadata/properties" targetNamespace="http://schemas.microsoft.com/office/2006/metadata/properties" ma:root="true" ma:fieldsID="eda22a2daa42450f30b656513e80c8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Year>1997</b:Year>
    <b:Volume>6</b:Volume>
    <b:BIBTEX_Entry>article</b:BIBTEX_Entry>
    <b:SourceType>JournalArticle</b:SourceType>
    <b:Title>Attributed scattering centers for SAR ATR</b:Title>
    <b:Tag>ISI:A1997WK68500007</b:Tag>
    <b:DOI>10.1109/83.552098</b:DOI>
    <b:Author>
      <b:Author>
        <b:NameList>
          <b:Person>
            <b:Last>Potter</b:Last>
            <b:Middle>C.</b:Middle>
            <b:First>L.</b:First>
          </b:Person>
          <b:Person>
            <b:Last>Moses</b:Last>
            <b:Middle>L.</b:Middle>
            <b:First>R.</b:First>
          </b:Person>
        </b:NameList>
      </b:Author>
    </b:Author>
    <b:Pages>79-91</b:Pages>
    <b:JournalName>IEEE TRANSACTIONS ON IMAGE PROCESSING</b:JournalName>
    <b:Number>1</b:Number>
    <b:StandardNumber> ISSN: 1057-7149</b:StandardNumber>
    <b:RefOrder>1</b:RefOrder>
  </b:Source>
  <b:Source>
    <b:Year>2004</b:Year>
    <b:Volume>5427</b:Volume>
    <b:BIBTEX_Series>Proceedings of SPIE</b:BIBTEX_Series>
    <b:BIBTEX_Entry>inproceedings</b:BIBTEX_Entry>
    <b:Comments>Conference on Algorithms for Synthetic Aperture Radar Imagery XI, Orlando, FL, APR 12-15, 2004</b:Comments>
    <b:SourceType>ConferenceProceedings</b:SourceType>
    <b:Title>Wide angle SAR Imaging</b:Title>
    <b:Tag>ISI:000224315100016</b:Tag>
    <b:BookTitle>ALGORITHMS FOR SYNTHETIC APERTURE RADAR IMAGERY XI</b:BookTitle>
    <b:DOI>10.1117/12.544935</b:DOI>
    <b:Author>
      <b:Author>
        <b:NameList>
          <b:Person>
            <b:Last>Moses</b:Last>
            <b:Middle>L.</b:Middle>
            <b:First>R.</b:First>
          </b:Person>
          <b:Person>
            <b:Last>Potter</b:Last>
            <b:Middle>C.</b:Middle>
            <b:First>L.</b:First>
          </b:Person>
          <b:Person>
            <b:Last>Cetin</b:Last>
            <b:First>M.</b:First>
          </b:Person>
        </b:NameList>
      </b:Author>
      <b:Editor>
        <b:Corporate>Zelnio, EG and Garber, FD</b:Corporate>
      </b:Editor>
    </b:Author>
    <b:Pages>164-175</b:Pages>
    <b:StandardNumber> ISBN: 0-8194-5350-1 ISSN: 0277-786X</b:StandardNumber>
    <b:ConferenceName>ALGORITHMS FOR SYNTHETIC APERTURE RADAR IMAGERY XI</b:ConferenceName>
    <b:RefOrder>2</b:RefOrder>
  </b:Source>
  <b:Source>
    <b:Year>1999</b:Year>
    <b:Volume>3721</b:Volume>
    <b:BIBTEX_Series>PROCEEDINGS OF THE SOCIETY OF PHOTO-OPTICAL INSTRUMENTATION ENGINEERS (SPIE)</b:BIBTEX_Series>
    <b:BIBTEX_Entry>inproceedings</b:BIBTEX_Entry>
    <b:Comments>Conference on Algorithms for Synthetic Aperture Radar Imagery VI, ORLANDO, FL, APR 05-09, 1999</b:Comments>
    <b:SourceType>ConferenceProceedings</b:SourceType>
    <b:Title>Nonparametric estimation of aspect dependence for ATR</b:Title>
    <b:Tag>ISI:000082902200031</b:Tag>
    <b:BookTitle>ALGORITHMS FOR SYNTHETIC APERTURE RADAR IMAGERY VI</b:BookTitle>
    <b:DOI>10.1117/12.357650</b:DOI>
    <b:Author>
      <b:Author>
        <b:NameList>
          <b:Person>
            <b:Last>Kim</b:Last>
            <b:First>A.</b:First>
          </b:Person>
          <b:Person>
            <b:Last>Fisher</b:Last>
            <b:First>J.</b:First>
          </b:Person>
          <b:Person>
            <b:Last>Willsky</b:Last>
            <b:First>A.</b:First>
          </b:Person>
          <b:Person>
            <b:Last>Viola</b:Last>
            <b:First>P.</b:First>
          </b:Person>
        </b:NameList>
      </b:Author>
      <b:Editor>
        <b:Corporate>Zelnio, EG</b:Corporate>
      </b:Editor>
    </b:Author>
    <b:Pages>332-342</b:Pages>
    <b:StandardNumber> ISBN: 0-8194-3195-8 ISSN: 0277-786X</b:StandardNumber>
    <b:ConferenceName>ALGORITHMS FOR SYNTHETIC APERTURE RADAR IMAGERY VI</b:ConferenceName>
    <b:RefOrder>3</b:RefOrder>
  </b:Source>
  <b:Source>
    <b:Year>2003</b:Year>
    <b:Volume>14</b:Volume>
    <b:BIBTEX_Entry>article</b:BIBTEX_Entry>
    <b:SourceType>JournalArticle</b:SourceType>
    <b:Title>Detection and analysis of anisotropic scattering in SAR data</b:Title>
    <b:Tag>ISI:000180782600005</b:Tag>
    <b:DOI>10.1023/A:1022268908156</b:DOI>
    <b:Author>
      <b:Author>
        <b:NameList>
          <b:Person>
            <b:Last>Kim</b:Last>
            <b:Middle>J.</b:Middle>
            <b:First>A.</b:First>
          </b:Person>
          <b:Person>
            <b:Last>Fisher</b:Last>
            <b:Middle>W.</b:Middle>
            <b:First>J.</b:First>
          </b:Person>
          <b:Person>
            <b:Last>Willsky</b:Last>
            <b:Middle>S.</b:Middle>
            <b:First>A.</b:First>
          </b:Person>
        </b:NameList>
      </b:Author>
    </b:Author>
    <b:Pages>49-82</b:Pages>
    <b:JournalName>MULTIDIMENSIONAL SYSTEMS AND SIGNAL PROCESSING</b:JournalName>
    <b:Number>1-3</b:Number>
    <b:StandardNumber> ISSN: 0923-6082</b:StandardNumber>
    <b:RefOrder>4</b:RefOrder>
  </b:Source>
  <b:Source>
    <b:Year>2000</b:Year>
    <b:Volume>4053</b:Volume>
    <b:BIBTEX_Series>PROCEEDINGS OF THE SOCIETY OF PHOTO-OPTICAL INSTRUMENTATION ENGINEERS (SPIE)</b:BIBTEX_Series>
    <b:BIBTEX_Entry>inproceedings</b:BIBTEX_Entry>
    <b:Comments>Conference on Algorithms for Synthetic Aperture Radar Imagery VII, ORLANDO, FL, APR 24-28, 2000</b:Comments>
    <b:SourceType>ConferenceProceedings</b:SourceType>
    <b:Title>Attributing scatterer anisotropy for model based ATR</b:Title>
    <b:Tag>ISI:000089706700018</b:Tag>
    <b:BookTitle>ALGORITHMS FOR SYNTHETIC APERTURE RADAR IMAGERY VII</b:BookTitle>
    <b:DOI>10.1117/12.396329</b:DOI>
    <b:Author>
      <b:Author>
        <b:NameList>
          <b:Person>
            <b:Last>Kim</b:Last>
            <b:First>A.</b:First>
          </b:Person>
          <b:Person>
            <b:Last>Dogan</b:Last>
            <b:First>S.</b:First>
          </b:Person>
          <b:Person>
            <b:Last>Fisher</b:Last>
            <b:First>J.</b:First>
          </b:Person>
          <b:Person>
            <b:Last>Moses</b:Last>
            <b:First>R.</b:First>
          </b:Person>
          <b:Person>
            <b:Last>Willsky</b:Last>
            <b:First>A.</b:First>
          </b:Person>
        </b:NameList>
      </b:Author>
      <b:Editor>
        <b:Corporate>Zelnio, EG</b:Corporate>
      </b:Editor>
    </b:Author>
    <b:Pages>176-188</b:Pages>
    <b:StandardNumber> ISBN: 0-8194-3679-8 ISSN: 0277-786X</b:StandardNumber>
    <b:ConferenceName>ALGORITHMS FOR SYNTHETIC APERTURE RADAR IMAGERY VII</b:ConferenceName>
    <b:RefOrder>5</b:RefOrder>
  </b:Source>
  <b:Source>
    <b:Year>2013</b:Year>
    <b:Volume>7</b:Volume>
    <b:BIBTEX_Entry>article</b:BIBTEX_Entry>
    <b:SourceType>JournalArticle</b:SourceType>
    <b:Title>Target detection in synthetic aperture radar imagery: a state-of-the-art survey</b:Title>
    <b:Tag>ISI:000317732500001</b:Tag>
    <b:DOI>10.1117/1.JRS.7.071598</b:DOI>
    <b:Author>
      <b:Author>
        <b:NameList>
          <b:Person>
            <b:Last>El-Darymli</b:Last>
            <b:First>Khalid</b:First>
          </b:Person>
          <b:Person>
            <b:Last>McGuire</b:Last>
            <b:First>Peter</b:First>
          </b:Person>
          <b:Person>
            <b:Last>Power</b:Last>
            <b:First>Desmond</b:First>
          </b:Person>
          <b:Person>
            <b:Last>Moloneyb</b:Last>
            <b:First>Cecilia</b:First>
          </b:Person>
        </b:NameList>
      </b:Author>
    </b:Author>
    <b:JournalName>JOURNAL OF APPLIED REMOTE SENSING</b:JournalName>
    <b:StandardNumber> ISSN: 1931-3195</b:StandardNumber>
    <b:RefOrder>6</b:RefOrder>
  </b:Source>
  <b:Source>
    <b:Year>1994</b:Year>
    <b:Volume>2230</b:Volume>
    <b:BIBTEX_Series>PROCEEDINGS OF THE SOCIETY OF PHOTO-OPTICAL INSTRUMENTATION ENGINEERS (SPIE)</b:BIBTEX_Series>
    <b:BIBTEX_Entry>inproceedings</b:BIBTEX_Entry>
    <b:Comments>Conference on Algorithms for Synthetic Aperture Radar Imagery, ORLANDO, FL, APR 06-07, 1994</b:Comments>
    <b:SourceType>ConferenceProceedings</b:SourceType>
    <b:Title>USE OF PERSISTENT SCATTERERS FOR MODEL-BASED RECOGNITION</b:Title>
    <b:Tag>ISI:A1994BA83Z00029</b:Tag>
    <b:BookTitle>ALGORITHMS FOR SYNTHETIC APERTURE RADAR IMAGERY</b:BookTitle>
    <b:DOI>10.1117/12.177192</b:DOI>
    <b:Author>
      <b:Author>
        <b:NameList>
          <b:Person>
            <b:Last>DUDGEON</b:Last>
            <b:Middle>E.</b:Middle>
            <b:First>D.</b:First>
          </b:Person>
          <b:Person>
            <b:Last>LACOSS</b:Last>
            <b:Middle>T.</b:Middle>
            <b:First>R.</b:First>
          </b:Person>
          <b:Person>
            <b:Last>LAZOTT</b:Last>
            <b:Middle>H.</b:Middle>
            <b:First>C.</b:First>
          </b:Person>
          <b:Person>
            <b:Last>VERLY</b:Last>
            <b:Middle>G.</b:Middle>
            <b:First>J.</b:First>
          </b:Person>
        </b:NameList>
      </b:Author>
      <b:Editor>
        <b:Corporate>Giglio, DA</b:Corporate>
      </b:Editor>
    </b:Author>
    <b:Pages>356-368</b:Pages>
    <b:StandardNumber> ISBN: 0-8194-1534-0</b:StandardNumber>
    <b:ConferenceName>ALGORITHMS FOR SYNTHETIC APERTURE RADAR IMAGERY</b:ConferenceName>
    <b:RefOrder>7</b:RefOrder>
  </b:Source>
  <b:Source>
    <b:Year>1999</b:Year>
    <b:Volume>3721</b:Volume>
    <b:BIBTEX_Series>PROCEEDINGS OF THE SOCIETY OF PHOTO-OPTICAL INSTRUMENTATION ENGINEERS (SPIE)</b:BIBTEX_Series>
    <b:BIBTEX_Entry>inproceedings</b:BIBTEX_Entry>
    <b:Comments>Conference on Algorithms for Synthetic Aperture Radar Imagery VI, ORLANDO, FL, APR 05-09, 1999</b:Comments>
    <b:SourceType>ConferenceProceedings</b:SourceType>
    <b:Title>ATR performance prediction using attributed scattering features</b:Title>
    <b:Tag>ISI:000082902200071</b:Tag>
    <b:BookTitle>ALGORITHMS FOR SYNTHETIC APERTURE RADAR IMAGERY VI</b:BookTitle>
    <b:DOI>10.1117/12.357693</b:DOI>
    <b:Author>
      <b:Author>
        <b:NameList>
          <b:Person>
            <b:Last>Chiang</b:Last>
            <b:Middle>C.</b:Middle>
            <b:First>H.</b:First>
          </b:Person>
          <b:Person>
            <b:Last>Moses</b:Last>
            <b:Middle>L.</b:Middle>
            <b:First>R.</b:First>
          </b:Person>
        </b:NameList>
      </b:Author>
      <b:Editor>
        <b:Corporate>Zelnio, EG</b:Corporate>
      </b:Editor>
    </b:Author>
    <b:Pages>785-796</b:Pages>
    <b:StandardNumber> ISBN: 0-8194-3195-8 ISSN: 0277-786X</b:StandardNumber>
    <b:ConferenceName>ALGORITHMS FOR SYNTHETIC APERTURE RADAR IMAGERY VI</b:ConferenceName>
    <b:RefOrder>8</b:RefOrder>
  </b:Source>
  <b:Source>
    <b:Year>2016</b:Year>
    <b:Volume>9</b:Volume>
    <b:BIBTEX_Entry>article</b:BIBTEX_Entry>
    <b:SourceType>JournalArticle</b:SourceType>
    <b:Title>Synthetic Aperture Imaging of Direction- and Frequency-Dependent Reflectivities</b:Title>
    <b:Tag>ISI:000373629500003</b:Tag>
    <b:DOI>10.1137/15M1036063</b:DOI>
    <b:Author>
      <b:Author>
        <b:NameList>
          <b:Person>
            <b:Last>Borcea</b:Last>
            <b:First>Liliana</b:First>
          </b:Person>
          <b:Person>
            <b:Last>Moscoso</b:Last>
            <b:First>Miguel</b:First>
          </b:Person>
          <b:Person>
            <b:Last>Papanicolaou</b:Last>
            <b:First>George</b:First>
          </b:Person>
          <b:Person>
            <b:Last>Tsogka</b:Last>
            <b:First>Chrysoula</b:First>
          </b:Person>
        </b:NameList>
      </b:Author>
    </b:Author>
    <b:Pages>52-81</b:Pages>
    <b:JournalName>SIAM JOURNAL ON IMAGING SCIENCES</b:JournalName>
    <b:Number>1</b:Number>
    <b:StandardNumber> ISSN: 1936-4954</b:StandardNumber>
    <b:RefOrder>9</b:RefOrder>
  </b:Source>
  <b:Source>
    <b:Tag>Kim01</b:Tag>
    <b:SourceType>Book</b:SourceType>
    <b:Guid>{BFFFE8D4-5D54-4A1D-A2A1-0E12C4F671BA}</b:Guid>
    <b:Author>
      <b:Author>
        <b:NameList>
          <b:Person>
            <b:Last>Kim</b:Last>
            <b:First>A.</b:First>
          </b:Person>
        </b:NameList>
      </b:Author>
    </b:Author>
    <b:Title>Exploring scatterer anisotrophy in synthetic aperture radar via sub-apeture analysis</b:Title>
    <b:Year>2001</b:Year>
    <b:City>Cambridge</b:City>
    <b:Publisher>Massachusetts Institute of Technology</b:Publisher>
    <b:StateProvince>MA</b:StateProvince>
    <b:RefOrder>10</b:RefOrder>
  </b:Source>
</b:Sources>
</file>

<file path=customXml/itemProps1.xml><?xml version="1.0" encoding="utf-8"?>
<ds:datastoreItem xmlns:ds="http://schemas.openxmlformats.org/officeDocument/2006/customXml" ds:itemID="{3360F2C5-9AB5-4512-8032-E53580ECBBFC}">
  <ds:schemaRefs>
    <ds:schemaRef ds:uri="http://schemas.microsoft.com/sharepoint/v3/contenttype/forms"/>
  </ds:schemaRefs>
</ds:datastoreItem>
</file>

<file path=customXml/itemProps2.xml><?xml version="1.0" encoding="utf-8"?>
<ds:datastoreItem xmlns:ds="http://schemas.openxmlformats.org/officeDocument/2006/customXml" ds:itemID="{164CD87B-9721-4719-B896-CA9A688BD665}">
  <ds:schemaRefs>
    <ds:schemaRef ds:uri="urn:us:gov:cia:enterprise:schema:Classification:2.3"/>
  </ds:schemaRefs>
</ds:datastoreItem>
</file>

<file path=customXml/itemProps3.xml><?xml version="1.0" encoding="utf-8"?>
<ds:datastoreItem xmlns:ds="http://schemas.openxmlformats.org/officeDocument/2006/customXml" ds:itemID="{D2D1579C-1A12-4F3F-927B-88AE5316EEA3}">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FC3B956-90C5-4380-9752-382F03EE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37F8EEA-643B-45AD-A6B3-D9B06427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6527</Words>
  <Characters>37206</Characters>
  <Application>Microsoft Office Word</Application>
  <DocSecurity>2</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Thomas -Tom- R Dr NGA-R USA CIV</dc:creator>
  <cp:keywords/>
  <dc:description/>
  <cp:lastModifiedBy>Garavito Daniela -Dani- NGA-OCSR USA CIV</cp:lastModifiedBy>
  <cp:revision>3</cp:revision>
  <cp:lastPrinted>2024-03-18T10:40:00Z</cp:lastPrinted>
  <dcterms:created xsi:type="dcterms:W3CDTF">2024-04-12T07:44:00Z</dcterms:created>
  <dcterms:modified xsi:type="dcterms:W3CDTF">2024-04-15T12:33:00Z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0x0101002527CD1592CB7D4587955833A47CF296</vt:lpwstr>
  </property>
  <property fmtid="{D5CDD505-2E9C-101B-9397-08002B2CF9AE}" pid="3" name="AACG_OFFICE_DLL">
    <vt:bool>true</vt:bool>
  </property>
  <property fmtid="{D5CDD505-2E9C-101B-9397-08002B2CF9AE}" pid="4" name="AACG_Created">
    <vt:bool>true</vt:bool>
  </property>
  <property fmtid="{D5CDD505-2E9C-101B-9397-08002B2CF9AE}" pid="5" name="AACG_DescMarkings">
    <vt:lpwstr/>
  </property>
  <property fmtid="{D5CDD505-2E9C-101B-9397-08002B2CF9AE}" pid="6" name="AACG_AddMark">
    <vt:lpwstr/>
  </property>
  <property fmtid="{D5CDD505-2E9C-101B-9397-08002B2CF9AE}" pid="7" name="AACG_Header">
    <vt:lpwstr>UNCLASSIFIED</vt:lpwstr>
  </property>
  <property fmtid="{D5CDD505-2E9C-101B-9397-08002B2CF9AE}" pid="8" name="AACG_Footer">
    <vt:lpwstr>_x000d_UNCLASSIFIED</vt:lpwstr>
  </property>
  <property fmtid="{D5CDD505-2E9C-101B-9397-08002B2CF9AE}" pid="9" name="AACG_ClassBlock">
    <vt:lpwstr/>
  </property>
  <property fmtid="{D5CDD505-2E9C-101B-9397-08002B2CF9AE}" pid="10" name="AACG_ClassType">
    <vt:lpwstr>USClassificationMarking</vt:lpwstr>
  </property>
  <property fmtid="{D5CDD505-2E9C-101B-9397-08002B2CF9AE}" pid="11" name="AACG_DeclOnList">
    <vt:lpwstr/>
  </property>
  <property fmtid="{D5CDD505-2E9C-101B-9397-08002B2CF9AE}" pid="12" name="AACG_USAF_Derivatives">
    <vt:lpwstr/>
  </property>
  <property fmtid="{D5CDD505-2E9C-101B-9397-08002B2CF9AE}" pid="13" name="AACG_SCI_Other">
    <vt:lpwstr/>
  </property>
  <property fmtid="{D5CDD505-2E9C-101B-9397-08002B2CF9AE}" pid="14" name="AACG_Dissem_Other">
    <vt:lpwstr/>
  </property>
  <property fmtid="{D5CDD505-2E9C-101B-9397-08002B2CF9AE}" pid="15" name="PortionWaiver">
    <vt:lpwstr/>
  </property>
  <property fmtid="{D5CDD505-2E9C-101B-9397-08002B2CF9AE}" pid="16" name="AACG_OrconOriginator">
    <vt:lpwstr/>
  </property>
  <property fmtid="{D5CDD505-2E9C-101B-9397-08002B2CF9AE}" pid="17" name="AACG_OrconRecipients">
    <vt:lpwstr/>
  </property>
  <property fmtid="{D5CDD505-2E9C-101B-9397-08002B2CF9AE}" pid="18" name="AACG_SatWarningType">
    <vt:lpwstr/>
  </property>
  <property fmtid="{D5CDD505-2E9C-101B-9397-08002B2CF9AE}" pid="19" name="AACG_NatoWarningClassLevel">
    <vt:lpwstr/>
  </property>
  <property fmtid="{D5CDD505-2E9C-101B-9397-08002B2CF9AE}" pid="20" name="AACG_Version">
    <vt:lpwstr>201810</vt:lpwstr>
  </property>
  <property fmtid="{D5CDD505-2E9C-101B-9397-08002B2CF9AE}" pid="21" name="AACG_CustomClassXMLPart">
    <vt:lpwstr>{164CD87B-9721-4719-B896-CA9A688BD665}</vt:lpwstr>
  </property>
</Properties>
</file>