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857EA" w:rsidRPr="00F857EA" w:rsidRDefault="00F857EA" w:rsidP="00F857EA">
      <w:pPr>
        <w:pStyle w:val="Default"/>
      </w:pPr>
      <w:bookmarkStart w:id="0" w:name="_Hlk72847857"/>
    </w:p>
    <w:p w14:paraId="5173249A" w14:textId="77777777" w:rsidR="00F857EA" w:rsidRPr="00F857EA" w:rsidRDefault="00F857EA" w:rsidP="00F857EA">
      <w:pPr>
        <w:pStyle w:val="Default"/>
      </w:pPr>
      <w:r w:rsidRPr="00F857EA">
        <w:rPr>
          <w:b/>
          <w:bCs/>
        </w:rPr>
        <w:t xml:space="preserve">U.S. DEPARTMENT OF STATE </w:t>
      </w:r>
    </w:p>
    <w:p w14:paraId="1A65181E" w14:textId="77777777" w:rsidR="00F857EA" w:rsidRPr="00F857EA" w:rsidRDefault="00BF1880" w:rsidP="00F857EA">
      <w:pPr>
        <w:pStyle w:val="Default"/>
      </w:pPr>
      <w:r w:rsidRPr="4C63D7E2">
        <w:rPr>
          <w:b/>
          <w:bCs/>
        </w:rPr>
        <w:t>U.S. EMBASSY TBILISI</w:t>
      </w:r>
    </w:p>
    <w:p w14:paraId="03A95D1D" w14:textId="51DB9B42" w:rsidR="4C63D7E2" w:rsidRDefault="4C63D7E2" w:rsidP="4C63D7E2">
      <w:pPr>
        <w:pStyle w:val="Default"/>
        <w:rPr>
          <w:b/>
          <w:bCs/>
        </w:rPr>
      </w:pPr>
    </w:p>
    <w:p w14:paraId="0A37501D" w14:textId="77777777" w:rsidR="00F857EA" w:rsidRDefault="00F857EA" w:rsidP="00F857EA">
      <w:pPr>
        <w:pStyle w:val="Default"/>
      </w:pPr>
    </w:p>
    <w:p w14:paraId="1F400C59" w14:textId="77777777" w:rsidR="00D13819" w:rsidRPr="00D13819" w:rsidRDefault="00D13819" w:rsidP="00F857EA">
      <w:pPr>
        <w:pStyle w:val="Default"/>
        <w:rPr>
          <w:b/>
        </w:rPr>
      </w:pPr>
      <w:r w:rsidRPr="00D13819">
        <w:rPr>
          <w:b/>
        </w:rPr>
        <w:t>NOTICE OF FUNDING OPPORTUNITY</w:t>
      </w:r>
    </w:p>
    <w:p w14:paraId="5DAB6C7B" w14:textId="77777777" w:rsidR="00F857EA" w:rsidRDefault="00F857EA" w:rsidP="00F857EA">
      <w:pPr>
        <w:pStyle w:val="Default"/>
        <w:rPr>
          <w:b/>
          <w:bCs/>
        </w:rPr>
      </w:pPr>
    </w:p>
    <w:p w14:paraId="2639E5D0" w14:textId="7D637502" w:rsidR="00F857EA" w:rsidRPr="00737038" w:rsidRDefault="00F857EA" w:rsidP="326A04AD">
      <w:pPr>
        <w:pStyle w:val="Default"/>
      </w:pPr>
      <w:bookmarkStart w:id="1" w:name="_Hlk71910253"/>
      <w:r w:rsidRPr="4C63D7E2">
        <w:rPr>
          <w:b/>
          <w:bCs/>
        </w:rPr>
        <w:t xml:space="preserve">Funding Opportunity Title: </w:t>
      </w:r>
      <w:r w:rsidR="212E2E4A" w:rsidRPr="00737038">
        <w:t xml:space="preserve">University </w:t>
      </w:r>
      <w:r w:rsidR="008929ED">
        <w:t>Research Program (University Capacity Building Program, UCBP)</w:t>
      </w:r>
    </w:p>
    <w:p w14:paraId="59656012" w14:textId="0DA992EC" w:rsidR="00F857EA" w:rsidRPr="00F857EA" w:rsidRDefault="00F857EA" w:rsidP="55B01706">
      <w:pPr>
        <w:pStyle w:val="Default"/>
      </w:pPr>
      <w:r w:rsidRPr="4C63D7E2">
        <w:rPr>
          <w:b/>
          <w:bCs/>
        </w:rPr>
        <w:t xml:space="preserve">Funding Opportunity Number </w:t>
      </w:r>
      <w:r w:rsidR="386FBAAF">
        <w:t>DOS-GEO-21-00</w:t>
      </w:r>
      <w:r w:rsidR="00B22118">
        <w:t>7</w:t>
      </w:r>
      <w:r w:rsidR="386FBAAF">
        <w:t>-0</w:t>
      </w:r>
      <w:r w:rsidR="00B22118">
        <w:t>5</w:t>
      </w:r>
      <w:r w:rsidR="00696443">
        <w:t>25</w:t>
      </w:r>
      <w:r w:rsidR="00890E7E">
        <w:t>21</w:t>
      </w:r>
    </w:p>
    <w:p w14:paraId="52A04AE0" w14:textId="5AD71294" w:rsidR="00F857EA" w:rsidRPr="00F857EA" w:rsidRDefault="00F857EA" w:rsidP="326A04AD">
      <w:pPr>
        <w:pStyle w:val="Default"/>
      </w:pPr>
      <w:r w:rsidRPr="716D6F00">
        <w:rPr>
          <w:b/>
          <w:bCs/>
        </w:rPr>
        <w:t>Deadline for Applications</w:t>
      </w:r>
      <w:r w:rsidRPr="716D6F00">
        <w:t xml:space="preserve">: </w:t>
      </w:r>
      <w:r w:rsidR="00BF1880" w:rsidRPr="716D6F00">
        <w:t>0</w:t>
      </w:r>
      <w:r w:rsidR="005C26E4">
        <w:t>7</w:t>
      </w:r>
      <w:r w:rsidR="00BF1880" w:rsidRPr="716D6F00">
        <w:t>/</w:t>
      </w:r>
      <w:r w:rsidR="005C26E4">
        <w:t>30</w:t>
      </w:r>
      <w:r w:rsidRPr="716D6F00">
        <w:t>/202</w:t>
      </w:r>
      <w:r w:rsidR="00DC0F62">
        <w:t>1</w:t>
      </w:r>
    </w:p>
    <w:p w14:paraId="64B83A3D" w14:textId="6C69C647" w:rsidR="72D94A78" w:rsidRDefault="72D94A78" w:rsidP="716D6F00">
      <w:pPr>
        <w:spacing w:after="200" w:line="240" w:lineRule="auto"/>
        <w:rPr>
          <w:rFonts w:ascii="Times New Roman" w:eastAsia="Times New Roman" w:hAnsi="Times New Roman" w:cs="Times New Roman"/>
          <w:color w:val="000000" w:themeColor="text1"/>
          <w:sz w:val="24"/>
          <w:szCs w:val="24"/>
        </w:rPr>
      </w:pPr>
      <w:r w:rsidRPr="716D6F00">
        <w:rPr>
          <w:rFonts w:ascii="Times New Roman" w:eastAsia="Times New Roman" w:hAnsi="Times New Roman" w:cs="Times New Roman"/>
          <w:b/>
          <w:bCs/>
          <w:color w:val="000000" w:themeColor="text1"/>
          <w:sz w:val="24"/>
          <w:szCs w:val="24"/>
        </w:rPr>
        <w:t>Assistance Listing Number: </w:t>
      </w:r>
      <w:r w:rsidRPr="716D6F00">
        <w:rPr>
          <w:rFonts w:ascii="Times New Roman" w:eastAsia="Times New Roman" w:hAnsi="Times New Roman" w:cs="Times New Roman"/>
          <w:color w:val="000000" w:themeColor="text1"/>
          <w:sz w:val="24"/>
          <w:szCs w:val="24"/>
        </w:rPr>
        <w:t>19.900 -- AEECA/ESF PD Programs</w:t>
      </w:r>
    </w:p>
    <w:bookmarkEnd w:id="1"/>
    <w:p w14:paraId="0BF1562E" w14:textId="04CC09F8" w:rsidR="00F857EA" w:rsidRPr="00F857EA" w:rsidRDefault="00F857EA" w:rsidP="326A04AD">
      <w:pPr>
        <w:pStyle w:val="Default"/>
      </w:pPr>
      <w:r w:rsidRPr="715EAC3B">
        <w:rPr>
          <w:b/>
          <w:bCs/>
        </w:rPr>
        <w:t xml:space="preserve">Total Amount Available: </w:t>
      </w:r>
      <w:r>
        <w:t>$</w:t>
      </w:r>
      <w:r w:rsidR="005C26E4">
        <w:t>200</w:t>
      </w:r>
      <w:r>
        <w:t xml:space="preserve">,000 </w:t>
      </w:r>
    </w:p>
    <w:p w14:paraId="4307C5C7" w14:textId="609DBC05" w:rsidR="55B01706" w:rsidRDefault="55B01706" w:rsidP="55B01706">
      <w:pPr>
        <w:pStyle w:val="Default"/>
        <w:rPr>
          <w:b/>
          <w:bCs/>
        </w:rPr>
      </w:pPr>
    </w:p>
    <w:p w14:paraId="452DE2D3" w14:textId="415F6BA9" w:rsidR="00447A93" w:rsidRDefault="00F857EA" w:rsidP="00F857EA">
      <w:pPr>
        <w:pStyle w:val="Default"/>
        <w:rPr>
          <w:b/>
          <w:bCs/>
          <w:u w:val="single"/>
        </w:rPr>
      </w:pPr>
      <w:r w:rsidRPr="4C63D7E2">
        <w:rPr>
          <w:b/>
          <w:bCs/>
          <w:u w:val="single"/>
        </w:rPr>
        <w:t xml:space="preserve">A. PROGRAM DESCRIPTION </w:t>
      </w:r>
    </w:p>
    <w:p w14:paraId="3DFCD40B" w14:textId="7081F4A7" w:rsidR="4C63D7E2" w:rsidRDefault="4C63D7E2" w:rsidP="4C63D7E2">
      <w:pPr>
        <w:pStyle w:val="Default"/>
        <w:rPr>
          <w:b/>
          <w:bCs/>
          <w:u w:val="single"/>
        </w:rPr>
      </w:pPr>
    </w:p>
    <w:p w14:paraId="66AA1E82" w14:textId="55FFB672" w:rsidR="008E7AFA" w:rsidRPr="006B6675" w:rsidRDefault="2A104D46" w:rsidP="2A104D46">
      <w:pPr>
        <w:jc w:val="both"/>
        <w:rPr>
          <w:rFonts w:ascii="Times New Roman" w:hAnsi="Times New Roman" w:cs="Times New Roman"/>
          <w:sz w:val="24"/>
          <w:szCs w:val="24"/>
        </w:rPr>
      </w:pPr>
      <w:r w:rsidRPr="2A104D46">
        <w:rPr>
          <w:rFonts w:ascii="Times New Roman" w:hAnsi="Times New Roman" w:cs="Times New Roman"/>
          <w:sz w:val="24"/>
          <w:szCs w:val="24"/>
        </w:rPr>
        <w:t xml:space="preserve">The Public Affairs Section (PAS) of the U.S. Embassy in Tbilisi, Georgia, is pleased to announce an open competition for a University Capacity Building Program (UCBP). U.S. non-profit, non-governmental organizations and accredited American higher education institutions may submit proposals to manage a 12-to-18-month professional development program for Georgian university administrators, </w:t>
      </w:r>
      <w:proofErr w:type="gramStart"/>
      <w:r w:rsidRPr="2A104D46">
        <w:rPr>
          <w:rFonts w:ascii="Times New Roman" w:hAnsi="Times New Roman" w:cs="Times New Roman"/>
          <w:sz w:val="24"/>
          <w:szCs w:val="24"/>
        </w:rPr>
        <w:t>development</w:t>
      </w:r>
      <w:proofErr w:type="gramEnd"/>
      <w:r w:rsidRPr="2A104D46">
        <w:rPr>
          <w:rFonts w:ascii="Times New Roman" w:hAnsi="Times New Roman" w:cs="Times New Roman"/>
          <w:sz w:val="24"/>
          <w:szCs w:val="24"/>
        </w:rPr>
        <w:t xml:space="preserve"> and grant officers, as well as higher education decision-makers/government officials responsible for the Knowledge Exchange (KE) and university-business-government triangle. The aim of the project is to better leverage and integrate the various missions – education, </w:t>
      </w:r>
      <w:proofErr w:type="gramStart"/>
      <w:r w:rsidRPr="2A104D46">
        <w:rPr>
          <w:rFonts w:ascii="Times New Roman" w:hAnsi="Times New Roman" w:cs="Times New Roman"/>
          <w:sz w:val="24"/>
          <w:szCs w:val="24"/>
        </w:rPr>
        <w:t>research</w:t>
      </w:r>
      <w:proofErr w:type="gramEnd"/>
      <w:r w:rsidRPr="2A104D46">
        <w:rPr>
          <w:rFonts w:ascii="Times New Roman" w:hAnsi="Times New Roman" w:cs="Times New Roman"/>
          <w:sz w:val="24"/>
          <w:szCs w:val="24"/>
        </w:rPr>
        <w:t xml:space="preserve"> and engagement – in order to increase the contribution of higher education research institutions to promote innovation and economic growth. Proposals should feature a robust professional study tour to a variety of universities and/ or other organizations in the United States that support knowledge transfer between higher education and business/government.  Participants also should be exposed to the work of governmental entities such as the </w:t>
      </w:r>
      <w:r w:rsidR="00633475">
        <w:rPr>
          <w:rFonts w:ascii="Times New Roman" w:hAnsi="Times New Roman" w:cs="Times New Roman"/>
          <w:sz w:val="24"/>
          <w:szCs w:val="24"/>
        </w:rPr>
        <w:t>National Science Foundation</w:t>
      </w:r>
      <w:r w:rsidRPr="2A104D46">
        <w:rPr>
          <w:rFonts w:ascii="Times New Roman" w:hAnsi="Times New Roman" w:cs="Times New Roman"/>
          <w:sz w:val="24"/>
          <w:szCs w:val="24"/>
        </w:rPr>
        <w:t xml:space="preserve"> and higher education advocacy organizations through site visits and demonstrations of successful programs.</w:t>
      </w:r>
    </w:p>
    <w:p w14:paraId="4FA05B7C" w14:textId="115F5FBF" w:rsidR="00CB1FA4" w:rsidRPr="0068385F" w:rsidRDefault="00AC230E" w:rsidP="2A104D46">
      <w:pPr>
        <w:jc w:val="both"/>
        <w:rPr>
          <w:rFonts w:ascii="Times New Roman" w:hAnsi="Times New Roman" w:cs="Times New Roman"/>
          <w:i/>
          <w:iCs/>
          <w:sz w:val="24"/>
          <w:szCs w:val="24"/>
        </w:rPr>
      </w:pPr>
      <w:r>
        <w:rPr>
          <w:rFonts w:ascii="Times New Roman" w:hAnsi="Times New Roman" w:cs="Times New Roman"/>
          <w:sz w:val="24"/>
          <w:szCs w:val="24"/>
        </w:rPr>
        <w:t>The UCBP a</w:t>
      </w:r>
      <w:r w:rsidRPr="00C97DB9">
        <w:rPr>
          <w:rFonts w:ascii="Times New Roman" w:hAnsi="Times New Roman" w:cs="Times New Roman"/>
          <w:sz w:val="24"/>
          <w:szCs w:val="24"/>
        </w:rPr>
        <w:t xml:space="preserve">ims </w:t>
      </w:r>
      <w:r>
        <w:rPr>
          <w:rFonts w:ascii="Times New Roman" w:hAnsi="Times New Roman" w:cs="Times New Roman"/>
          <w:sz w:val="24"/>
          <w:szCs w:val="24"/>
        </w:rPr>
        <w:t xml:space="preserve">to </w:t>
      </w:r>
      <w:r w:rsidRPr="00C97DB9">
        <w:rPr>
          <w:rFonts w:ascii="Times New Roman" w:hAnsi="Times New Roman" w:cs="Times New Roman"/>
          <w:sz w:val="24"/>
          <w:szCs w:val="24"/>
        </w:rPr>
        <w:t>improv</w:t>
      </w:r>
      <w:r>
        <w:rPr>
          <w:rFonts w:ascii="Times New Roman" w:hAnsi="Times New Roman" w:cs="Times New Roman"/>
          <w:sz w:val="24"/>
          <w:szCs w:val="24"/>
        </w:rPr>
        <w:t xml:space="preserve">e </w:t>
      </w:r>
      <w:r w:rsidRPr="00C97DB9">
        <w:rPr>
          <w:rFonts w:ascii="Times New Roman" w:hAnsi="Times New Roman" w:cs="Times New Roman"/>
          <w:sz w:val="24"/>
          <w:szCs w:val="24"/>
        </w:rPr>
        <w:t>the entrepreneurial capacity of Georgian higher education institutions (HEIs)</w:t>
      </w:r>
      <w:r>
        <w:rPr>
          <w:rFonts w:ascii="Times New Roman" w:hAnsi="Times New Roman" w:cs="Times New Roman"/>
          <w:sz w:val="24"/>
          <w:szCs w:val="24"/>
        </w:rPr>
        <w:t xml:space="preserve"> by strengthening strategic skills and overall knowledge of university administrators and </w:t>
      </w:r>
      <w:r w:rsidR="00197F2D">
        <w:rPr>
          <w:rFonts w:ascii="Times New Roman" w:hAnsi="Times New Roman" w:cs="Times New Roman"/>
          <w:sz w:val="24"/>
          <w:szCs w:val="24"/>
        </w:rPr>
        <w:t xml:space="preserve">research </w:t>
      </w:r>
      <w:r>
        <w:rPr>
          <w:rFonts w:ascii="Times New Roman" w:hAnsi="Times New Roman" w:cs="Times New Roman"/>
          <w:sz w:val="24"/>
          <w:szCs w:val="24"/>
        </w:rPr>
        <w:t>development officers. I</w:t>
      </w:r>
      <w:r w:rsidRPr="00C97DB9">
        <w:rPr>
          <w:rFonts w:ascii="Times New Roman" w:hAnsi="Times New Roman" w:cs="Times New Roman"/>
          <w:sz w:val="24"/>
          <w:szCs w:val="24"/>
        </w:rPr>
        <w:t xml:space="preserve">n </w:t>
      </w:r>
      <w:r>
        <w:rPr>
          <w:rFonts w:ascii="Times New Roman" w:hAnsi="Times New Roman" w:cs="Times New Roman"/>
          <w:sz w:val="24"/>
          <w:szCs w:val="24"/>
        </w:rPr>
        <w:t xml:space="preserve">the “knowledge triangle” </w:t>
      </w:r>
      <w:r w:rsidRPr="00C97DB9">
        <w:rPr>
          <w:rFonts w:ascii="Times New Roman" w:hAnsi="Times New Roman" w:cs="Times New Roman"/>
          <w:sz w:val="24"/>
          <w:szCs w:val="24"/>
        </w:rPr>
        <w:t xml:space="preserve">between government, academia, and the private sector, </w:t>
      </w:r>
      <w:r>
        <w:rPr>
          <w:rFonts w:ascii="Times New Roman" w:hAnsi="Times New Roman" w:cs="Times New Roman"/>
          <w:sz w:val="24"/>
          <w:szCs w:val="24"/>
        </w:rPr>
        <w:t xml:space="preserve">Georgian </w:t>
      </w:r>
      <w:r w:rsidRPr="00C97DB9">
        <w:rPr>
          <w:rFonts w:ascii="Times New Roman" w:hAnsi="Times New Roman" w:cs="Times New Roman"/>
          <w:sz w:val="24"/>
          <w:szCs w:val="24"/>
        </w:rPr>
        <w:t>HEIs seem to be the weak link</w:t>
      </w:r>
      <w:r>
        <w:rPr>
          <w:rFonts w:ascii="Times New Roman" w:hAnsi="Times New Roman" w:cs="Times New Roman"/>
          <w:sz w:val="24"/>
          <w:szCs w:val="24"/>
        </w:rPr>
        <w:t xml:space="preserve">. Georgian universities produce </w:t>
      </w:r>
      <w:r w:rsidRPr="00C97DB9">
        <w:rPr>
          <w:rFonts w:ascii="Times New Roman" w:hAnsi="Times New Roman" w:cs="Times New Roman"/>
          <w:sz w:val="24"/>
          <w:szCs w:val="24"/>
        </w:rPr>
        <w:t xml:space="preserve">graduates </w:t>
      </w:r>
      <w:r>
        <w:rPr>
          <w:rFonts w:ascii="Times New Roman" w:hAnsi="Times New Roman" w:cs="Times New Roman"/>
          <w:sz w:val="24"/>
          <w:szCs w:val="24"/>
        </w:rPr>
        <w:t xml:space="preserve">in academic </w:t>
      </w:r>
      <w:r w:rsidRPr="0068385F">
        <w:rPr>
          <w:rFonts w:ascii="Times New Roman" w:hAnsi="Times New Roman" w:cs="Times New Roman"/>
          <w:sz w:val="24"/>
          <w:szCs w:val="24"/>
        </w:rPr>
        <w:t>programs that are disconnected to market demands. The UCBP will invest in HEIs to</w:t>
      </w:r>
      <w:r w:rsidR="00F94168" w:rsidRPr="2A104D46">
        <w:rPr>
          <w:rFonts w:ascii="Times New Roman" w:hAnsi="Times New Roman" w:cs="Times New Roman"/>
          <w:sz w:val="24"/>
          <w:szCs w:val="24"/>
        </w:rPr>
        <w:t xml:space="preserve"> </w:t>
      </w:r>
      <w:r w:rsidR="2A104D46" w:rsidRPr="2A104D46">
        <w:rPr>
          <w:rFonts w:ascii="Times New Roman" w:hAnsi="Times New Roman" w:cs="Times New Roman"/>
          <w:sz w:val="24"/>
          <w:szCs w:val="24"/>
        </w:rPr>
        <w:t xml:space="preserve">improve the </w:t>
      </w:r>
      <w:r w:rsidR="0060014F" w:rsidRPr="2A104D46">
        <w:rPr>
          <w:rFonts w:ascii="Times New Roman" w:hAnsi="Times New Roman" w:cs="Times New Roman"/>
          <w:sz w:val="24"/>
          <w:szCs w:val="24"/>
        </w:rPr>
        <w:t>university</w:t>
      </w:r>
      <w:r w:rsidR="0098337D" w:rsidRPr="2A104D46">
        <w:rPr>
          <w:rFonts w:ascii="Times New Roman" w:hAnsi="Times New Roman" w:cs="Times New Roman"/>
          <w:sz w:val="24"/>
          <w:szCs w:val="24"/>
        </w:rPr>
        <w:t xml:space="preserve"> </w:t>
      </w:r>
      <w:r w:rsidR="0060014F" w:rsidRPr="2A104D46">
        <w:rPr>
          <w:rFonts w:ascii="Times New Roman" w:hAnsi="Times New Roman" w:cs="Times New Roman"/>
          <w:sz w:val="24"/>
          <w:szCs w:val="24"/>
        </w:rPr>
        <w:t xml:space="preserve">organizational environment </w:t>
      </w:r>
      <w:r w:rsidR="0039492C" w:rsidRPr="2A104D46">
        <w:rPr>
          <w:rFonts w:ascii="Times New Roman" w:hAnsi="Times New Roman" w:cs="Times New Roman"/>
          <w:sz w:val="24"/>
          <w:szCs w:val="24"/>
        </w:rPr>
        <w:t xml:space="preserve">and support effective </w:t>
      </w:r>
      <w:r w:rsidR="00A007F4" w:rsidRPr="2A104D46">
        <w:rPr>
          <w:rFonts w:ascii="Times New Roman" w:hAnsi="Times New Roman" w:cs="Times New Roman"/>
          <w:sz w:val="24"/>
          <w:szCs w:val="24"/>
        </w:rPr>
        <w:t>operation of research development offices.</w:t>
      </w:r>
      <w:r w:rsidR="007F2F80" w:rsidRPr="2A104D46">
        <w:rPr>
          <w:rFonts w:ascii="Times New Roman" w:hAnsi="Times New Roman" w:cs="Times New Roman"/>
          <w:sz w:val="24"/>
          <w:szCs w:val="24"/>
        </w:rPr>
        <w:t xml:space="preserve"> </w:t>
      </w:r>
      <w:r w:rsidR="00B479D9" w:rsidRPr="2A104D46">
        <w:rPr>
          <w:rFonts w:ascii="Times New Roman" w:hAnsi="Times New Roman" w:cs="Times New Roman"/>
          <w:sz w:val="24"/>
          <w:szCs w:val="24"/>
        </w:rPr>
        <w:t>By supporting</w:t>
      </w:r>
      <w:r w:rsidR="00514699" w:rsidRPr="00696443">
        <w:rPr>
          <w:rStyle w:val="Emphasis"/>
          <w:rFonts w:ascii="Times New Roman" w:hAnsi="Times New Roman" w:cs="Times New Roman"/>
          <w:i w:val="0"/>
          <w:iCs w:val="0"/>
          <w:sz w:val="24"/>
          <w:szCs w:val="24"/>
          <w:shd w:val="clear" w:color="auto" w:fill="FFFFFF"/>
        </w:rPr>
        <w:t xml:space="preserve"> </w:t>
      </w:r>
      <w:r w:rsidR="004F0AD2" w:rsidRPr="00696443">
        <w:rPr>
          <w:rStyle w:val="Emphasis"/>
          <w:rFonts w:ascii="Times New Roman" w:hAnsi="Times New Roman" w:cs="Times New Roman"/>
          <w:i w:val="0"/>
          <w:iCs w:val="0"/>
          <w:sz w:val="24"/>
          <w:szCs w:val="24"/>
          <w:shd w:val="clear" w:color="auto" w:fill="FFFFFF"/>
        </w:rPr>
        <w:t>grant programs</w:t>
      </w:r>
      <w:r w:rsidR="004200C5" w:rsidRPr="00696443">
        <w:rPr>
          <w:rStyle w:val="Emphasis"/>
          <w:rFonts w:ascii="Times New Roman" w:hAnsi="Times New Roman" w:cs="Times New Roman"/>
          <w:i w:val="0"/>
          <w:iCs w:val="0"/>
          <w:sz w:val="24"/>
          <w:szCs w:val="24"/>
          <w:shd w:val="clear" w:color="auto" w:fill="FFFFFF"/>
        </w:rPr>
        <w:t xml:space="preserve"> and university </w:t>
      </w:r>
      <w:r w:rsidR="004F0AD2" w:rsidRPr="00696443">
        <w:rPr>
          <w:rStyle w:val="Emphasis"/>
          <w:rFonts w:ascii="Times New Roman" w:hAnsi="Times New Roman" w:cs="Times New Roman"/>
          <w:i w:val="0"/>
          <w:iCs w:val="0"/>
          <w:sz w:val="24"/>
          <w:szCs w:val="24"/>
          <w:shd w:val="clear" w:color="auto" w:fill="FFFFFF"/>
        </w:rPr>
        <w:t>grant team project management</w:t>
      </w:r>
      <w:r w:rsidR="00483330" w:rsidRPr="00696443">
        <w:rPr>
          <w:rStyle w:val="Emphasis"/>
          <w:rFonts w:ascii="Times New Roman" w:hAnsi="Times New Roman" w:cs="Times New Roman"/>
          <w:i w:val="0"/>
          <w:iCs w:val="0"/>
          <w:sz w:val="24"/>
          <w:szCs w:val="24"/>
          <w:shd w:val="clear" w:color="auto" w:fill="FFFFFF"/>
        </w:rPr>
        <w:t xml:space="preserve">, </w:t>
      </w:r>
      <w:r w:rsidR="004807AA" w:rsidRPr="00696443">
        <w:rPr>
          <w:rStyle w:val="Emphasis"/>
          <w:rFonts w:ascii="Times New Roman" w:hAnsi="Times New Roman" w:cs="Times New Roman"/>
          <w:i w:val="0"/>
          <w:iCs w:val="0"/>
          <w:sz w:val="24"/>
          <w:szCs w:val="24"/>
          <w:shd w:val="clear" w:color="auto" w:fill="FFFFFF"/>
        </w:rPr>
        <w:t xml:space="preserve">the </w:t>
      </w:r>
      <w:r w:rsidR="00CB1FA4" w:rsidRPr="00696443">
        <w:rPr>
          <w:rStyle w:val="Emphasis"/>
          <w:rFonts w:ascii="Times New Roman" w:hAnsi="Times New Roman" w:cs="Times New Roman"/>
          <w:i w:val="0"/>
          <w:iCs w:val="0"/>
          <w:sz w:val="24"/>
          <w:szCs w:val="24"/>
          <w:shd w:val="clear" w:color="auto" w:fill="FFFFFF"/>
        </w:rPr>
        <w:t xml:space="preserve">program will help to ensure that the research development function in universities does improve grant funding success </w:t>
      </w:r>
      <w:proofErr w:type="gramStart"/>
      <w:r w:rsidR="00CB1FA4" w:rsidRPr="00696443">
        <w:rPr>
          <w:rStyle w:val="Emphasis"/>
          <w:rFonts w:ascii="Times New Roman" w:hAnsi="Times New Roman" w:cs="Times New Roman"/>
          <w:i w:val="0"/>
          <w:iCs w:val="0"/>
          <w:sz w:val="24"/>
          <w:szCs w:val="24"/>
          <w:shd w:val="clear" w:color="auto" w:fill="FFFFFF"/>
        </w:rPr>
        <w:t>an</w:t>
      </w:r>
      <w:r w:rsidR="00F42329" w:rsidRPr="00696443">
        <w:rPr>
          <w:rStyle w:val="Emphasis"/>
          <w:rFonts w:ascii="Times New Roman" w:hAnsi="Times New Roman" w:cs="Times New Roman"/>
          <w:i w:val="0"/>
          <w:iCs w:val="0"/>
          <w:sz w:val="24"/>
          <w:szCs w:val="24"/>
          <w:shd w:val="clear" w:color="auto" w:fill="FFFFFF"/>
        </w:rPr>
        <w:t>d</w:t>
      </w:r>
      <w:r w:rsidR="009E76A1" w:rsidRPr="00696443">
        <w:rPr>
          <w:rStyle w:val="Emphasis"/>
          <w:rFonts w:ascii="Times New Roman" w:hAnsi="Times New Roman" w:cs="Times New Roman"/>
          <w:i w:val="0"/>
          <w:iCs w:val="0"/>
          <w:sz w:val="24"/>
          <w:szCs w:val="24"/>
          <w:shd w:val="clear" w:color="auto" w:fill="FFFFFF"/>
        </w:rPr>
        <w:t xml:space="preserve"> </w:t>
      </w:r>
      <w:r w:rsidR="00CB1FA4" w:rsidRPr="00696443">
        <w:rPr>
          <w:rStyle w:val="Emphasis"/>
          <w:rFonts w:ascii="Times New Roman" w:hAnsi="Times New Roman" w:cs="Times New Roman"/>
          <w:i w:val="0"/>
          <w:iCs w:val="0"/>
          <w:sz w:val="24"/>
          <w:szCs w:val="24"/>
          <w:shd w:val="clear" w:color="auto" w:fill="FFFFFF"/>
        </w:rPr>
        <w:t>also</w:t>
      </w:r>
      <w:proofErr w:type="gramEnd"/>
      <w:r w:rsidR="00CB1FA4" w:rsidRPr="00696443">
        <w:rPr>
          <w:rStyle w:val="Emphasis"/>
          <w:rFonts w:ascii="Times New Roman" w:hAnsi="Times New Roman" w:cs="Times New Roman"/>
          <w:i w:val="0"/>
          <w:iCs w:val="0"/>
          <w:sz w:val="24"/>
          <w:szCs w:val="24"/>
          <w:shd w:val="clear" w:color="auto" w:fill="FFFFFF"/>
        </w:rPr>
        <w:t xml:space="preserve"> helps universities achieve their research goals.</w:t>
      </w:r>
      <w:r w:rsidR="0078645F" w:rsidRPr="00696443">
        <w:rPr>
          <w:rStyle w:val="Emphasis"/>
          <w:rFonts w:ascii="Times New Roman" w:hAnsi="Times New Roman" w:cs="Times New Roman"/>
          <w:i w:val="0"/>
          <w:iCs w:val="0"/>
          <w:sz w:val="24"/>
          <w:szCs w:val="24"/>
          <w:shd w:val="clear" w:color="auto" w:fill="FFFFFF"/>
        </w:rPr>
        <w:t xml:space="preserve"> </w:t>
      </w:r>
      <w:r w:rsidR="2A104D46" w:rsidRPr="00696443">
        <w:rPr>
          <w:rStyle w:val="Emphasis"/>
          <w:rFonts w:ascii="Times New Roman" w:hAnsi="Times New Roman" w:cs="Times New Roman"/>
          <w:i w:val="0"/>
          <w:iCs w:val="0"/>
          <w:sz w:val="24"/>
          <w:szCs w:val="24"/>
        </w:rPr>
        <w:t>The p</w:t>
      </w:r>
      <w:r w:rsidR="0010689C" w:rsidRPr="00696443">
        <w:rPr>
          <w:rStyle w:val="Emphasis"/>
          <w:rFonts w:ascii="Times New Roman" w:hAnsi="Times New Roman" w:cs="Times New Roman"/>
          <w:i w:val="0"/>
          <w:iCs w:val="0"/>
          <w:sz w:val="24"/>
          <w:szCs w:val="24"/>
          <w:shd w:val="clear" w:color="auto" w:fill="FFFFFF"/>
        </w:rPr>
        <w:t xml:space="preserve">roposed study tour will assist university leaders in learning how to optimize </w:t>
      </w:r>
      <w:r w:rsidR="2A104D46" w:rsidRPr="00696443">
        <w:rPr>
          <w:rStyle w:val="Emphasis"/>
          <w:rFonts w:ascii="Times New Roman" w:hAnsi="Times New Roman" w:cs="Times New Roman"/>
          <w:i w:val="0"/>
          <w:iCs w:val="0"/>
          <w:sz w:val="24"/>
          <w:szCs w:val="24"/>
        </w:rPr>
        <w:t xml:space="preserve">best </w:t>
      </w:r>
      <w:r w:rsidR="0010689C" w:rsidRPr="00696443">
        <w:rPr>
          <w:rStyle w:val="Emphasis"/>
          <w:rFonts w:ascii="Times New Roman" w:hAnsi="Times New Roman" w:cs="Times New Roman"/>
          <w:i w:val="0"/>
          <w:iCs w:val="0"/>
          <w:sz w:val="24"/>
          <w:szCs w:val="24"/>
          <w:shd w:val="clear" w:color="auto" w:fill="FFFFFF"/>
        </w:rPr>
        <w:t xml:space="preserve">practices and organizational structures to cope with the pressures of external forces like limited funding and increased demand for research in the competitive higher education marketplace. </w:t>
      </w:r>
    </w:p>
    <w:p w14:paraId="5C8A9A27" w14:textId="0C6CFCD3" w:rsidR="008E7AFA" w:rsidRDefault="2A104D46" w:rsidP="008E7AFA">
      <w:pPr>
        <w:jc w:val="both"/>
        <w:rPr>
          <w:rFonts w:ascii="Times New Roman" w:hAnsi="Times New Roman" w:cs="Times New Roman"/>
          <w:sz w:val="24"/>
          <w:szCs w:val="24"/>
        </w:rPr>
      </w:pPr>
      <w:r w:rsidRPr="2A104D46">
        <w:rPr>
          <w:rFonts w:ascii="Times New Roman" w:hAnsi="Times New Roman" w:cs="Times New Roman"/>
          <w:sz w:val="24"/>
          <w:szCs w:val="24"/>
        </w:rPr>
        <w:lastRenderedPageBreak/>
        <w:t xml:space="preserve">The program seeks to foster an entrepreneurial culture in academia that links practical research output to industry development, for example, by directing governmental funding to market-oriented research and creating clear infrastructure and pathways to commercialize research. The successful proposal shall foster capacity building of university administrators and research development officers with the purpose to help put the “knowledge triangle” in the center of the government-business-academia relationship and establish an entrepreneurial climate among HEIs in Georgia. </w:t>
      </w:r>
    </w:p>
    <w:p w14:paraId="7AE3BBD8" w14:textId="47018394" w:rsidR="00C343E1" w:rsidRDefault="2A104D46" w:rsidP="00460914">
      <w:pPr>
        <w:pStyle w:val="CommentText"/>
        <w:rPr>
          <w:rFonts w:ascii="Times New Roman" w:hAnsi="Times New Roman" w:cs="Times New Roman"/>
          <w:sz w:val="24"/>
          <w:szCs w:val="24"/>
        </w:rPr>
      </w:pPr>
      <w:r w:rsidRPr="2A104D46">
        <w:rPr>
          <w:rFonts w:ascii="Times New Roman" w:hAnsi="Times New Roman" w:cs="Times New Roman"/>
          <w:sz w:val="24"/>
          <w:szCs w:val="24"/>
        </w:rPr>
        <w:t>The grant recipient will work closely with PAS throughout the grant period to identify appropriate Georgian participants. The project will award $200,000 to defray the costs of a two-week intensive study tour to the United States for up to 12 education administrators, education decision makers, and/ or those responsible for managing grants.  The project should also touch on follow up sustainability measures for the participants to apply gained knowledge at their home institutions.</w:t>
      </w:r>
      <w:r w:rsidR="00696443">
        <w:rPr>
          <w:rFonts w:ascii="Times New Roman" w:hAnsi="Times New Roman" w:cs="Times New Roman"/>
          <w:sz w:val="24"/>
          <w:szCs w:val="24"/>
        </w:rPr>
        <w:t xml:space="preserve"> Micro fund that will be </w:t>
      </w:r>
      <w:r w:rsidR="005E6FBD">
        <w:rPr>
          <w:rFonts w:ascii="Times New Roman" w:hAnsi="Times New Roman" w:cs="Times New Roman"/>
          <w:sz w:val="24"/>
          <w:szCs w:val="24"/>
        </w:rPr>
        <w:t>allocated within</w:t>
      </w:r>
      <w:r w:rsidR="00696443">
        <w:rPr>
          <w:rFonts w:ascii="Times New Roman" w:hAnsi="Times New Roman" w:cs="Times New Roman"/>
          <w:sz w:val="24"/>
          <w:szCs w:val="24"/>
        </w:rPr>
        <w:t xml:space="preserve"> the award as part of sustainability measures for participants should enable program beneficiaries to produce desired outputs. </w:t>
      </w:r>
      <w:r w:rsidRPr="2A104D46">
        <w:rPr>
          <w:rFonts w:ascii="Times New Roman" w:hAnsi="Times New Roman" w:cs="Times New Roman"/>
          <w:sz w:val="24"/>
          <w:szCs w:val="24"/>
        </w:rPr>
        <w:t xml:space="preserve">The award will also sponsor reciprocal visits of American experts to Georgia to support the project implementation by providing a series of workshops on research development, grant writing, project management, etc.  Applicants should include provisions for non-English speaking participants and secure international travel insurance for the duration of the study tour. </w:t>
      </w:r>
    </w:p>
    <w:p w14:paraId="74C6CD3D" w14:textId="77777777" w:rsidR="00DF7DE3" w:rsidRPr="00F638A5" w:rsidRDefault="00DF7DE3" w:rsidP="00460914">
      <w:pPr>
        <w:pStyle w:val="CommentText"/>
        <w:rPr>
          <w:rFonts w:ascii="Times New Roman" w:hAnsi="Times New Roman" w:cs="Times New Roman"/>
          <w:sz w:val="24"/>
          <w:szCs w:val="24"/>
        </w:rPr>
      </w:pPr>
    </w:p>
    <w:p w14:paraId="0DAA388B" w14:textId="77777777" w:rsidR="00C343E1" w:rsidRPr="00DF7DE3" w:rsidRDefault="00C343E1" w:rsidP="00C343E1">
      <w:pPr>
        <w:jc w:val="both"/>
        <w:rPr>
          <w:rFonts w:ascii="Times New Roman" w:hAnsi="Times New Roman" w:cs="Times New Roman"/>
          <w:b/>
          <w:sz w:val="24"/>
          <w:szCs w:val="24"/>
        </w:rPr>
      </w:pPr>
      <w:r w:rsidRPr="00DF7DE3">
        <w:rPr>
          <w:rFonts w:ascii="Times New Roman" w:hAnsi="Times New Roman" w:cs="Times New Roman"/>
          <w:b/>
          <w:sz w:val="24"/>
          <w:szCs w:val="24"/>
        </w:rPr>
        <w:t>BACKGROUND</w:t>
      </w:r>
    </w:p>
    <w:p w14:paraId="5647F5B3" w14:textId="2F0CC4DC" w:rsidR="00C343E1" w:rsidRPr="00F638A5" w:rsidRDefault="00C343E1" w:rsidP="00C343E1">
      <w:pPr>
        <w:jc w:val="both"/>
        <w:rPr>
          <w:rFonts w:ascii="Times New Roman" w:hAnsi="Times New Roman" w:cs="Times New Roman"/>
          <w:sz w:val="24"/>
          <w:szCs w:val="24"/>
        </w:rPr>
      </w:pPr>
      <w:r w:rsidRPr="00F638A5">
        <w:rPr>
          <w:rFonts w:ascii="Times New Roman" w:hAnsi="Times New Roman" w:cs="Times New Roman"/>
          <w:sz w:val="24"/>
          <w:szCs w:val="24"/>
        </w:rPr>
        <w:t>Education reform in Georgia has been recognized as a</w:t>
      </w:r>
      <w:r w:rsidR="001149B7">
        <w:rPr>
          <w:rFonts w:ascii="Times New Roman" w:hAnsi="Times New Roman" w:cs="Times New Roman"/>
          <w:sz w:val="24"/>
          <w:szCs w:val="24"/>
        </w:rPr>
        <w:t>n initial</w:t>
      </w:r>
      <w:r w:rsidRPr="00F638A5">
        <w:rPr>
          <w:rFonts w:ascii="Times New Roman" w:hAnsi="Times New Roman" w:cs="Times New Roman"/>
          <w:sz w:val="24"/>
          <w:szCs w:val="24"/>
        </w:rPr>
        <w:t xml:space="preserve"> success story, </w:t>
      </w:r>
      <w:r w:rsidR="001149B7">
        <w:rPr>
          <w:rFonts w:ascii="Times New Roman" w:hAnsi="Times New Roman" w:cs="Times New Roman"/>
          <w:sz w:val="24"/>
          <w:szCs w:val="24"/>
        </w:rPr>
        <w:t>dating back to</w:t>
      </w:r>
      <w:r w:rsidRPr="00F638A5">
        <w:rPr>
          <w:rFonts w:ascii="Times New Roman" w:hAnsi="Times New Roman" w:cs="Times New Roman"/>
          <w:sz w:val="24"/>
          <w:szCs w:val="24"/>
        </w:rPr>
        <w:t xml:space="preserve"> fundamental changes undertaken since 2004. As reforms proceeded, and tangible results accumulated, new and diverse challenges and opportunities </w:t>
      </w:r>
      <w:r w:rsidR="001149B7">
        <w:rPr>
          <w:rFonts w:ascii="Times New Roman" w:hAnsi="Times New Roman" w:cs="Times New Roman"/>
          <w:sz w:val="24"/>
          <w:szCs w:val="24"/>
        </w:rPr>
        <w:t>continued to emerge</w:t>
      </w:r>
      <w:r w:rsidRPr="00F638A5">
        <w:rPr>
          <w:rFonts w:ascii="Times New Roman" w:hAnsi="Times New Roman" w:cs="Times New Roman"/>
          <w:sz w:val="24"/>
          <w:szCs w:val="24"/>
        </w:rPr>
        <w:t xml:space="preserve">. At present, one widely recognized challenge is the education system’s </w:t>
      </w:r>
      <w:r w:rsidR="001149B7">
        <w:rPr>
          <w:rFonts w:ascii="Times New Roman" w:hAnsi="Times New Roman" w:cs="Times New Roman"/>
          <w:sz w:val="24"/>
          <w:szCs w:val="24"/>
        </w:rPr>
        <w:t xml:space="preserve">weak </w:t>
      </w:r>
      <w:r w:rsidRPr="00F638A5">
        <w:rPr>
          <w:rFonts w:ascii="Times New Roman" w:hAnsi="Times New Roman" w:cs="Times New Roman"/>
          <w:sz w:val="24"/>
          <w:szCs w:val="24"/>
        </w:rPr>
        <w:t>linkage with the b</w:t>
      </w:r>
      <w:r w:rsidR="00C700D0">
        <w:rPr>
          <w:rFonts w:ascii="Times New Roman" w:hAnsi="Times New Roman" w:cs="Times New Roman"/>
          <w:sz w:val="24"/>
          <w:szCs w:val="24"/>
        </w:rPr>
        <w:t>usiness community, despite the g</w:t>
      </w:r>
      <w:r w:rsidRPr="00F638A5">
        <w:rPr>
          <w:rFonts w:ascii="Times New Roman" w:hAnsi="Times New Roman" w:cs="Times New Roman"/>
          <w:sz w:val="24"/>
          <w:szCs w:val="24"/>
        </w:rPr>
        <w:t xml:space="preserve">overnment’s efforts to encourage vocational education and direct reforms towards adaptation with the labor market demands. </w:t>
      </w:r>
    </w:p>
    <w:p w14:paraId="21A9BFA0" w14:textId="26000A77" w:rsidR="00C343E1" w:rsidRPr="00F638A5" w:rsidRDefault="00C343E1" w:rsidP="00C343E1">
      <w:pPr>
        <w:jc w:val="both"/>
        <w:rPr>
          <w:rFonts w:ascii="Times New Roman" w:hAnsi="Times New Roman" w:cs="Times New Roman"/>
          <w:sz w:val="24"/>
          <w:szCs w:val="24"/>
        </w:rPr>
      </w:pPr>
      <w:r w:rsidRPr="00F638A5">
        <w:rPr>
          <w:rFonts w:ascii="Times New Roman" w:hAnsi="Times New Roman" w:cs="Times New Roman"/>
          <w:sz w:val="24"/>
          <w:szCs w:val="24"/>
        </w:rPr>
        <w:t>Lack of entrepreneurial spirit, training, and skills is endemic in Georgia’s still post-Soviet economy. And the education system is no exception from this pattern</w:t>
      </w:r>
      <w:r>
        <w:rPr>
          <w:rFonts w:ascii="Times New Roman" w:hAnsi="Times New Roman" w:cs="Times New Roman"/>
          <w:sz w:val="24"/>
          <w:szCs w:val="24"/>
        </w:rPr>
        <w:t xml:space="preserve"> as Georgians have considerable opportunity for receiving education but the connection between the </w:t>
      </w:r>
      <w:r w:rsidR="2A104D46" w:rsidRPr="2A104D46">
        <w:rPr>
          <w:rFonts w:ascii="Times New Roman" w:hAnsi="Times New Roman" w:cs="Times New Roman"/>
          <w:sz w:val="24"/>
          <w:szCs w:val="24"/>
        </w:rPr>
        <w:t xml:space="preserve">higher education system, private sector, and government is lacking.  </w:t>
      </w:r>
      <w:r w:rsidRPr="00F638A5">
        <w:rPr>
          <w:rFonts w:ascii="Times New Roman" w:hAnsi="Times New Roman" w:cs="Times New Roman"/>
          <w:sz w:val="24"/>
          <w:szCs w:val="24"/>
        </w:rPr>
        <w:t xml:space="preserve"> Ways must be found to improve these links for better economic performance. As the need increases for the economy to grow and perform better to adapt to the demands of the world economy, the educational institutions scramble to find their niche in the business environment </w:t>
      </w:r>
      <w:r w:rsidR="2A104D46" w:rsidRPr="2A104D46">
        <w:rPr>
          <w:rFonts w:ascii="Times New Roman" w:hAnsi="Times New Roman" w:cs="Times New Roman"/>
          <w:sz w:val="24"/>
          <w:szCs w:val="24"/>
        </w:rPr>
        <w:t xml:space="preserve"> </w:t>
      </w:r>
      <w:r w:rsidRPr="00F638A5">
        <w:rPr>
          <w:rFonts w:ascii="Times New Roman" w:hAnsi="Times New Roman" w:cs="Times New Roman"/>
          <w:sz w:val="24"/>
          <w:szCs w:val="24"/>
        </w:rPr>
        <w:t xml:space="preserve"> to provide labor force to the market </w:t>
      </w:r>
      <w:r w:rsidR="2A104D46" w:rsidRPr="2A104D46">
        <w:rPr>
          <w:rFonts w:ascii="Times New Roman" w:hAnsi="Times New Roman" w:cs="Times New Roman"/>
          <w:sz w:val="24"/>
          <w:szCs w:val="24"/>
        </w:rPr>
        <w:t>while bringing in resources to the university</w:t>
      </w:r>
      <w:r w:rsidRPr="00F638A5">
        <w:rPr>
          <w:rFonts w:ascii="Times New Roman" w:hAnsi="Times New Roman" w:cs="Times New Roman"/>
          <w:sz w:val="24"/>
          <w:szCs w:val="24"/>
        </w:rPr>
        <w:t xml:space="preserve">. Yet, this drive towards </w:t>
      </w:r>
      <w:r w:rsidR="2A104D46" w:rsidRPr="2A104D46">
        <w:rPr>
          <w:rFonts w:ascii="Times New Roman" w:hAnsi="Times New Roman" w:cs="Times New Roman"/>
          <w:sz w:val="24"/>
          <w:szCs w:val="24"/>
        </w:rPr>
        <w:t xml:space="preserve">an </w:t>
      </w:r>
      <w:r w:rsidRPr="00F638A5">
        <w:rPr>
          <w:rFonts w:ascii="Times New Roman" w:hAnsi="Times New Roman" w:cs="Times New Roman"/>
          <w:sz w:val="24"/>
          <w:szCs w:val="24"/>
        </w:rPr>
        <w:t>entrepreneurial approach among the HEIs, especially state-funded schools, is still inadequate, and, at times, almost non-existent.</w:t>
      </w:r>
      <w:r w:rsidRPr="00F638A5">
        <w:rPr>
          <w:rStyle w:val="FootnoteReference"/>
          <w:rFonts w:ascii="Times New Roman" w:hAnsi="Times New Roman" w:cs="Times New Roman"/>
          <w:sz w:val="24"/>
          <w:szCs w:val="24"/>
        </w:rPr>
        <w:footnoteReference w:id="1"/>
      </w:r>
      <w:r w:rsidRPr="00F638A5">
        <w:rPr>
          <w:rFonts w:ascii="Times New Roman" w:hAnsi="Times New Roman" w:cs="Times New Roman"/>
          <w:sz w:val="24"/>
          <w:szCs w:val="24"/>
        </w:rPr>
        <w:t xml:space="preserve"> </w:t>
      </w:r>
    </w:p>
    <w:p w14:paraId="082930AC" w14:textId="03C9CD67" w:rsidR="00C343E1" w:rsidRPr="00F638A5" w:rsidRDefault="00C343E1" w:rsidP="00C343E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Meanwhile, </w:t>
      </w:r>
      <w:r w:rsidRPr="00F638A5">
        <w:rPr>
          <w:rFonts w:ascii="Times New Roman" w:hAnsi="Times New Roman" w:cs="Times New Roman"/>
          <w:sz w:val="24"/>
          <w:szCs w:val="24"/>
        </w:rPr>
        <w:t xml:space="preserve">there is growing awareness that boosting human capital to increase productivity, innovation, and competitiveness is key to Georgia’s future development. The Government increasingly realizes the need for a qualitative leap in the economy that can only be done </w:t>
      </w:r>
      <w:r w:rsidR="00163BAA">
        <w:rPr>
          <w:rFonts w:ascii="Times New Roman" w:hAnsi="Times New Roman" w:cs="Times New Roman"/>
          <w:sz w:val="24"/>
          <w:szCs w:val="24"/>
        </w:rPr>
        <w:t>through increased partnership with the government and private sector</w:t>
      </w:r>
      <w:r w:rsidRPr="00F638A5">
        <w:rPr>
          <w:rFonts w:ascii="Times New Roman" w:hAnsi="Times New Roman" w:cs="Times New Roman"/>
          <w:sz w:val="24"/>
          <w:szCs w:val="24"/>
        </w:rPr>
        <w:t xml:space="preserve">. Given </w:t>
      </w:r>
      <w:r>
        <w:rPr>
          <w:rFonts w:ascii="Times New Roman" w:hAnsi="Times New Roman" w:cs="Times New Roman"/>
          <w:sz w:val="24"/>
          <w:szCs w:val="24"/>
        </w:rPr>
        <w:t xml:space="preserve">the premise </w:t>
      </w:r>
      <w:r w:rsidRPr="00F638A5">
        <w:rPr>
          <w:rFonts w:ascii="Times New Roman" w:hAnsi="Times New Roman" w:cs="Times New Roman"/>
          <w:sz w:val="24"/>
          <w:szCs w:val="24"/>
        </w:rPr>
        <w:t>that</w:t>
      </w:r>
      <w:r>
        <w:rPr>
          <w:rFonts w:ascii="Times New Roman" w:hAnsi="Times New Roman" w:cs="Times New Roman"/>
          <w:sz w:val="24"/>
          <w:szCs w:val="24"/>
        </w:rPr>
        <w:t xml:space="preserve"> investment in human capital is the best investment for the faster economic growth, the</w:t>
      </w:r>
      <w:r w:rsidRPr="00F638A5">
        <w:rPr>
          <w:rFonts w:ascii="Times New Roman" w:hAnsi="Times New Roman" w:cs="Times New Roman"/>
          <w:sz w:val="24"/>
          <w:szCs w:val="24"/>
        </w:rPr>
        <w:t xml:space="preserve"> Georgian Government committed to devote </w:t>
      </w:r>
      <w:r w:rsidR="00163BAA">
        <w:rPr>
          <w:rFonts w:ascii="Times New Roman" w:hAnsi="Times New Roman" w:cs="Times New Roman"/>
          <w:sz w:val="24"/>
          <w:szCs w:val="24"/>
        </w:rPr>
        <w:t xml:space="preserve">a </w:t>
      </w:r>
      <w:r w:rsidRPr="00F638A5">
        <w:rPr>
          <w:rFonts w:ascii="Times New Roman" w:hAnsi="Times New Roman" w:cs="Times New Roman"/>
          <w:sz w:val="24"/>
          <w:szCs w:val="24"/>
        </w:rPr>
        <w:t xml:space="preserve">much larger share of GDP to education purposes and meet practical requirements for the linkage with the economy. </w:t>
      </w:r>
    </w:p>
    <w:p w14:paraId="2F3CFE44" w14:textId="04A53356" w:rsidR="00C343E1" w:rsidRPr="00F638A5" w:rsidRDefault="2A104D46" w:rsidP="00C343E1">
      <w:pPr>
        <w:jc w:val="both"/>
        <w:rPr>
          <w:rFonts w:ascii="Times New Roman" w:hAnsi="Times New Roman" w:cs="Times New Roman"/>
          <w:sz w:val="24"/>
          <w:szCs w:val="24"/>
          <w:lang w:val="ka-GE"/>
        </w:rPr>
      </w:pPr>
      <w:r w:rsidRPr="2A104D46">
        <w:rPr>
          <w:rFonts w:ascii="Times New Roman" w:hAnsi="Times New Roman" w:cs="Times New Roman"/>
          <w:sz w:val="24"/>
          <w:szCs w:val="24"/>
        </w:rPr>
        <w:t xml:space="preserve">This situation, which also includes lack of university and private sector collaboration, displays more need for a robust “knowledge triangle”, which is on the agenda of </w:t>
      </w:r>
      <w:proofErr w:type="gramStart"/>
      <w:r w:rsidRPr="2A104D46">
        <w:rPr>
          <w:rFonts w:ascii="Times New Roman" w:hAnsi="Times New Roman" w:cs="Times New Roman"/>
          <w:sz w:val="24"/>
          <w:szCs w:val="24"/>
        </w:rPr>
        <w:t>a number of</w:t>
      </w:r>
      <w:proofErr w:type="gramEnd"/>
      <w:r w:rsidRPr="2A104D46">
        <w:rPr>
          <w:rFonts w:ascii="Times New Roman" w:hAnsi="Times New Roman" w:cs="Times New Roman"/>
          <w:sz w:val="24"/>
          <w:szCs w:val="24"/>
        </w:rPr>
        <w:t xml:space="preserve"> European institutions and corresponds to the international trend towards greater and deeper synergy between research and businesses, thus helping greater economic growth as a result of greater reliance on the input of knowledge into the economy.</w:t>
      </w:r>
    </w:p>
    <w:p w14:paraId="51F350FE" w14:textId="2D08B8B7" w:rsidR="00C343E1" w:rsidRDefault="00C343E1" w:rsidP="00C343E1">
      <w:pPr>
        <w:jc w:val="both"/>
        <w:rPr>
          <w:rFonts w:ascii="Times New Roman" w:hAnsi="Times New Roman" w:cs="Times New Roman"/>
          <w:sz w:val="24"/>
          <w:szCs w:val="24"/>
        </w:rPr>
      </w:pPr>
      <w:r w:rsidRPr="00F638A5">
        <w:rPr>
          <w:rFonts w:ascii="Times New Roman" w:hAnsi="Times New Roman" w:cs="Times New Roman"/>
          <w:sz w:val="24"/>
          <w:szCs w:val="24"/>
        </w:rPr>
        <w:t xml:space="preserve">Georgian universities lack offices for assisting in </w:t>
      </w:r>
      <w:r w:rsidR="00813F1B">
        <w:rPr>
          <w:rFonts w:ascii="Times New Roman" w:hAnsi="Times New Roman" w:cs="Times New Roman"/>
          <w:sz w:val="24"/>
          <w:szCs w:val="24"/>
        </w:rPr>
        <w:t>research</w:t>
      </w:r>
      <w:r w:rsidRPr="00F638A5">
        <w:rPr>
          <w:rFonts w:ascii="Times New Roman" w:hAnsi="Times New Roman" w:cs="Times New Roman"/>
          <w:sz w:val="24"/>
          <w:szCs w:val="24"/>
        </w:rPr>
        <w:t xml:space="preserve"> development and fundraising, grant writing, and</w:t>
      </w:r>
      <w:r w:rsidR="00633475">
        <w:rPr>
          <w:rFonts w:ascii="Times New Roman" w:hAnsi="Times New Roman" w:cs="Times New Roman"/>
          <w:sz w:val="24"/>
          <w:szCs w:val="24"/>
        </w:rPr>
        <w:t xml:space="preserve"> </w:t>
      </w:r>
      <w:r w:rsidRPr="00F638A5">
        <w:rPr>
          <w:rFonts w:ascii="Times New Roman" w:hAnsi="Times New Roman" w:cs="Times New Roman"/>
          <w:sz w:val="24"/>
          <w:szCs w:val="24"/>
        </w:rPr>
        <w:t xml:space="preserve">project management. They also have </w:t>
      </w:r>
      <w:r w:rsidR="2A104D46" w:rsidRPr="2A104D46">
        <w:rPr>
          <w:rFonts w:ascii="Times New Roman" w:hAnsi="Times New Roman" w:cs="Times New Roman"/>
          <w:sz w:val="24"/>
          <w:szCs w:val="24"/>
        </w:rPr>
        <w:t xml:space="preserve">an </w:t>
      </w:r>
      <w:r w:rsidRPr="00F638A5">
        <w:rPr>
          <w:rFonts w:ascii="Times New Roman" w:hAnsi="Times New Roman" w:cs="Times New Roman"/>
          <w:sz w:val="24"/>
          <w:szCs w:val="24"/>
        </w:rPr>
        <w:t xml:space="preserve">urgent need for internationalization so that the entire higher education sector contributes to the qualitative improvement of Georgian work force for a competitive market domestically and internationally. </w:t>
      </w:r>
    </w:p>
    <w:p w14:paraId="7E76F563" w14:textId="77777777" w:rsidR="00C343E1" w:rsidRPr="00F638A5" w:rsidRDefault="00C343E1" w:rsidP="00C343E1">
      <w:pPr>
        <w:jc w:val="both"/>
        <w:rPr>
          <w:rFonts w:ascii="Times New Roman" w:hAnsi="Times New Roman" w:cs="Times New Roman"/>
          <w:sz w:val="24"/>
          <w:szCs w:val="24"/>
        </w:rPr>
      </w:pPr>
      <w:r>
        <w:rPr>
          <w:rFonts w:ascii="Times New Roman" w:hAnsi="Times New Roman" w:cs="Times New Roman"/>
          <w:sz w:val="24"/>
          <w:szCs w:val="24"/>
        </w:rPr>
        <w:t>Because c</w:t>
      </w:r>
      <w:r w:rsidRPr="00F638A5">
        <w:rPr>
          <w:rFonts w:ascii="Times New Roman" w:hAnsi="Times New Roman" w:cs="Times New Roman"/>
          <w:sz w:val="24"/>
          <w:szCs w:val="24"/>
        </w:rPr>
        <w:t xml:space="preserve">ommercialization of research </w:t>
      </w:r>
      <w:r>
        <w:rPr>
          <w:rFonts w:ascii="Times New Roman" w:hAnsi="Times New Roman" w:cs="Times New Roman"/>
          <w:sz w:val="24"/>
          <w:szCs w:val="24"/>
        </w:rPr>
        <w:t xml:space="preserve">is </w:t>
      </w:r>
      <w:r w:rsidRPr="00F638A5">
        <w:rPr>
          <w:rFonts w:ascii="Times New Roman" w:hAnsi="Times New Roman" w:cs="Times New Roman"/>
          <w:sz w:val="24"/>
          <w:szCs w:val="24"/>
        </w:rPr>
        <w:t>desp</w:t>
      </w:r>
      <w:r>
        <w:rPr>
          <w:rFonts w:ascii="Times New Roman" w:hAnsi="Times New Roman" w:cs="Times New Roman"/>
          <w:sz w:val="24"/>
          <w:szCs w:val="24"/>
        </w:rPr>
        <w:t>erately needed for l</w:t>
      </w:r>
      <w:r w:rsidRPr="00F638A5">
        <w:rPr>
          <w:rFonts w:ascii="Times New Roman" w:hAnsi="Times New Roman" w:cs="Times New Roman"/>
          <w:sz w:val="24"/>
          <w:szCs w:val="24"/>
        </w:rPr>
        <w:t xml:space="preserve">ocal economic </w:t>
      </w:r>
      <w:r>
        <w:rPr>
          <w:rFonts w:ascii="Times New Roman" w:hAnsi="Times New Roman" w:cs="Times New Roman"/>
          <w:sz w:val="24"/>
          <w:szCs w:val="24"/>
        </w:rPr>
        <w:t xml:space="preserve">strength and </w:t>
      </w:r>
      <w:r w:rsidRPr="00F638A5">
        <w:rPr>
          <w:rFonts w:ascii="Times New Roman" w:hAnsi="Times New Roman" w:cs="Times New Roman"/>
          <w:sz w:val="24"/>
          <w:szCs w:val="24"/>
        </w:rPr>
        <w:t xml:space="preserve">for the future </w:t>
      </w:r>
      <w:r>
        <w:rPr>
          <w:rFonts w:ascii="Times New Roman" w:hAnsi="Times New Roman" w:cs="Times New Roman"/>
          <w:sz w:val="24"/>
          <w:szCs w:val="24"/>
        </w:rPr>
        <w:t xml:space="preserve">economic </w:t>
      </w:r>
      <w:r w:rsidRPr="00F638A5">
        <w:rPr>
          <w:rFonts w:ascii="Times New Roman" w:hAnsi="Times New Roman" w:cs="Times New Roman"/>
          <w:sz w:val="24"/>
          <w:szCs w:val="24"/>
        </w:rPr>
        <w:t>growth</w:t>
      </w:r>
      <w:r>
        <w:rPr>
          <w:rFonts w:ascii="Times New Roman" w:hAnsi="Times New Roman" w:cs="Times New Roman"/>
          <w:sz w:val="24"/>
          <w:szCs w:val="24"/>
        </w:rPr>
        <w:t>, g</w:t>
      </w:r>
      <w:r w:rsidRPr="00F638A5">
        <w:rPr>
          <w:rFonts w:ascii="Times New Roman" w:hAnsi="Times New Roman" w:cs="Times New Roman"/>
          <w:sz w:val="24"/>
          <w:szCs w:val="24"/>
        </w:rPr>
        <w:t>overnment may take the lead</w:t>
      </w:r>
      <w:r>
        <w:rPr>
          <w:rFonts w:ascii="Times New Roman" w:hAnsi="Times New Roman" w:cs="Times New Roman"/>
          <w:sz w:val="24"/>
          <w:szCs w:val="24"/>
        </w:rPr>
        <w:t xml:space="preserve"> and develop policies that incentivize national and international entities, such as research institutions, </w:t>
      </w:r>
      <w:proofErr w:type="gramStart"/>
      <w:r>
        <w:rPr>
          <w:rFonts w:ascii="Times New Roman" w:hAnsi="Times New Roman" w:cs="Times New Roman"/>
          <w:sz w:val="24"/>
          <w:szCs w:val="24"/>
        </w:rPr>
        <w:t>businesses</w:t>
      </w:r>
      <w:proofErr w:type="gramEnd"/>
      <w:r>
        <w:rPr>
          <w:rFonts w:ascii="Times New Roman" w:hAnsi="Times New Roman" w:cs="Times New Roman"/>
          <w:sz w:val="24"/>
          <w:szCs w:val="24"/>
        </w:rPr>
        <w:t xml:space="preserve"> and technological start-ups to partner for greater profit and productivity.</w:t>
      </w:r>
      <w:r w:rsidRPr="00F638A5">
        <w:rPr>
          <w:rFonts w:ascii="Times New Roman" w:hAnsi="Times New Roman" w:cs="Times New Roman"/>
          <w:sz w:val="24"/>
          <w:szCs w:val="24"/>
        </w:rPr>
        <w:t xml:space="preserve"> </w:t>
      </w:r>
    </w:p>
    <w:p w14:paraId="34B0E45B" w14:textId="77777777" w:rsidR="00C343E1" w:rsidRDefault="00C343E1" w:rsidP="00C343E1">
      <w:pPr>
        <w:jc w:val="both"/>
        <w:rPr>
          <w:rFonts w:ascii="Times New Roman" w:hAnsi="Times New Roman" w:cs="Times New Roman"/>
          <w:sz w:val="24"/>
          <w:szCs w:val="24"/>
        </w:rPr>
      </w:pPr>
    </w:p>
    <w:p w14:paraId="0135479C" w14:textId="77777777" w:rsidR="00C343E1" w:rsidRPr="00DF7DE3" w:rsidRDefault="00C343E1" w:rsidP="00C343E1">
      <w:pPr>
        <w:jc w:val="both"/>
        <w:rPr>
          <w:rFonts w:ascii="Times New Roman" w:hAnsi="Times New Roman" w:cs="Times New Roman"/>
          <w:sz w:val="24"/>
          <w:szCs w:val="24"/>
        </w:rPr>
      </w:pPr>
      <w:r w:rsidRPr="00DF7DE3">
        <w:rPr>
          <w:rFonts w:ascii="Times New Roman" w:hAnsi="Times New Roman" w:cs="Times New Roman"/>
          <w:sz w:val="24"/>
          <w:szCs w:val="24"/>
        </w:rPr>
        <w:t xml:space="preserve">For more background information on Georgian universities and their research capacity please see: </w:t>
      </w:r>
    </w:p>
    <w:p w14:paraId="7408E943" w14:textId="77777777" w:rsidR="00C343E1" w:rsidRPr="00DF7DE3" w:rsidRDefault="00C343E1" w:rsidP="00C343E1">
      <w:pPr>
        <w:autoSpaceDE w:val="0"/>
        <w:autoSpaceDN w:val="0"/>
        <w:adjustRightInd w:val="0"/>
        <w:spacing w:after="0" w:line="240" w:lineRule="auto"/>
        <w:rPr>
          <w:rFonts w:ascii="Times New Roman" w:hAnsi="Times New Roman" w:cs="Times New Roman"/>
          <w:color w:val="000000"/>
          <w:sz w:val="24"/>
          <w:szCs w:val="24"/>
        </w:rPr>
      </w:pPr>
      <w:r w:rsidRPr="00DF7DE3">
        <w:rPr>
          <w:rFonts w:ascii="Times New Roman" w:hAnsi="Times New Roman" w:cs="Times New Roman"/>
          <w:color w:val="000000"/>
          <w:sz w:val="24"/>
          <w:szCs w:val="24"/>
        </w:rPr>
        <w:t xml:space="preserve">Georgian Law “On Higher Education” </w:t>
      </w:r>
    </w:p>
    <w:p w14:paraId="14E99506" w14:textId="77777777" w:rsidR="00C343E1" w:rsidRPr="00DF7DE3" w:rsidRDefault="007B2AF2" w:rsidP="00C343E1">
      <w:pPr>
        <w:autoSpaceDE w:val="0"/>
        <w:autoSpaceDN w:val="0"/>
        <w:adjustRightInd w:val="0"/>
        <w:spacing w:after="0" w:line="240" w:lineRule="auto"/>
        <w:rPr>
          <w:rFonts w:ascii="Times New Roman" w:hAnsi="Times New Roman" w:cs="Times New Roman"/>
          <w:color w:val="000000"/>
          <w:sz w:val="24"/>
          <w:szCs w:val="24"/>
        </w:rPr>
      </w:pPr>
      <w:hyperlink r:id="rId11" w:history="1">
        <w:r w:rsidR="00C343E1" w:rsidRPr="00DF7DE3">
          <w:rPr>
            <w:rStyle w:val="Hyperlink"/>
            <w:rFonts w:ascii="Times New Roman" w:hAnsi="Times New Roman" w:cs="Times New Roman"/>
            <w:sz w:val="24"/>
            <w:szCs w:val="24"/>
          </w:rPr>
          <w:t>https://matsne.gov.ge/ru/document/download/32830/53/en/pdf</w:t>
        </w:r>
      </w:hyperlink>
    </w:p>
    <w:p w14:paraId="6006B290" w14:textId="77777777" w:rsidR="00C343E1" w:rsidRPr="00DF7DE3" w:rsidRDefault="00C343E1" w:rsidP="00C343E1">
      <w:pPr>
        <w:autoSpaceDE w:val="0"/>
        <w:autoSpaceDN w:val="0"/>
        <w:adjustRightInd w:val="0"/>
        <w:spacing w:after="0" w:line="240" w:lineRule="auto"/>
        <w:rPr>
          <w:rFonts w:ascii="Times New Roman" w:hAnsi="Times New Roman" w:cs="Times New Roman"/>
          <w:color w:val="0000FF"/>
          <w:sz w:val="24"/>
          <w:szCs w:val="24"/>
        </w:rPr>
      </w:pPr>
    </w:p>
    <w:p w14:paraId="7BFD1EAB" w14:textId="77777777" w:rsidR="00C343E1" w:rsidRPr="00DF7DE3" w:rsidRDefault="00C343E1" w:rsidP="00C343E1">
      <w:pPr>
        <w:jc w:val="both"/>
        <w:rPr>
          <w:rFonts w:ascii="Times New Roman" w:hAnsi="Times New Roman" w:cs="Times New Roman"/>
          <w:color w:val="0000FF"/>
          <w:sz w:val="24"/>
          <w:szCs w:val="24"/>
        </w:rPr>
      </w:pPr>
      <w:r w:rsidRPr="00DF7DE3">
        <w:rPr>
          <w:rStyle w:val="Hyperlink"/>
          <w:rFonts w:ascii="Times New Roman" w:hAnsi="Times New Roman" w:cs="Times New Roman"/>
          <w:color w:val="auto"/>
          <w:sz w:val="24"/>
          <w:szCs w:val="24"/>
          <w:u w:val="none"/>
        </w:rPr>
        <w:t xml:space="preserve">Overview of the Higher Education System, European Commission (February 2017) </w:t>
      </w:r>
      <w:hyperlink r:id="rId12" w:history="1">
        <w:r w:rsidRPr="00DF7DE3">
          <w:rPr>
            <w:rStyle w:val="Hyperlink"/>
            <w:rFonts w:ascii="Times New Roman" w:hAnsi="Times New Roman" w:cs="Times New Roman"/>
            <w:sz w:val="24"/>
            <w:szCs w:val="24"/>
          </w:rPr>
          <w:t>https://eacea.ec.europa.eu/sites/eacea-site/files/countryfiche_georgia_2017.pdf</w:t>
        </w:r>
      </w:hyperlink>
    </w:p>
    <w:p w14:paraId="388E7697" w14:textId="77777777" w:rsidR="00C343E1" w:rsidRPr="00F638A5" w:rsidRDefault="00C343E1" w:rsidP="00C343E1">
      <w:pPr>
        <w:jc w:val="both"/>
        <w:rPr>
          <w:rFonts w:ascii="Times New Roman" w:hAnsi="Times New Roman" w:cs="Times New Roman"/>
          <w:sz w:val="24"/>
          <w:szCs w:val="24"/>
        </w:rPr>
      </w:pPr>
    </w:p>
    <w:p w14:paraId="4C684B0F" w14:textId="77777777" w:rsidR="00C343E1" w:rsidRDefault="00C343E1" w:rsidP="00C343E1">
      <w:pPr>
        <w:jc w:val="both"/>
        <w:rPr>
          <w:rFonts w:ascii="Times New Roman" w:hAnsi="Times New Roman" w:cs="Times New Roman"/>
          <w:sz w:val="24"/>
          <w:szCs w:val="24"/>
        </w:rPr>
      </w:pPr>
      <w:r w:rsidRPr="009E0A34">
        <w:rPr>
          <w:rFonts w:ascii="Times New Roman" w:hAnsi="Times New Roman" w:cs="Times New Roman"/>
          <w:b/>
          <w:sz w:val="24"/>
          <w:szCs w:val="24"/>
        </w:rPr>
        <w:t>OBJECTIVES</w:t>
      </w:r>
      <w:r w:rsidRPr="00870D46">
        <w:rPr>
          <w:rFonts w:ascii="Times New Roman" w:hAnsi="Times New Roman" w:cs="Times New Roman"/>
          <w:sz w:val="24"/>
          <w:szCs w:val="24"/>
        </w:rPr>
        <w:t xml:space="preserve"> </w:t>
      </w:r>
    </w:p>
    <w:p w14:paraId="58144DDF" w14:textId="7C22FDD6" w:rsidR="00C343E1" w:rsidRDefault="2A104D46" w:rsidP="2A104D46">
      <w:pPr>
        <w:jc w:val="both"/>
        <w:rPr>
          <w:rFonts w:ascii="Times New Roman" w:hAnsi="Times New Roman" w:cs="Times New Roman"/>
          <w:sz w:val="24"/>
          <w:szCs w:val="24"/>
        </w:rPr>
      </w:pPr>
      <w:r w:rsidRPr="2A104D46">
        <w:rPr>
          <w:rFonts w:ascii="Times New Roman" w:hAnsi="Times New Roman" w:cs="Times New Roman"/>
          <w:sz w:val="24"/>
          <w:szCs w:val="24"/>
        </w:rPr>
        <w:t xml:space="preserve">The UCBP seeks to better leverage and integrate the various missions – education, </w:t>
      </w:r>
      <w:proofErr w:type="gramStart"/>
      <w:r w:rsidRPr="2A104D46">
        <w:rPr>
          <w:rFonts w:ascii="Times New Roman" w:hAnsi="Times New Roman" w:cs="Times New Roman"/>
          <w:sz w:val="24"/>
          <w:szCs w:val="24"/>
        </w:rPr>
        <w:t>research</w:t>
      </w:r>
      <w:proofErr w:type="gramEnd"/>
      <w:r w:rsidRPr="2A104D46">
        <w:rPr>
          <w:rFonts w:ascii="Times New Roman" w:hAnsi="Times New Roman" w:cs="Times New Roman"/>
          <w:sz w:val="24"/>
          <w:szCs w:val="24"/>
        </w:rPr>
        <w:t xml:space="preserve"> and engagement – in order to increase the contribution of higher education and public research institutions to innovation and economic growth and develop the commercial and entrepreneurial aspects of Georgian academia by presenting successful American models. University administrators and government representatives responsible for higher education management will learn how to raise sourcing for funding potential for institutional development and research grants and commercialize research through exposure to diverse models and best practices. They will understand the foundational infrastructure necessary for success, including university support offices, effective research development activities, successful grant writing and fundamentals of </w:t>
      </w:r>
      <w:r w:rsidRPr="2A104D46">
        <w:rPr>
          <w:rFonts w:ascii="Times New Roman" w:hAnsi="Times New Roman" w:cs="Times New Roman"/>
          <w:sz w:val="24"/>
          <w:szCs w:val="24"/>
        </w:rPr>
        <w:lastRenderedPageBreak/>
        <w:t xml:space="preserve">fundraising. These objectives will be realized through a study tour of U.S. universities that successfully commercialized research; and reciprocal visits by experts to Georgia to support the project implementation. The project will include a two-week intensive study tour, U.S. experts’ reciprocal visit to Georgia and follow up sustainability measures for the participants to apply gained knowledge at their home institutions. A successful proposal will demonstrate how it will help Georgia: </w:t>
      </w:r>
    </w:p>
    <w:p w14:paraId="1DFC5289" w14:textId="77777777" w:rsidR="00C343E1" w:rsidRDefault="00C343E1" w:rsidP="00C343E1">
      <w:pPr>
        <w:pStyle w:val="ListParagraph"/>
        <w:numPr>
          <w:ilvl w:val="0"/>
          <w:numId w:val="19"/>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D</w:t>
      </w:r>
      <w:r w:rsidRPr="002F6CA8">
        <w:rPr>
          <w:rFonts w:ascii="Times New Roman" w:hAnsi="Times New Roman" w:cs="Times New Roman"/>
          <w:sz w:val="24"/>
          <w:szCs w:val="24"/>
        </w:rPr>
        <w:t>e</w:t>
      </w:r>
      <w:r>
        <w:rPr>
          <w:rFonts w:ascii="Times New Roman" w:hAnsi="Times New Roman" w:cs="Times New Roman"/>
          <w:sz w:val="24"/>
          <w:szCs w:val="24"/>
        </w:rPr>
        <w:t>velop the triangle between g</w:t>
      </w:r>
      <w:r w:rsidRPr="002F6CA8">
        <w:rPr>
          <w:rFonts w:ascii="Times New Roman" w:hAnsi="Times New Roman" w:cs="Times New Roman"/>
          <w:sz w:val="24"/>
          <w:szCs w:val="24"/>
        </w:rPr>
        <w:t xml:space="preserve">overnment, academia and </w:t>
      </w:r>
      <w:r>
        <w:rPr>
          <w:rFonts w:ascii="Times New Roman" w:hAnsi="Times New Roman" w:cs="Times New Roman"/>
          <w:sz w:val="24"/>
          <w:szCs w:val="24"/>
        </w:rPr>
        <w:t xml:space="preserve">the </w:t>
      </w:r>
      <w:r w:rsidRPr="002F6CA8">
        <w:rPr>
          <w:rFonts w:ascii="Times New Roman" w:hAnsi="Times New Roman" w:cs="Times New Roman"/>
          <w:sz w:val="24"/>
          <w:szCs w:val="24"/>
        </w:rPr>
        <w:t>private s</w:t>
      </w:r>
      <w:r>
        <w:rPr>
          <w:rFonts w:ascii="Times New Roman" w:hAnsi="Times New Roman" w:cs="Times New Roman"/>
          <w:sz w:val="24"/>
          <w:szCs w:val="24"/>
        </w:rPr>
        <w:t xml:space="preserve">ector, through shared knowledge, processes and </w:t>
      </w:r>
      <w:proofErr w:type="gramStart"/>
      <w:r>
        <w:rPr>
          <w:rFonts w:ascii="Times New Roman" w:hAnsi="Times New Roman" w:cs="Times New Roman"/>
          <w:sz w:val="24"/>
          <w:szCs w:val="24"/>
        </w:rPr>
        <w:t>support;</w:t>
      </w:r>
      <w:proofErr w:type="gramEnd"/>
    </w:p>
    <w:p w14:paraId="73F7022C" w14:textId="77777777" w:rsidR="00C343E1" w:rsidRPr="00870D46" w:rsidRDefault="00C343E1" w:rsidP="00C343E1">
      <w:pPr>
        <w:pStyle w:val="ListParagraph"/>
        <w:numPr>
          <w:ilvl w:val="0"/>
          <w:numId w:val="19"/>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E</w:t>
      </w:r>
      <w:r w:rsidRPr="002F6CA8">
        <w:rPr>
          <w:rFonts w:ascii="Times New Roman" w:hAnsi="Times New Roman" w:cs="Times New Roman"/>
          <w:sz w:val="24"/>
          <w:szCs w:val="24"/>
        </w:rPr>
        <w:t>stablish sustainable collaboration</w:t>
      </w:r>
      <w:r>
        <w:rPr>
          <w:rFonts w:ascii="Times New Roman" w:hAnsi="Times New Roman" w:cs="Times New Roman"/>
          <w:sz w:val="24"/>
          <w:szCs w:val="24"/>
        </w:rPr>
        <w:t>s</w:t>
      </w:r>
      <w:r w:rsidRPr="002F6CA8">
        <w:rPr>
          <w:rFonts w:ascii="Times New Roman" w:hAnsi="Times New Roman" w:cs="Times New Roman"/>
          <w:sz w:val="24"/>
          <w:szCs w:val="24"/>
        </w:rPr>
        <w:t xml:space="preserve"> between universities, in</w:t>
      </w:r>
      <w:r>
        <w:rPr>
          <w:rFonts w:ascii="Times New Roman" w:hAnsi="Times New Roman" w:cs="Times New Roman"/>
          <w:sz w:val="24"/>
          <w:szCs w:val="24"/>
        </w:rPr>
        <w:t xml:space="preserve">dustry, and business </w:t>
      </w:r>
      <w:proofErr w:type="gramStart"/>
      <w:r>
        <w:rPr>
          <w:rFonts w:ascii="Times New Roman" w:hAnsi="Times New Roman" w:cs="Times New Roman"/>
          <w:sz w:val="24"/>
          <w:szCs w:val="24"/>
        </w:rPr>
        <w:t>start-ups;</w:t>
      </w:r>
      <w:proofErr w:type="gramEnd"/>
    </w:p>
    <w:p w14:paraId="661B38DC" w14:textId="77777777" w:rsidR="00C343E1" w:rsidRDefault="00C343E1" w:rsidP="00C343E1">
      <w:pPr>
        <w:pStyle w:val="ListParagraph"/>
        <w:numPr>
          <w:ilvl w:val="0"/>
          <w:numId w:val="19"/>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Encourage a</w:t>
      </w:r>
      <w:r w:rsidRPr="002F6CA8">
        <w:rPr>
          <w:rFonts w:ascii="Times New Roman" w:hAnsi="Times New Roman" w:cs="Times New Roman"/>
          <w:sz w:val="24"/>
          <w:szCs w:val="24"/>
        </w:rPr>
        <w:t xml:space="preserve"> university culture</w:t>
      </w:r>
      <w:r>
        <w:rPr>
          <w:rFonts w:ascii="Times New Roman" w:hAnsi="Times New Roman" w:cs="Times New Roman"/>
          <w:sz w:val="24"/>
          <w:szCs w:val="24"/>
        </w:rPr>
        <w:t xml:space="preserve"> of industry collaboration that becomes </w:t>
      </w:r>
      <w:r w:rsidRPr="002F6CA8">
        <w:rPr>
          <w:rFonts w:ascii="Times New Roman" w:hAnsi="Times New Roman" w:cs="Times New Roman"/>
          <w:sz w:val="24"/>
          <w:szCs w:val="24"/>
        </w:rPr>
        <w:t>an institu</w:t>
      </w:r>
      <w:r>
        <w:rPr>
          <w:rFonts w:ascii="Times New Roman" w:hAnsi="Times New Roman" w:cs="Times New Roman"/>
          <w:sz w:val="24"/>
          <w:szCs w:val="24"/>
        </w:rPr>
        <w:t xml:space="preserve">tional priority, involving human and capital resources required for effective </w:t>
      </w:r>
      <w:proofErr w:type="gramStart"/>
      <w:r>
        <w:rPr>
          <w:rFonts w:ascii="Times New Roman" w:hAnsi="Times New Roman" w:cs="Times New Roman"/>
          <w:sz w:val="24"/>
          <w:szCs w:val="24"/>
        </w:rPr>
        <w:t>collaboration;</w:t>
      </w:r>
      <w:proofErr w:type="gramEnd"/>
      <w:r w:rsidRPr="002F6CA8">
        <w:rPr>
          <w:rFonts w:ascii="Times New Roman" w:hAnsi="Times New Roman" w:cs="Times New Roman"/>
          <w:sz w:val="24"/>
          <w:szCs w:val="24"/>
        </w:rPr>
        <w:t xml:space="preserve"> </w:t>
      </w:r>
    </w:p>
    <w:p w14:paraId="3D6138E6" w14:textId="77777777" w:rsidR="00C343E1" w:rsidRPr="007E4D52" w:rsidRDefault="00C343E1" w:rsidP="00C343E1">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Sustain projects between universities and private industry.</w:t>
      </w:r>
      <w:r w:rsidRPr="007E4D52">
        <w:rPr>
          <w:rFonts w:ascii="Times New Roman" w:hAnsi="Times New Roman" w:cs="Times New Roman"/>
          <w:sz w:val="24"/>
          <w:szCs w:val="24"/>
        </w:rPr>
        <w:t xml:space="preserve"> </w:t>
      </w:r>
    </w:p>
    <w:p w14:paraId="55D09563" w14:textId="77777777" w:rsidR="00C343E1" w:rsidRPr="00F638A5" w:rsidRDefault="00C343E1" w:rsidP="00C343E1">
      <w:pPr>
        <w:jc w:val="both"/>
        <w:rPr>
          <w:rFonts w:ascii="Times New Roman" w:hAnsi="Times New Roman" w:cs="Times New Roman"/>
          <w:sz w:val="24"/>
          <w:szCs w:val="24"/>
        </w:rPr>
      </w:pPr>
      <w:r w:rsidRPr="00F638A5">
        <w:rPr>
          <w:rFonts w:ascii="Times New Roman" w:hAnsi="Times New Roman" w:cs="Times New Roman"/>
          <w:sz w:val="24"/>
          <w:szCs w:val="24"/>
        </w:rPr>
        <w:t xml:space="preserve">The following are specific and tangible objectives of the project: </w:t>
      </w:r>
    </w:p>
    <w:p w14:paraId="3DFFDBE5" w14:textId="71709847" w:rsidR="00C343E1" w:rsidRPr="002F6CA8" w:rsidRDefault="00C343E1" w:rsidP="00C343E1">
      <w:pPr>
        <w:pStyle w:val="ListParagraph"/>
        <w:numPr>
          <w:ilvl w:val="0"/>
          <w:numId w:val="18"/>
        </w:numPr>
        <w:spacing w:after="160" w:line="259" w:lineRule="auto"/>
        <w:jc w:val="both"/>
        <w:rPr>
          <w:rFonts w:ascii="Times New Roman" w:hAnsi="Times New Roman" w:cs="Times New Roman"/>
          <w:sz w:val="24"/>
          <w:szCs w:val="24"/>
        </w:rPr>
      </w:pPr>
      <w:r w:rsidRPr="002F6CA8">
        <w:rPr>
          <w:rFonts w:ascii="Times New Roman" w:hAnsi="Times New Roman" w:cs="Times New Roman"/>
          <w:sz w:val="24"/>
          <w:szCs w:val="24"/>
        </w:rPr>
        <w:t xml:space="preserve">Help to institutionalize </w:t>
      </w:r>
      <w:r w:rsidR="007C72F4">
        <w:rPr>
          <w:rFonts w:ascii="Times New Roman" w:hAnsi="Times New Roman" w:cs="Times New Roman"/>
          <w:sz w:val="24"/>
          <w:szCs w:val="24"/>
        </w:rPr>
        <w:t>research development</w:t>
      </w:r>
      <w:r w:rsidR="004A6E1A">
        <w:rPr>
          <w:rFonts w:ascii="Times New Roman" w:hAnsi="Times New Roman" w:cs="Times New Roman"/>
          <w:sz w:val="24"/>
          <w:szCs w:val="24"/>
        </w:rPr>
        <w:t xml:space="preserve"> offices </w:t>
      </w:r>
      <w:r w:rsidRPr="002F6CA8">
        <w:rPr>
          <w:rFonts w:ascii="Times New Roman" w:hAnsi="Times New Roman" w:cs="Times New Roman"/>
          <w:sz w:val="24"/>
          <w:szCs w:val="24"/>
        </w:rPr>
        <w:t>in universities to liaise with local private sector entities, through various means, including online platforms. Such linkage</w:t>
      </w:r>
      <w:r>
        <w:rPr>
          <w:rFonts w:ascii="Times New Roman" w:hAnsi="Times New Roman" w:cs="Times New Roman"/>
          <w:sz w:val="24"/>
          <w:szCs w:val="24"/>
        </w:rPr>
        <w:t>s</w:t>
      </w:r>
      <w:r w:rsidRPr="002F6CA8">
        <w:rPr>
          <w:rFonts w:ascii="Times New Roman" w:hAnsi="Times New Roman" w:cs="Times New Roman"/>
          <w:sz w:val="24"/>
          <w:szCs w:val="24"/>
        </w:rPr>
        <w:t xml:space="preserve"> would provide platforms for exchange of ideas, imag</w:t>
      </w:r>
      <w:r>
        <w:rPr>
          <w:rFonts w:ascii="Times New Roman" w:hAnsi="Times New Roman" w:cs="Times New Roman"/>
          <w:sz w:val="24"/>
          <w:szCs w:val="24"/>
        </w:rPr>
        <w:t xml:space="preserve">ining </w:t>
      </w:r>
      <w:r w:rsidRPr="002F6CA8">
        <w:rPr>
          <w:rFonts w:ascii="Times New Roman" w:hAnsi="Times New Roman" w:cs="Times New Roman"/>
          <w:sz w:val="24"/>
          <w:szCs w:val="24"/>
        </w:rPr>
        <w:t xml:space="preserve">of opportunities, and establishing </w:t>
      </w:r>
      <w:proofErr w:type="gramStart"/>
      <w:r w:rsidRPr="002F6CA8">
        <w:rPr>
          <w:rFonts w:ascii="Times New Roman" w:hAnsi="Times New Roman" w:cs="Times New Roman"/>
          <w:sz w:val="24"/>
          <w:szCs w:val="24"/>
        </w:rPr>
        <w:t>networks</w:t>
      </w:r>
      <w:r w:rsidR="00D158CC">
        <w:rPr>
          <w:rFonts w:ascii="Times New Roman" w:hAnsi="Times New Roman" w:cs="Times New Roman"/>
          <w:sz w:val="24"/>
          <w:szCs w:val="24"/>
        </w:rPr>
        <w:t>;</w:t>
      </w:r>
      <w:proofErr w:type="gramEnd"/>
      <w:r w:rsidRPr="002F6CA8">
        <w:rPr>
          <w:rFonts w:ascii="Times New Roman" w:hAnsi="Times New Roman" w:cs="Times New Roman"/>
          <w:sz w:val="24"/>
          <w:szCs w:val="24"/>
        </w:rPr>
        <w:t xml:space="preserve"> </w:t>
      </w:r>
    </w:p>
    <w:p w14:paraId="1BA3AD5F" w14:textId="6570F64C" w:rsidR="00C343E1" w:rsidRPr="002F6CA8" w:rsidRDefault="00C343E1" w:rsidP="00C343E1">
      <w:pPr>
        <w:pStyle w:val="ListParagraph"/>
        <w:numPr>
          <w:ilvl w:val="0"/>
          <w:numId w:val="18"/>
        </w:numPr>
        <w:spacing w:after="160" w:line="259" w:lineRule="auto"/>
        <w:jc w:val="both"/>
        <w:rPr>
          <w:rFonts w:ascii="Times New Roman" w:hAnsi="Times New Roman" w:cs="Times New Roman"/>
          <w:sz w:val="24"/>
          <w:szCs w:val="24"/>
        </w:rPr>
      </w:pPr>
      <w:r w:rsidRPr="002F6CA8">
        <w:rPr>
          <w:rFonts w:ascii="Times New Roman" w:hAnsi="Times New Roman" w:cs="Times New Roman"/>
          <w:sz w:val="24"/>
          <w:szCs w:val="24"/>
        </w:rPr>
        <w:t xml:space="preserve">Establish a network of professionals from various universities, government agencies, and </w:t>
      </w:r>
      <w:r w:rsidR="009D445A">
        <w:rPr>
          <w:rFonts w:ascii="Times New Roman" w:hAnsi="Times New Roman" w:cs="Times New Roman"/>
          <w:sz w:val="24"/>
          <w:szCs w:val="24"/>
        </w:rPr>
        <w:t>professional</w:t>
      </w:r>
      <w:r w:rsidR="009D445A" w:rsidRPr="002F6CA8">
        <w:rPr>
          <w:rFonts w:ascii="Times New Roman" w:hAnsi="Times New Roman" w:cs="Times New Roman"/>
          <w:sz w:val="24"/>
          <w:szCs w:val="24"/>
        </w:rPr>
        <w:t xml:space="preserve"> </w:t>
      </w:r>
      <w:r w:rsidRPr="002F6CA8">
        <w:rPr>
          <w:rFonts w:ascii="Times New Roman" w:hAnsi="Times New Roman" w:cs="Times New Roman"/>
          <w:sz w:val="24"/>
          <w:szCs w:val="24"/>
        </w:rPr>
        <w:t xml:space="preserve">associations that </w:t>
      </w:r>
      <w:r>
        <w:rPr>
          <w:rFonts w:ascii="Times New Roman" w:hAnsi="Times New Roman" w:cs="Times New Roman"/>
          <w:sz w:val="24"/>
          <w:szCs w:val="24"/>
        </w:rPr>
        <w:t xml:space="preserve">work together on </w:t>
      </w:r>
      <w:r w:rsidRPr="002F6CA8">
        <w:rPr>
          <w:rFonts w:ascii="Times New Roman" w:hAnsi="Times New Roman" w:cs="Times New Roman"/>
          <w:sz w:val="24"/>
          <w:szCs w:val="24"/>
        </w:rPr>
        <w:t>enhancing</w:t>
      </w:r>
      <w:r>
        <w:rPr>
          <w:rFonts w:ascii="Times New Roman" w:hAnsi="Times New Roman" w:cs="Times New Roman"/>
          <w:sz w:val="24"/>
          <w:szCs w:val="24"/>
        </w:rPr>
        <w:t xml:space="preserve"> the university-private sector-innovation </w:t>
      </w:r>
      <w:proofErr w:type="gramStart"/>
      <w:r w:rsidR="00D158CC">
        <w:rPr>
          <w:rFonts w:ascii="Times New Roman" w:hAnsi="Times New Roman" w:cs="Times New Roman"/>
          <w:sz w:val="24"/>
          <w:szCs w:val="24"/>
        </w:rPr>
        <w:t>triangle;</w:t>
      </w:r>
      <w:proofErr w:type="gramEnd"/>
      <w:r w:rsidRPr="002F6CA8">
        <w:rPr>
          <w:rFonts w:ascii="Times New Roman" w:hAnsi="Times New Roman" w:cs="Times New Roman"/>
          <w:sz w:val="24"/>
          <w:szCs w:val="24"/>
        </w:rPr>
        <w:t xml:space="preserve"> </w:t>
      </w:r>
    </w:p>
    <w:p w14:paraId="713ECC6E" w14:textId="365783A1" w:rsidR="00C343E1" w:rsidRPr="002F6CA8" w:rsidRDefault="00C343E1" w:rsidP="00C343E1">
      <w:pPr>
        <w:pStyle w:val="ListParagraph"/>
        <w:numPr>
          <w:ilvl w:val="0"/>
          <w:numId w:val="18"/>
        </w:numPr>
        <w:spacing w:after="160" w:line="259" w:lineRule="auto"/>
        <w:jc w:val="both"/>
        <w:rPr>
          <w:rFonts w:ascii="Times New Roman" w:hAnsi="Times New Roman" w:cs="Times New Roman"/>
          <w:sz w:val="24"/>
          <w:szCs w:val="24"/>
        </w:rPr>
      </w:pPr>
      <w:r w:rsidRPr="002F6CA8">
        <w:rPr>
          <w:rFonts w:ascii="Times New Roman" w:hAnsi="Times New Roman" w:cs="Times New Roman"/>
          <w:sz w:val="24"/>
          <w:szCs w:val="24"/>
        </w:rPr>
        <w:t xml:space="preserve">Help to create </w:t>
      </w:r>
      <w:r>
        <w:rPr>
          <w:rFonts w:ascii="Times New Roman" w:hAnsi="Times New Roman" w:cs="Times New Roman"/>
          <w:sz w:val="24"/>
          <w:szCs w:val="24"/>
        </w:rPr>
        <w:t xml:space="preserve">a </w:t>
      </w:r>
      <w:r w:rsidRPr="002F6CA8">
        <w:rPr>
          <w:rFonts w:ascii="Times New Roman" w:hAnsi="Times New Roman" w:cs="Times New Roman"/>
          <w:sz w:val="24"/>
          <w:szCs w:val="24"/>
        </w:rPr>
        <w:t xml:space="preserve">common agenda for </w:t>
      </w:r>
      <w:r>
        <w:rPr>
          <w:rFonts w:ascii="Times New Roman" w:hAnsi="Times New Roman" w:cs="Times New Roman"/>
          <w:sz w:val="24"/>
          <w:szCs w:val="24"/>
        </w:rPr>
        <w:t xml:space="preserve">regular </w:t>
      </w:r>
      <w:r w:rsidRPr="002F6CA8">
        <w:rPr>
          <w:rFonts w:ascii="Times New Roman" w:hAnsi="Times New Roman" w:cs="Times New Roman"/>
          <w:sz w:val="24"/>
          <w:szCs w:val="24"/>
        </w:rPr>
        <w:t>discussions between academics and entrep</w:t>
      </w:r>
      <w:r>
        <w:rPr>
          <w:rFonts w:ascii="Times New Roman" w:hAnsi="Times New Roman" w:cs="Times New Roman"/>
          <w:sz w:val="24"/>
          <w:szCs w:val="24"/>
        </w:rPr>
        <w:t>reneurs</w:t>
      </w:r>
      <w:r w:rsidRPr="002F6CA8">
        <w:rPr>
          <w:rFonts w:ascii="Times New Roman" w:hAnsi="Times New Roman" w:cs="Times New Roman"/>
          <w:sz w:val="24"/>
          <w:szCs w:val="24"/>
        </w:rPr>
        <w:t xml:space="preserve"> by nurturing entrepreneu</w:t>
      </w:r>
      <w:r w:rsidR="00D158CC">
        <w:rPr>
          <w:rFonts w:ascii="Times New Roman" w:hAnsi="Times New Roman" w:cs="Times New Roman"/>
          <w:sz w:val="24"/>
          <w:szCs w:val="24"/>
        </w:rPr>
        <w:t xml:space="preserve">rial ecosystems at </w:t>
      </w:r>
      <w:proofErr w:type="gramStart"/>
      <w:r w:rsidR="00D158CC">
        <w:rPr>
          <w:rFonts w:ascii="Times New Roman" w:hAnsi="Times New Roman" w:cs="Times New Roman"/>
          <w:sz w:val="24"/>
          <w:szCs w:val="24"/>
        </w:rPr>
        <w:t>universities;</w:t>
      </w:r>
      <w:proofErr w:type="gramEnd"/>
      <w:r w:rsidRPr="002F6CA8">
        <w:rPr>
          <w:rFonts w:ascii="Times New Roman" w:hAnsi="Times New Roman" w:cs="Times New Roman"/>
          <w:sz w:val="24"/>
          <w:szCs w:val="24"/>
        </w:rPr>
        <w:t xml:space="preserve"> </w:t>
      </w:r>
    </w:p>
    <w:p w14:paraId="11359DA3" w14:textId="738E04FD" w:rsidR="00C343E1" w:rsidRDefault="00C343E1" w:rsidP="00C343E1">
      <w:pPr>
        <w:pStyle w:val="ListParagraph"/>
        <w:numPr>
          <w:ilvl w:val="0"/>
          <w:numId w:val="18"/>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Raise awareness among g</w:t>
      </w:r>
      <w:r w:rsidRPr="002F6CA8">
        <w:rPr>
          <w:rFonts w:ascii="Times New Roman" w:hAnsi="Times New Roman" w:cs="Times New Roman"/>
          <w:sz w:val="24"/>
          <w:szCs w:val="24"/>
        </w:rPr>
        <w:t xml:space="preserve">overnment </w:t>
      </w:r>
      <w:r>
        <w:rPr>
          <w:rFonts w:ascii="Times New Roman" w:hAnsi="Times New Roman" w:cs="Times New Roman"/>
          <w:sz w:val="24"/>
          <w:szCs w:val="24"/>
        </w:rPr>
        <w:t xml:space="preserve">officials </w:t>
      </w:r>
      <w:r w:rsidRPr="002F6CA8">
        <w:rPr>
          <w:rFonts w:ascii="Times New Roman" w:hAnsi="Times New Roman" w:cs="Times New Roman"/>
          <w:sz w:val="24"/>
          <w:szCs w:val="24"/>
        </w:rPr>
        <w:t>about the connection between university research and entrepreneurship, both in industry and service sectors</w:t>
      </w:r>
      <w:r>
        <w:rPr>
          <w:rFonts w:ascii="Times New Roman" w:hAnsi="Times New Roman" w:cs="Times New Roman"/>
          <w:sz w:val="24"/>
          <w:szCs w:val="24"/>
        </w:rPr>
        <w:t>. This will generate greater appreciation among g</w:t>
      </w:r>
      <w:r w:rsidRPr="002F6CA8">
        <w:rPr>
          <w:rFonts w:ascii="Times New Roman" w:hAnsi="Times New Roman" w:cs="Times New Roman"/>
          <w:sz w:val="24"/>
          <w:szCs w:val="24"/>
        </w:rPr>
        <w:t xml:space="preserve">overnment officials </w:t>
      </w:r>
      <w:r>
        <w:rPr>
          <w:rFonts w:ascii="Times New Roman" w:hAnsi="Times New Roman" w:cs="Times New Roman"/>
          <w:sz w:val="24"/>
          <w:szCs w:val="24"/>
        </w:rPr>
        <w:t xml:space="preserve">about the potential </w:t>
      </w:r>
      <w:r w:rsidRPr="002F6CA8">
        <w:rPr>
          <w:rFonts w:ascii="Times New Roman" w:hAnsi="Times New Roman" w:cs="Times New Roman"/>
          <w:sz w:val="24"/>
          <w:szCs w:val="24"/>
        </w:rPr>
        <w:t xml:space="preserve">HEIs </w:t>
      </w:r>
      <w:r>
        <w:rPr>
          <w:rFonts w:ascii="Times New Roman" w:hAnsi="Times New Roman" w:cs="Times New Roman"/>
          <w:sz w:val="24"/>
          <w:szCs w:val="24"/>
        </w:rPr>
        <w:t xml:space="preserve">have to </w:t>
      </w:r>
      <w:r w:rsidRPr="002F6CA8">
        <w:rPr>
          <w:rFonts w:ascii="Times New Roman" w:hAnsi="Times New Roman" w:cs="Times New Roman"/>
          <w:sz w:val="24"/>
          <w:szCs w:val="24"/>
        </w:rPr>
        <w:t>enhanc</w:t>
      </w:r>
      <w:r>
        <w:rPr>
          <w:rFonts w:ascii="Times New Roman" w:hAnsi="Times New Roman" w:cs="Times New Roman"/>
          <w:sz w:val="24"/>
          <w:szCs w:val="24"/>
        </w:rPr>
        <w:t xml:space="preserve">e economic growth beyond </w:t>
      </w:r>
      <w:r w:rsidR="00D158CC">
        <w:rPr>
          <w:rFonts w:ascii="Times New Roman" w:hAnsi="Times New Roman" w:cs="Times New Roman"/>
          <w:sz w:val="24"/>
          <w:szCs w:val="24"/>
        </w:rPr>
        <w:t xml:space="preserve">vocational </w:t>
      </w:r>
      <w:proofErr w:type="gramStart"/>
      <w:r w:rsidR="00D158CC">
        <w:rPr>
          <w:rFonts w:ascii="Times New Roman" w:hAnsi="Times New Roman" w:cs="Times New Roman"/>
          <w:sz w:val="24"/>
          <w:szCs w:val="24"/>
        </w:rPr>
        <w:t>training;</w:t>
      </w:r>
      <w:proofErr w:type="gramEnd"/>
    </w:p>
    <w:p w14:paraId="2A624649" w14:textId="64354BA8" w:rsidR="005E6FBD" w:rsidRPr="002F6CA8" w:rsidRDefault="005E6FBD" w:rsidP="00C343E1">
      <w:pPr>
        <w:pStyle w:val="ListParagraph"/>
        <w:numPr>
          <w:ilvl w:val="0"/>
          <w:numId w:val="18"/>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Micro fund allocated within the </w:t>
      </w:r>
      <w:r w:rsidR="000A4EBC">
        <w:rPr>
          <w:rFonts w:ascii="Times New Roman" w:hAnsi="Times New Roman" w:cs="Times New Roman"/>
          <w:sz w:val="24"/>
          <w:szCs w:val="24"/>
        </w:rPr>
        <w:t xml:space="preserve">award would ensure </w:t>
      </w:r>
      <w:r>
        <w:rPr>
          <w:rFonts w:ascii="Times New Roman" w:hAnsi="Times New Roman" w:cs="Times New Roman"/>
          <w:sz w:val="24"/>
          <w:szCs w:val="24"/>
        </w:rPr>
        <w:t>sustainability</w:t>
      </w:r>
      <w:r w:rsidR="000A4EBC">
        <w:rPr>
          <w:rFonts w:ascii="Times New Roman" w:hAnsi="Times New Roman" w:cs="Times New Roman"/>
          <w:sz w:val="24"/>
          <w:szCs w:val="24"/>
        </w:rPr>
        <w:t xml:space="preserve"> of the project by allowing</w:t>
      </w:r>
      <w:r>
        <w:rPr>
          <w:rFonts w:ascii="Times New Roman" w:hAnsi="Times New Roman" w:cs="Times New Roman"/>
          <w:sz w:val="24"/>
          <w:szCs w:val="24"/>
        </w:rPr>
        <w:t xml:space="preserve"> participants </w:t>
      </w:r>
      <w:r w:rsidRPr="2A104D46">
        <w:rPr>
          <w:rFonts w:ascii="Times New Roman" w:hAnsi="Times New Roman" w:cs="Times New Roman"/>
          <w:sz w:val="24"/>
          <w:szCs w:val="24"/>
        </w:rPr>
        <w:t>to apply gained knowledge at their home institutions</w:t>
      </w:r>
      <w:r>
        <w:rPr>
          <w:rFonts w:ascii="Times New Roman" w:hAnsi="Times New Roman" w:cs="Times New Roman"/>
          <w:sz w:val="24"/>
          <w:szCs w:val="24"/>
        </w:rPr>
        <w:t xml:space="preserve"> and </w:t>
      </w:r>
      <w:r w:rsidR="000A4EBC">
        <w:rPr>
          <w:rFonts w:ascii="Times New Roman" w:hAnsi="Times New Roman" w:cs="Times New Roman"/>
          <w:sz w:val="24"/>
          <w:szCs w:val="24"/>
        </w:rPr>
        <w:t>implementing</w:t>
      </w:r>
      <w:r>
        <w:rPr>
          <w:rFonts w:ascii="Times New Roman" w:hAnsi="Times New Roman" w:cs="Times New Roman"/>
          <w:sz w:val="24"/>
          <w:szCs w:val="24"/>
        </w:rPr>
        <w:t xml:space="preserve"> various initiatives</w:t>
      </w:r>
      <w:r w:rsidR="000A4EBC">
        <w:rPr>
          <w:rFonts w:ascii="Times New Roman" w:hAnsi="Times New Roman" w:cs="Times New Roman"/>
          <w:sz w:val="24"/>
          <w:szCs w:val="24"/>
        </w:rPr>
        <w:t>.</w:t>
      </w:r>
    </w:p>
    <w:p w14:paraId="50ED2B7D" w14:textId="77777777" w:rsidR="00C343E1" w:rsidRPr="002F6CA8" w:rsidRDefault="00C343E1" w:rsidP="00C343E1">
      <w:pPr>
        <w:pStyle w:val="ListParagraph"/>
        <w:numPr>
          <w:ilvl w:val="0"/>
          <w:numId w:val="18"/>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Spark </w:t>
      </w:r>
      <w:r w:rsidRPr="002F6CA8">
        <w:rPr>
          <w:rFonts w:ascii="Times New Roman" w:hAnsi="Times New Roman" w:cs="Times New Roman"/>
          <w:sz w:val="24"/>
          <w:szCs w:val="24"/>
        </w:rPr>
        <w:t>c</w:t>
      </w:r>
      <w:r>
        <w:rPr>
          <w:rFonts w:ascii="Times New Roman" w:hAnsi="Times New Roman" w:cs="Times New Roman"/>
          <w:sz w:val="24"/>
          <w:szCs w:val="24"/>
        </w:rPr>
        <w:t>ultural change in universities by a</w:t>
      </w:r>
      <w:r w:rsidRPr="002F6CA8">
        <w:rPr>
          <w:rFonts w:ascii="Times New Roman" w:hAnsi="Times New Roman" w:cs="Times New Roman"/>
          <w:sz w:val="24"/>
          <w:szCs w:val="24"/>
        </w:rPr>
        <w:t xml:space="preserve">dopting </w:t>
      </w:r>
      <w:r>
        <w:rPr>
          <w:rFonts w:ascii="Times New Roman" w:hAnsi="Times New Roman" w:cs="Times New Roman"/>
          <w:sz w:val="24"/>
          <w:szCs w:val="24"/>
        </w:rPr>
        <w:t xml:space="preserve">an </w:t>
      </w:r>
      <w:r w:rsidRPr="002F6CA8">
        <w:rPr>
          <w:rFonts w:ascii="Times New Roman" w:hAnsi="Times New Roman" w:cs="Times New Roman"/>
          <w:sz w:val="24"/>
          <w:szCs w:val="24"/>
        </w:rPr>
        <w:t>entrepreneurial philosophy, demonstrating commitment to the practical matters of economi</w:t>
      </w:r>
      <w:r>
        <w:rPr>
          <w:rFonts w:ascii="Times New Roman" w:hAnsi="Times New Roman" w:cs="Times New Roman"/>
          <w:sz w:val="24"/>
          <w:szCs w:val="24"/>
        </w:rPr>
        <w:t>c growth and entrepreneurship.</w:t>
      </w:r>
    </w:p>
    <w:p w14:paraId="35AA39DF" w14:textId="39A5AFAE" w:rsidR="00C343E1" w:rsidRPr="00132A20" w:rsidRDefault="00C343E1" w:rsidP="00C343E1">
      <w:pPr>
        <w:jc w:val="both"/>
        <w:rPr>
          <w:rFonts w:ascii="Sylfaen" w:hAnsi="Sylfaen" w:cs="Times New Roman"/>
          <w:sz w:val="24"/>
          <w:szCs w:val="24"/>
          <w:lang w:val="ka-GE"/>
        </w:rPr>
      </w:pPr>
      <w:r>
        <w:rPr>
          <w:rFonts w:ascii="Times New Roman" w:hAnsi="Times New Roman" w:cs="Times New Roman"/>
          <w:sz w:val="24"/>
          <w:szCs w:val="24"/>
        </w:rPr>
        <w:t xml:space="preserve"> F</w:t>
      </w:r>
      <w:r w:rsidRPr="00F638A5">
        <w:rPr>
          <w:rFonts w:ascii="Times New Roman" w:hAnsi="Times New Roman" w:cs="Times New Roman"/>
          <w:sz w:val="24"/>
          <w:szCs w:val="24"/>
        </w:rPr>
        <w:t>ollow</w:t>
      </w:r>
      <w:r>
        <w:rPr>
          <w:rFonts w:ascii="Times New Roman" w:hAnsi="Times New Roman" w:cs="Times New Roman"/>
          <w:sz w:val="24"/>
          <w:szCs w:val="24"/>
        </w:rPr>
        <w:t xml:space="preserve">ing topics/activities (the list can be further expanded) </w:t>
      </w:r>
      <w:r w:rsidR="00FE72B3">
        <w:rPr>
          <w:rFonts w:ascii="Times New Roman" w:hAnsi="Times New Roman" w:cs="Times New Roman"/>
          <w:sz w:val="24"/>
          <w:szCs w:val="24"/>
        </w:rPr>
        <w:t xml:space="preserve">may </w:t>
      </w:r>
      <w:r>
        <w:rPr>
          <w:rFonts w:ascii="Times New Roman" w:hAnsi="Times New Roman" w:cs="Times New Roman"/>
          <w:sz w:val="24"/>
          <w:szCs w:val="24"/>
        </w:rPr>
        <w:t>be supported:</w:t>
      </w:r>
      <w:r w:rsidRPr="00F638A5">
        <w:rPr>
          <w:rFonts w:ascii="Times New Roman" w:hAnsi="Times New Roman" w:cs="Times New Roman"/>
          <w:sz w:val="24"/>
          <w:szCs w:val="24"/>
        </w:rPr>
        <w:t xml:space="preserve"> </w:t>
      </w:r>
    </w:p>
    <w:p w14:paraId="0403B670" w14:textId="213DC40B" w:rsidR="00C84586" w:rsidRDefault="00C343E1" w:rsidP="00397EDA">
      <w:pPr>
        <w:pStyle w:val="ListParagraph"/>
        <w:numPr>
          <w:ilvl w:val="0"/>
          <w:numId w:val="20"/>
        </w:numPr>
        <w:spacing w:after="160" w:line="259" w:lineRule="auto"/>
        <w:jc w:val="both"/>
        <w:rPr>
          <w:rFonts w:ascii="Times New Roman" w:hAnsi="Times New Roman" w:cs="Times New Roman"/>
          <w:sz w:val="24"/>
          <w:szCs w:val="24"/>
        </w:rPr>
      </w:pPr>
      <w:r w:rsidRPr="00C84586">
        <w:rPr>
          <w:rFonts w:ascii="Times New Roman" w:hAnsi="Times New Roman" w:cs="Times New Roman"/>
          <w:sz w:val="24"/>
          <w:szCs w:val="24"/>
        </w:rPr>
        <w:t>Trainings in</w:t>
      </w:r>
      <w:r w:rsidR="0022608D">
        <w:rPr>
          <w:rFonts w:ascii="Times New Roman" w:hAnsi="Times New Roman" w:cs="Times New Roman"/>
          <w:sz w:val="24"/>
          <w:szCs w:val="24"/>
        </w:rPr>
        <w:t xml:space="preserve"> strategic planning, grant writing, project management</w:t>
      </w:r>
      <w:r w:rsidR="004B3518">
        <w:rPr>
          <w:rFonts w:ascii="Times New Roman" w:hAnsi="Times New Roman" w:cs="Times New Roman"/>
          <w:sz w:val="24"/>
          <w:szCs w:val="24"/>
        </w:rPr>
        <w:t>,</w:t>
      </w:r>
      <w:r w:rsidRPr="00C84586">
        <w:rPr>
          <w:rFonts w:ascii="Times New Roman" w:hAnsi="Times New Roman" w:cs="Times New Roman"/>
          <w:sz w:val="24"/>
          <w:szCs w:val="24"/>
        </w:rPr>
        <w:t xml:space="preserve"> capacity building, including creating or enhancing a comprehensive</w:t>
      </w:r>
      <w:r w:rsidR="00D158CC">
        <w:rPr>
          <w:rFonts w:ascii="Times New Roman" w:hAnsi="Times New Roman" w:cs="Times New Roman"/>
          <w:sz w:val="24"/>
          <w:szCs w:val="24"/>
        </w:rPr>
        <w:t xml:space="preserve"> </w:t>
      </w:r>
      <w:r w:rsidR="00480485">
        <w:rPr>
          <w:rFonts w:ascii="Times New Roman" w:hAnsi="Times New Roman" w:cs="Times New Roman"/>
          <w:sz w:val="24"/>
          <w:szCs w:val="24"/>
        </w:rPr>
        <w:t>r</w:t>
      </w:r>
      <w:r w:rsidR="004A6E1A">
        <w:rPr>
          <w:rFonts w:ascii="Times New Roman" w:hAnsi="Times New Roman" w:cs="Times New Roman"/>
          <w:sz w:val="24"/>
          <w:szCs w:val="24"/>
        </w:rPr>
        <w:t xml:space="preserve">esearch </w:t>
      </w:r>
      <w:r w:rsidR="00480485">
        <w:rPr>
          <w:rFonts w:ascii="Times New Roman" w:hAnsi="Times New Roman" w:cs="Times New Roman"/>
          <w:sz w:val="24"/>
          <w:szCs w:val="24"/>
        </w:rPr>
        <w:t>d</w:t>
      </w:r>
      <w:r w:rsidR="00D158CC">
        <w:rPr>
          <w:rFonts w:ascii="Times New Roman" w:hAnsi="Times New Roman" w:cs="Times New Roman"/>
          <w:sz w:val="24"/>
          <w:szCs w:val="24"/>
        </w:rPr>
        <w:t xml:space="preserve">evelopment </w:t>
      </w:r>
      <w:r w:rsidR="00480485">
        <w:rPr>
          <w:rFonts w:ascii="Times New Roman" w:hAnsi="Times New Roman" w:cs="Times New Roman"/>
          <w:sz w:val="24"/>
          <w:szCs w:val="24"/>
        </w:rPr>
        <w:t>o</w:t>
      </w:r>
      <w:r w:rsidR="00C84586">
        <w:rPr>
          <w:rFonts w:ascii="Times New Roman" w:hAnsi="Times New Roman" w:cs="Times New Roman"/>
          <w:sz w:val="24"/>
          <w:szCs w:val="24"/>
        </w:rPr>
        <w:t xml:space="preserve">ffice </w:t>
      </w:r>
      <w:r w:rsidRPr="00C84586">
        <w:rPr>
          <w:rFonts w:ascii="Times New Roman" w:hAnsi="Times New Roman" w:cs="Times New Roman"/>
          <w:sz w:val="24"/>
          <w:szCs w:val="24"/>
        </w:rPr>
        <w:t>to assist faculty in obtaining</w:t>
      </w:r>
      <w:r w:rsidR="00C84586" w:rsidRPr="00C84586">
        <w:rPr>
          <w:rFonts w:ascii="Times New Roman" w:hAnsi="Times New Roman" w:cs="Times New Roman"/>
          <w:sz w:val="24"/>
          <w:szCs w:val="24"/>
        </w:rPr>
        <w:t xml:space="preserve"> institutional and </w:t>
      </w:r>
      <w:r w:rsidRPr="00C84586">
        <w:rPr>
          <w:rFonts w:ascii="Times New Roman" w:hAnsi="Times New Roman" w:cs="Times New Roman"/>
          <w:sz w:val="24"/>
          <w:szCs w:val="24"/>
        </w:rPr>
        <w:t>research funding through grant-writing</w:t>
      </w:r>
      <w:r w:rsidR="00C84586" w:rsidRPr="00C84586">
        <w:rPr>
          <w:rFonts w:ascii="Times New Roman" w:hAnsi="Times New Roman" w:cs="Times New Roman"/>
          <w:sz w:val="24"/>
          <w:szCs w:val="24"/>
        </w:rPr>
        <w:t xml:space="preserve"> and other means; and a robust a</w:t>
      </w:r>
      <w:r w:rsidRPr="00C84586">
        <w:rPr>
          <w:rFonts w:ascii="Times New Roman" w:hAnsi="Times New Roman" w:cs="Times New Roman"/>
          <w:sz w:val="24"/>
          <w:szCs w:val="24"/>
        </w:rPr>
        <w:t>dvancement departmen</w:t>
      </w:r>
      <w:r w:rsidR="00C84586" w:rsidRPr="00C84586">
        <w:rPr>
          <w:rFonts w:ascii="Times New Roman" w:hAnsi="Times New Roman" w:cs="Times New Roman"/>
          <w:sz w:val="24"/>
          <w:szCs w:val="24"/>
        </w:rPr>
        <w:t>t that includes third party funding – national and international donor sources,</w:t>
      </w:r>
      <w:r w:rsidR="00D158CC">
        <w:rPr>
          <w:rFonts w:ascii="Times New Roman" w:hAnsi="Times New Roman" w:cs="Times New Roman"/>
          <w:sz w:val="24"/>
          <w:szCs w:val="24"/>
        </w:rPr>
        <w:t xml:space="preserve"> private sector, and </w:t>
      </w:r>
      <w:proofErr w:type="gramStart"/>
      <w:r w:rsidR="00D158CC">
        <w:rPr>
          <w:rFonts w:ascii="Times New Roman" w:hAnsi="Times New Roman" w:cs="Times New Roman"/>
          <w:sz w:val="24"/>
          <w:szCs w:val="24"/>
        </w:rPr>
        <w:t>government;</w:t>
      </w:r>
      <w:proofErr w:type="gramEnd"/>
    </w:p>
    <w:p w14:paraId="2B6BD8ED" w14:textId="6F67C092" w:rsidR="00C343E1" w:rsidRPr="00C84586" w:rsidRDefault="00C343E1" w:rsidP="00397EDA">
      <w:pPr>
        <w:pStyle w:val="ListParagraph"/>
        <w:numPr>
          <w:ilvl w:val="0"/>
          <w:numId w:val="20"/>
        </w:numPr>
        <w:spacing w:after="160" w:line="259" w:lineRule="auto"/>
        <w:jc w:val="both"/>
        <w:rPr>
          <w:rFonts w:ascii="Times New Roman" w:hAnsi="Times New Roman" w:cs="Times New Roman"/>
          <w:sz w:val="24"/>
          <w:szCs w:val="24"/>
        </w:rPr>
      </w:pPr>
      <w:r w:rsidRPr="00C84586">
        <w:rPr>
          <w:rFonts w:ascii="Times New Roman" w:hAnsi="Times New Roman" w:cs="Times New Roman"/>
          <w:sz w:val="24"/>
          <w:szCs w:val="24"/>
        </w:rPr>
        <w:lastRenderedPageBreak/>
        <w:t xml:space="preserve">Presenting models for a fully functional </w:t>
      </w:r>
      <w:r w:rsidR="00480485">
        <w:rPr>
          <w:rFonts w:ascii="Times New Roman" w:hAnsi="Times New Roman" w:cs="Times New Roman"/>
          <w:sz w:val="24"/>
          <w:szCs w:val="24"/>
        </w:rPr>
        <w:t xml:space="preserve">research development office </w:t>
      </w:r>
      <w:r w:rsidRPr="00C84586">
        <w:rPr>
          <w:rFonts w:ascii="Times New Roman" w:hAnsi="Times New Roman" w:cs="Times New Roman"/>
          <w:sz w:val="24"/>
          <w:szCs w:val="24"/>
        </w:rPr>
        <w:t xml:space="preserve">designed to increase </w:t>
      </w:r>
      <w:r w:rsidR="00B073CD">
        <w:rPr>
          <w:rFonts w:ascii="Times New Roman" w:hAnsi="Times New Roman" w:cs="Times New Roman"/>
          <w:sz w:val="24"/>
          <w:szCs w:val="24"/>
        </w:rPr>
        <w:t xml:space="preserve">university’s annual sponsored funding </w:t>
      </w:r>
      <w:proofErr w:type="gramStart"/>
      <w:r w:rsidR="00B073CD">
        <w:rPr>
          <w:rFonts w:ascii="Times New Roman" w:hAnsi="Times New Roman" w:cs="Times New Roman"/>
          <w:sz w:val="24"/>
          <w:szCs w:val="24"/>
        </w:rPr>
        <w:t>tot</w:t>
      </w:r>
      <w:r w:rsidR="00FB6F67">
        <w:rPr>
          <w:rFonts w:ascii="Times New Roman" w:hAnsi="Times New Roman" w:cs="Times New Roman"/>
          <w:sz w:val="24"/>
          <w:szCs w:val="24"/>
        </w:rPr>
        <w:t>als</w:t>
      </w:r>
      <w:r w:rsidR="00D158CC">
        <w:rPr>
          <w:rFonts w:ascii="Times New Roman" w:hAnsi="Times New Roman" w:cs="Times New Roman"/>
          <w:sz w:val="24"/>
          <w:szCs w:val="24"/>
        </w:rPr>
        <w:t>;</w:t>
      </w:r>
      <w:proofErr w:type="gramEnd"/>
    </w:p>
    <w:p w14:paraId="636DC00E" w14:textId="420EF197" w:rsidR="00C343E1" w:rsidRPr="002F6CA8" w:rsidRDefault="00C343E1" w:rsidP="00C343E1">
      <w:pPr>
        <w:pStyle w:val="ListParagraph"/>
        <w:numPr>
          <w:ilvl w:val="0"/>
          <w:numId w:val="20"/>
        </w:numPr>
        <w:spacing w:after="160" w:line="259" w:lineRule="auto"/>
        <w:jc w:val="both"/>
        <w:rPr>
          <w:rFonts w:ascii="Times New Roman" w:hAnsi="Times New Roman" w:cs="Times New Roman"/>
          <w:sz w:val="24"/>
          <w:szCs w:val="24"/>
        </w:rPr>
      </w:pPr>
      <w:r w:rsidRPr="002F6CA8">
        <w:rPr>
          <w:rFonts w:ascii="Times New Roman" w:hAnsi="Times New Roman" w:cs="Times New Roman"/>
          <w:sz w:val="24"/>
          <w:szCs w:val="24"/>
        </w:rPr>
        <w:t>Course management for online teaching: assessment,</w:t>
      </w:r>
      <w:r w:rsidR="00D158CC">
        <w:rPr>
          <w:rFonts w:ascii="Times New Roman" w:hAnsi="Times New Roman" w:cs="Times New Roman"/>
          <w:sz w:val="24"/>
          <w:szCs w:val="24"/>
        </w:rPr>
        <w:t xml:space="preserve"> platforms, feedback, </w:t>
      </w:r>
      <w:proofErr w:type="gramStart"/>
      <w:r w:rsidR="00D158CC">
        <w:rPr>
          <w:rFonts w:ascii="Times New Roman" w:hAnsi="Times New Roman" w:cs="Times New Roman"/>
          <w:sz w:val="24"/>
          <w:szCs w:val="24"/>
        </w:rPr>
        <w:t>integrity;</w:t>
      </w:r>
      <w:proofErr w:type="gramEnd"/>
      <w:r w:rsidRPr="002F6CA8">
        <w:rPr>
          <w:rFonts w:ascii="Times New Roman" w:hAnsi="Times New Roman" w:cs="Times New Roman"/>
          <w:sz w:val="24"/>
          <w:szCs w:val="24"/>
        </w:rPr>
        <w:t xml:space="preserve"> </w:t>
      </w:r>
    </w:p>
    <w:p w14:paraId="046DCFA0" w14:textId="77777777" w:rsidR="00C343E1" w:rsidRPr="002F6CA8" w:rsidRDefault="00C343E1" w:rsidP="00C343E1">
      <w:pPr>
        <w:pStyle w:val="ListParagraph"/>
        <w:numPr>
          <w:ilvl w:val="0"/>
          <w:numId w:val="20"/>
        </w:numPr>
        <w:spacing w:after="160" w:line="259" w:lineRule="auto"/>
        <w:jc w:val="both"/>
        <w:rPr>
          <w:rFonts w:ascii="Times New Roman" w:hAnsi="Times New Roman" w:cs="Times New Roman"/>
          <w:sz w:val="24"/>
          <w:szCs w:val="24"/>
        </w:rPr>
      </w:pPr>
      <w:r w:rsidRPr="002F6CA8">
        <w:rPr>
          <w:rFonts w:ascii="Times New Roman" w:hAnsi="Times New Roman" w:cs="Times New Roman"/>
          <w:sz w:val="24"/>
          <w:szCs w:val="24"/>
        </w:rPr>
        <w:t xml:space="preserve">Counseling on establishing joint programs and off-site </w:t>
      </w:r>
      <w:r>
        <w:rPr>
          <w:rFonts w:ascii="Times New Roman" w:hAnsi="Times New Roman" w:cs="Times New Roman"/>
          <w:sz w:val="24"/>
          <w:szCs w:val="24"/>
        </w:rPr>
        <w:t>activities (such as summer programs</w:t>
      </w:r>
      <w:r w:rsidRPr="002F6CA8">
        <w:rPr>
          <w:rFonts w:ascii="Times New Roman" w:hAnsi="Times New Roman" w:cs="Times New Roman"/>
          <w:sz w:val="24"/>
          <w:szCs w:val="24"/>
        </w:rPr>
        <w:t>) with the entrepreneurial entities.</w:t>
      </w:r>
    </w:p>
    <w:p w14:paraId="03C2EE3E" w14:textId="4C5A2C83" w:rsidR="00C343E1" w:rsidRDefault="00C343E1" w:rsidP="00C343E1">
      <w:pPr>
        <w:pStyle w:val="ListParagraph"/>
        <w:numPr>
          <w:ilvl w:val="0"/>
          <w:numId w:val="2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Visits to g</w:t>
      </w:r>
      <w:r w:rsidRPr="00F638A5">
        <w:rPr>
          <w:rFonts w:ascii="Times New Roman" w:hAnsi="Times New Roman" w:cs="Times New Roman"/>
          <w:sz w:val="24"/>
          <w:szCs w:val="24"/>
        </w:rPr>
        <w:t>overnment agencies in charge of fostering collaboration bet</w:t>
      </w:r>
      <w:r w:rsidR="00D158CC">
        <w:rPr>
          <w:rFonts w:ascii="Times New Roman" w:hAnsi="Times New Roman" w:cs="Times New Roman"/>
          <w:sz w:val="24"/>
          <w:szCs w:val="24"/>
        </w:rPr>
        <w:t xml:space="preserve">ween business and </w:t>
      </w:r>
      <w:proofErr w:type="gramStart"/>
      <w:r w:rsidR="00D158CC">
        <w:rPr>
          <w:rFonts w:ascii="Times New Roman" w:hAnsi="Times New Roman" w:cs="Times New Roman"/>
          <w:sz w:val="24"/>
          <w:szCs w:val="24"/>
        </w:rPr>
        <w:t>universities;</w:t>
      </w:r>
      <w:proofErr w:type="gramEnd"/>
    </w:p>
    <w:p w14:paraId="683A6E14" w14:textId="3629B6CD" w:rsidR="00C343E1" w:rsidRDefault="00C343E1" w:rsidP="00C343E1">
      <w:pPr>
        <w:pStyle w:val="ListParagraph"/>
        <w:numPr>
          <w:ilvl w:val="0"/>
          <w:numId w:val="2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Presentations and resources that convey</w:t>
      </w:r>
      <w:r w:rsidRPr="00F638A5">
        <w:rPr>
          <w:rFonts w:ascii="Times New Roman" w:hAnsi="Times New Roman" w:cs="Times New Roman"/>
          <w:sz w:val="24"/>
          <w:szCs w:val="24"/>
        </w:rPr>
        <w:t xml:space="preserve"> the principles of research commercialization and it</w:t>
      </w:r>
      <w:r w:rsidR="00D158CC">
        <w:rPr>
          <w:rFonts w:ascii="Times New Roman" w:hAnsi="Times New Roman" w:cs="Times New Roman"/>
          <w:sz w:val="24"/>
          <w:szCs w:val="24"/>
        </w:rPr>
        <w:t xml:space="preserve">s impact on economic </w:t>
      </w:r>
      <w:proofErr w:type="gramStart"/>
      <w:r w:rsidR="00D158CC">
        <w:rPr>
          <w:rFonts w:ascii="Times New Roman" w:hAnsi="Times New Roman" w:cs="Times New Roman"/>
          <w:sz w:val="24"/>
          <w:szCs w:val="24"/>
        </w:rPr>
        <w:t>growth;</w:t>
      </w:r>
      <w:proofErr w:type="gramEnd"/>
    </w:p>
    <w:p w14:paraId="249DDFE4" w14:textId="446D9F87" w:rsidR="00C343E1" w:rsidRDefault="00C343E1" w:rsidP="00C343E1">
      <w:pPr>
        <w:pStyle w:val="ListParagraph"/>
        <w:numPr>
          <w:ilvl w:val="0"/>
          <w:numId w:val="2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Visits to </w:t>
      </w:r>
      <w:r w:rsidRPr="00F638A5">
        <w:rPr>
          <w:rFonts w:ascii="Times New Roman" w:hAnsi="Times New Roman" w:cs="Times New Roman"/>
          <w:sz w:val="24"/>
          <w:szCs w:val="24"/>
        </w:rPr>
        <w:t>en</w:t>
      </w:r>
      <w:r>
        <w:rPr>
          <w:rFonts w:ascii="Times New Roman" w:hAnsi="Times New Roman" w:cs="Times New Roman"/>
          <w:sz w:val="24"/>
          <w:szCs w:val="24"/>
        </w:rPr>
        <w:t>trepreneurial universities and science/business/tech incubators to demonstrate how the</w:t>
      </w:r>
      <w:r w:rsidR="00D158CC">
        <w:rPr>
          <w:rFonts w:ascii="Times New Roman" w:hAnsi="Times New Roman" w:cs="Times New Roman"/>
          <w:sz w:val="24"/>
          <w:szCs w:val="24"/>
        </w:rPr>
        <w:t xml:space="preserve">y operate and can be </w:t>
      </w:r>
      <w:proofErr w:type="gramStart"/>
      <w:r w:rsidR="00D158CC">
        <w:rPr>
          <w:rFonts w:ascii="Times New Roman" w:hAnsi="Times New Roman" w:cs="Times New Roman"/>
          <w:sz w:val="24"/>
          <w:szCs w:val="24"/>
        </w:rPr>
        <w:t>replicated;</w:t>
      </w:r>
      <w:proofErr w:type="gramEnd"/>
    </w:p>
    <w:p w14:paraId="57A2F383" w14:textId="77777777" w:rsidR="00C343E1" w:rsidRDefault="00C343E1" w:rsidP="00C343E1">
      <w:pPr>
        <w:pStyle w:val="ListParagraph"/>
        <w:numPr>
          <w:ilvl w:val="0"/>
          <w:numId w:val="2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Explanations of how technology transfer offices support faculty and convert intellectual property into commercialized products or services through patents and/or licensing.</w:t>
      </w:r>
    </w:p>
    <w:p w14:paraId="2164BF95" w14:textId="3FAF9025" w:rsidR="00C343E1" w:rsidRDefault="00C343E1" w:rsidP="00C84586">
      <w:pPr>
        <w:autoSpaceDE w:val="0"/>
        <w:autoSpaceDN w:val="0"/>
        <w:adjustRightInd w:val="0"/>
        <w:spacing w:after="0" w:line="240" w:lineRule="auto"/>
        <w:rPr>
          <w:rFonts w:ascii="Times New Roman" w:hAnsi="Times New Roman" w:cs="Times New Roman"/>
          <w:color w:val="000000"/>
          <w:sz w:val="24"/>
          <w:szCs w:val="24"/>
        </w:rPr>
      </w:pPr>
      <w:r w:rsidRPr="009674B5">
        <w:rPr>
          <w:rFonts w:ascii="Times New Roman" w:hAnsi="Times New Roman" w:cs="Times New Roman"/>
          <w:color w:val="000000"/>
          <w:sz w:val="24"/>
          <w:szCs w:val="24"/>
        </w:rPr>
        <w:t>Appli</w:t>
      </w:r>
      <w:r>
        <w:rPr>
          <w:rFonts w:ascii="Times New Roman" w:hAnsi="Times New Roman" w:cs="Times New Roman"/>
          <w:color w:val="000000"/>
          <w:sz w:val="24"/>
          <w:szCs w:val="24"/>
        </w:rPr>
        <w:t xml:space="preserve">cants may propose other </w:t>
      </w:r>
      <w:r w:rsidRPr="009674B5">
        <w:rPr>
          <w:rFonts w:ascii="Times New Roman" w:hAnsi="Times New Roman" w:cs="Times New Roman"/>
          <w:color w:val="000000"/>
          <w:sz w:val="24"/>
          <w:szCs w:val="24"/>
        </w:rPr>
        <w:t xml:space="preserve">activities not specifically mentioned in this solicitation if the activities reinforce the impact of the project. A detailed program timeline for the entire grant period that outlines how components unfold and complement each other must be included in the proposal. </w:t>
      </w:r>
    </w:p>
    <w:p w14:paraId="31168C8C" w14:textId="77777777" w:rsidR="00C343E1" w:rsidRPr="009674B5" w:rsidRDefault="00C343E1" w:rsidP="00C343E1">
      <w:pPr>
        <w:autoSpaceDE w:val="0"/>
        <w:autoSpaceDN w:val="0"/>
        <w:adjustRightInd w:val="0"/>
        <w:spacing w:after="0" w:line="240" w:lineRule="auto"/>
        <w:rPr>
          <w:rFonts w:ascii="Times New Roman" w:hAnsi="Times New Roman" w:cs="Times New Roman"/>
          <w:color w:val="000000"/>
          <w:sz w:val="24"/>
          <w:szCs w:val="24"/>
        </w:rPr>
      </w:pPr>
    </w:p>
    <w:p w14:paraId="491AB365" w14:textId="77777777" w:rsidR="00C343E1" w:rsidRDefault="00C343E1" w:rsidP="00C343E1">
      <w:pPr>
        <w:jc w:val="both"/>
        <w:rPr>
          <w:rFonts w:ascii="Times New Roman" w:hAnsi="Times New Roman" w:cs="Times New Roman"/>
          <w:sz w:val="24"/>
          <w:szCs w:val="24"/>
        </w:rPr>
      </w:pPr>
      <w:r w:rsidRPr="009674B5">
        <w:rPr>
          <w:rFonts w:ascii="Times New Roman" w:hAnsi="Times New Roman" w:cs="Times New Roman"/>
          <w:color w:val="000000"/>
          <w:sz w:val="24"/>
          <w:szCs w:val="24"/>
        </w:rPr>
        <w:t xml:space="preserve">The names of proposed Georgian participants must be reviewed and approved in advance of U.S. travel by the Public Affairs Section (PAS) of the U.S. Embassy in Tbilisi. PAS anticipates that </w:t>
      </w:r>
      <w:proofErr w:type="gramStart"/>
      <w:r w:rsidRPr="009674B5">
        <w:rPr>
          <w:rFonts w:ascii="Times New Roman" w:hAnsi="Times New Roman" w:cs="Times New Roman"/>
          <w:color w:val="000000"/>
          <w:sz w:val="24"/>
          <w:szCs w:val="24"/>
        </w:rPr>
        <w:t>the majority of</w:t>
      </w:r>
      <w:proofErr w:type="gramEnd"/>
      <w:r w:rsidRPr="009674B5">
        <w:rPr>
          <w:rFonts w:ascii="Times New Roman" w:hAnsi="Times New Roman" w:cs="Times New Roman"/>
          <w:color w:val="000000"/>
          <w:sz w:val="24"/>
          <w:szCs w:val="24"/>
        </w:rPr>
        <w:t xml:space="preserve"> Georgian participants will not have working-level competency in English</w:t>
      </w:r>
      <w:r>
        <w:rPr>
          <w:rFonts w:ascii="Times New Roman" w:hAnsi="Times New Roman" w:cs="Times New Roman"/>
          <w:color w:val="000000"/>
          <w:sz w:val="24"/>
          <w:szCs w:val="24"/>
        </w:rPr>
        <w:t xml:space="preserve"> and high-quality (preferably simultaneous) translation will need to be budgeted in the grant, </w:t>
      </w:r>
      <w:r w:rsidRPr="00870D46">
        <w:rPr>
          <w:rFonts w:ascii="Times New Roman" w:hAnsi="Times New Roman" w:cs="Times New Roman"/>
          <w:color w:val="000000"/>
          <w:sz w:val="24"/>
          <w:szCs w:val="24"/>
        </w:rPr>
        <w:t>as should airfare, hotel, international travel insurance, visa B1/B2 fee, meals and incidental expenses for study tour participants</w:t>
      </w:r>
      <w:r>
        <w:rPr>
          <w:rFonts w:ascii="Times New Roman" w:hAnsi="Times New Roman" w:cs="Times New Roman"/>
          <w:color w:val="000000"/>
          <w:sz w:val="24"/>
          <w:szCs w:val="24"/>
        </w:rPr>
        <w:t xml:space="preserve">. For monitoring, </w:t>
      </w:r>
      <w:proofErr w:type="gramStart"/>
      <w:r>
        <w:rPr>
          <w:rFonts w:ascii="Times New Roman" w:hAnsi="Times New Roman" w:cs="Times New Roman"/>
          <w:color w:val="000000"/>
          <w:sz w:val="24"/>
          <w:szCs w:val="24"/>
        </w:rPr>
        <w:t>evaluation</w:t>
      </w:r>
      <w:proofErr w:type="gramEnd"/>
      <w:r>
        <w:rPr>
          <w:rFonts w:ascii="Times New Roman" w:hAnsi="Times New Roman" w:cs="Times New Roman"/>
          <w:color w:val="000000"/>
          <w:sz w:val="24"/>
          <w:szCs w:val="24"/>
        </w:rPr>
        <w:t xml:space="preserve"> and learning (MEL) purposes, PAS Grant Officer Representative (GOR) will serve as a facilitator for the study tour. GOR expenses will be covered by the U.S. Embassy. </w:t>
      </w:r>
    </w:p>
    <w:p w14:paraId="2061100C" w14:textId="77777777" w:rsidR="00C343E1" w:rsidRDefault="00C343E1" w:rsidP="00C343E1">
      <w:pPr>
        <w:jc w:val="both"/>
        <w:rPr>
          <w:rFonts w:ascii="Times New Roman" w:hAnsi="Times New Roman" w:cs="Times New Roman"/>
          <w:b/>
          <w:sz w:val="24"/>
          <w:szCs w:val="24"/>
        </w:rPr>
      </w:pPr>
    </w:p>
    <w:p w14:paraId="46B1547B" w14:textId="77777777" w:rsidR="00C343E1" w:rsidRPr="00870D46" w:rsidRDefault="00C343E1" w:rsidP="00C343E1">
      <w:pPr>
        <w:jc w:val="both"/>
        <w:rPr>
          <w:rFonts w:ascii="Times New Roman" w:hAnsi="Times New Roman" w:cs="Times New Roman"/>
          <w:b/>
          <w:sz w:val="24"/>
          <w:szCs w:val="24"/>
        </w:rPr>
      </w:pPr>
      <w:r w:rsidRPr="00870D46">
        <w:rPr>
          <w:rFonts w:ascii="Times New Roman" w:hAnsi="Times New Roman" w:cs="Times New Roman"/>
          <w:b/>
          <w:sz w:val="24"/>
          <w:szCs w:val="24"/>
        </w:rPr>
        <w:t xml:space="preserve">EXPECTED RESULTS </w:t>
      </w:r>
    </w:p>
    <w:p w14:paraId="1C02CE66" w14:textId="3F96A237" w:rsidR="00C343E1" w:rsidRPr="00F638A5" w:rsidRDefault="2A104D46" w:rsidP="00C343E1">
      <w:pPr>
        <w:jc w:val="both"/>
        <w:rPr>
          <w:rFonts w:ascii="Times New Roman" w:hAnsi="Times New Roman" w:cs="Times New Roman"/>
          <w:sz w:val="24"/>
          <w:szCs w:val="24"/>
        </w:rPr>
      </w:pPr>
      <w:r w:rsidRPr="2A104D46">
        <w:rPr>
          <w:rFonts w:ascii="Times New Roman" w:hAnsi="Times New Roman" w:cs="Times New Roman"/>
          <w:sz w:val="24"/>
          <w:szCs w:val="24"/>
        </w:rPr>
        <w:t xml:space="preserve">The </w:t>
      </w:r>
      <w:proofErr w:type="gramStart"/>
      <w:r w:rsidRPr="2A104D46">
        <w:rPr>
          <w:rFonts w:ascii="Times New Roman" w:hAnsi="Times New Roman" w:cs="Times New Roman"/>
          <w:sz w:val="24"/>
          <w:szCs w:val="24"/>
        </w:rPr>
        <w:t>final outcome</w:t>
      </w:r>
      <w:proofErr w:type="gramEnd"/>
      <w:r w:rsidRPr="2A104D46">
        <w:rPr>
          <w:rFonts w:ascii="Times New Roman" w:hAnsi="Times New Roman" w:cs="Times New Roman"/>
          <w:sz w:val="24"/>
          <w:szCs w:val="24"/>
        </w:rPr>
        <w:t xml:space="preserve"> of the project is overall enhanced capacity of university personnel, better awareness on business-university-government collaboration, and practical decisions to strengthen capacities of university research development offices. The following are recommended projected outcomes of the program:</w:t>
      </w:r>
    </w:p>
    <w:p w14:paraId="230E2219" w14:textId="77777777" w:rsidR="00FE72B3" w:rsidRPr="002F6CA8" w:rsidRDefault="00FE72B3" w:rsidP="00FE72B3">
      <w:pPr>
        <w:pStyle w:val="ListParagraph"/>
        <w:numPr>
          <w:ilvl w:val="0"/>
          <w:numId w:val="21"/>
        </w:numPr>
        <w:spacing w:after="160" w:line="259" w:lineRule="auto"/>
        <w:jc w:val="both"/>
        <w:rPr>
          <w:rFonts w:ascii="Times New Roman" w:hAnsi="Times New Roman" w:cs="Times New Roman"/>
          <w:sz w:val="24"/>
          <w:szCs w:val="24"/>
        </w:rPr>
      </w:pPr>
      <w:r w:rsidRPr="002F6CA8">
        <w:rPr>
          <w:rFonts w:ascii="Times New Roman" w:hAnsi="Times New Roman" w:cs="Times New Roman"/>
          <w:sz w:val="24"/>
          <w:szCs w:val="24"/>
        </w:rPr>
        <w:t xml:space="preserve">Greater use of university research output by entrepreneurial entities, through targeted business-university collaboration efforts. </w:t>
      </w:r>
    </w:p>
    <w:p w14:paraId="32B4DF1F" w14:textId="10D9E336" w:rsidR="00C343E1" w:rsidRDefault="2A104D46" w:rsidP="00C343E1">
      <w:pPr>
        <w:pStyle w:val="ListParagraph"/>
        <w:numPr>
          <w:ilvl w:val="0"/>
          <w:numId w:val="21"/>
        </w:numPr>
        <w:spacing w:after="160" w:line="259" w:lineRule="auto"/>
        <w:jc w:val="both"/>
        <w:rPr>
          <w:rFonts w:ascii="Times New Roman" w:hAnsi="Times New Roman" w:cs="Times New Roman"/>
          <w:sz w:val="24"/>
          <w:szCs w:val="24"/>
        </w:rPr>
      </w:pPr>
      <w:r w:rsidRPr="2A104D46">
        <w:rPr>
          <w:rFonts w:ascii="Times New Roman" w:hAnsi="Times New Roman" w:cs="Times New Roman"/>
          <w:sz w:val="24"/>
          <w:szCs w:val="24"/>
        </w:rPr>
        <w:t xml:space="preserve">Establishment of a network of Georgian university administrators/ personnel responsible for business-university-government collaboration with information and experience gained through the </w:t>
      </w:r>
      <w:proofErr w:type="gramStart"/>
      <w:r w:rsidRPr="2A104D46">
        <w:rPr>
          <w:rFonts w:ascii="Times New Roman" w:hAnsi="Times New Roman" w:cs="Times New Roman"/>
          <w:sz w:val="24"/>
          <w:szCs w:val="24"/>
        </w:rPr>
        <w:t>UCBP;</w:t>
      </w:r>
      <w:proofErr w:type="gramEnd"/>
    </w:p>
    <w:p w14:paraId="5FE0675A" w14:textId="40B378CF" w:rsidR="00C343E1" w:rsidRPr="002F6CA8" w:rsidRDefault="00C343E1" w:rsidP="00C343E1">
      <w:pPr>
        <w:pStyle w:val="ListParagraph"/>
        <w:numPr>
          <w:ilvl w:val="0"/>
          <w:numId w:val="21"/>
        </w:numPr>
        <w:spacing w:after="160" w:line="259" w:lineRule="auto"/>
        <w:jc w:val="both"/>
        <w:rPr>
          <w:rFonts w:ascii="Times New Roman" w:hAnsi="Times New Roman" w:cs="Times New Roman"/>
          <w:sz w:val="24"/>
          <w:szCs w:val="24"/>
        </w:rPr>
      </w:pPr>
      <w:r w:rsidRPr="002F6CA8">
        <w:rPr>
          <w:rFonts w:ascii="Times New Roman" w:hAnsi="Times New Roman" w:cs="Times New Roman"/>
          <w:sz w:val="24"/>
          <w:szCs w:val="24"/>
        </w:rPr>
        <w:t xml:space="preserve">Establishment </w:t>
      </w:r>
      <w:r w:rsidR="00A06C4B" w:rsidRPr="002F6CA8">
        <w:rPr>
          <w:rFonts w:ascii="Times New Roman" w:hAnsi="Times New Roman" w:cs="Times New Roman"/>
          <w:sz w:val="24"/>
          <w:szCs w:val="24"/>
        </w:rPr>
        <w:t>of Research</w:t>
      </w:r>
      <w:r w:rsidR="008B130A">
        <w:rPr>
          <w:rFonts w:ascii="Times New Roman" w:hAnsi="Times New Roman" w:cs="Times New Roman"/>
          <w:sz w:val="24"/>
          <w:szCs w:val="24"/>
        </w:rPr>
        <w:t xml:space="preserve"> </w:t>
      </w:r>
      <w:r w:rsidRPr="002F6CA8">
        <w:rPr>
          <w:rFonts w:ascii="Times New Roman" w:hAnsi="Times New Roman" w:cs="Times New Roman"/>
          <w:sz w:val="24"/>
          <w:szCs w:val="24"/>
        </w:rPr>
        <w:t>Deve</w:t>
      </w:r>
      <w:r w:rsidR="008B130A">
        <w:rPr>
          <w:rFonts w:ascii="Times New Roman" w:hAnsi="Times New Roman" w:cs="Times New Roman"/>
          <w:sz w:val="24"/>
          <w:szCs w:val="24"/>
        </w:rPr>
        <w:t>l</w:t>
      </w:r>
      <w:r w:rsidRPr="002F6CA8">
        <w:rPr>
          <w:rFonts w:ascii="Times New Roman" w:hAnsi="Times New Roman" w:cs="Times New Roman"/>
          <w:sz w:val="24"/>
          <w:szCs w:val="24"/>
        </w:rPr>
        <w:t xml:space="preserve">opment and fundraising offices wherever needed, or, where they already </w:t>
      </w:r>
      <w:r w:rsidR="00D158CC">
        <w:rPr>
          <w:rFonts w:ascii="Times New Roman" w:hAnsi="Times New Roman" w:cs="Times New Roman"/>
          <w:sz w:val="24"/>
          <w:szCs w:val="24"/>
        </w:rPr>
        <w:t xml:space="preserve">exist, their improved </w:t>
      </w:r>
      <w:proofErr w:type="gramStart"/>
      <w:r w:rsidR="00D158CC">
        <w:rPr>
          <w:rFonts w:ascii="Times New Roman" w:hAnsi="Times New Roman" w:cs="Times New Roman"/>
          <w:sz w:val="24"/>
          <w:szCs w:val="24"/>
        </w:rPr>
        <w:t>operation;</w:t>
      </w:r>
      <w:proofErr w:type="gramEnd"/>
    </w:p>
    <w:p w14:paraId="3EE9BF49" w14:textId="61DCF802" w:rsidR="00C343E1" w:rsidRDefault="2A104D46" w:rsidP="00C343E1">
      <w:pPr>
        <w:pStyle w:val="ListParagraph"/>
        <w:numPr>
          <w:ilvl w:val="0"/>
          <w:numId w:val="21"/>
        </w:numPr>
        <w:spacing w:after="160" w:line="259" w:lineRule="auto"/>
        <w:jc w:val="both"/>
        <w:rPr>
          <w:rFonts w:ascii="Times New Roman" w:hAnsi="Times New Roman" w:cs="Times New Roman"/>
          <w:sz w:val="24"/>
          <w:szCs w:val="24"/>
        </w:rPr>
      </w:pPr>
      <w:r w:rsidRPr="2A104D46">
        <w:rPr>
          <w:rFonts w:ascii="Times New Roman" w:hAnsi="Times New Roman" w:cs="Times New Roman"/>
          <w:sz w:val="24"/>
          <w:szCs w:val="24"/>
        </w:rPr>
        <w:lastRenderedPageBreak/>
        <w:t xml:space="preserve">Integration of new online courses and joint programs for improved use of online resources for university-business collaboration, utilizing more robust systems for online course management and project management, including assessment, monitoring, impact measurement, </w:t>
      </w:r>
      <w:proofErr w:type="gramStart"/>
      <w:r w:rsidRPr="2A104D46">
        <w:rPr>
          <w:rFonts w:ascii="Times New Roman" w:hAnsi="Times New Roman" w:cs="Times New Roman"/>
          <w:sz w:val="24"/>
          <w:szCs w:val="24"/>
        </w:rPr>
        <w:t>etc.;</w:t>
      </w:r>
      <w:proofErr w:type="gramEnd"/>
    </w:p>
    <w:p w14:paraId="285C3A53" w14:textId="52E41D6E" w:rsidR="00C343E1" w:rsidRPr="006E22E6" w:rsidRDefault="00C343E1" w:rsidP="00C343E1">
      <w:pPr>
        <w:pStyle w:val="ListParagraph"/>
        <w:numPr>
          <w:ilvl w:val="0"/>
          <w:numId w:val="21"/>
        </w:numPr>
        <w:spacing w:after="160" w:line="259" w:lineRule="auto"/>
        <w:jc w:val="both"/>
        <w:rPr>
          <w:rFonts w:ascii="Times New Roman" w:hAnsi="Times New Roman" w:cs="Times New Roman"/>
          <w:sz w:val="24"/>
          <w:szCs w:val="24"/>
        </w:rPr>
      </w:pPr>
      <w:r w:rsidRPr="002F6CA8">
        <w:rPr>
          <w:rFonts w:ascii="Times New Roman" w:hAnsi="Times New Roman" w:cs="Times New Roman"/>
          <w:sz w:val="24"/>
          <w:szCs w:val="24"/>
        </w:rPr>
        <w:t>Establishment of sustainable institutionalized ties between the universities and business associations, thus contributing to Georgian universities’ more effective collaboration with potential e</w:t>
      </w:r>
      <w:r w:rsidR="00D158CC">
        <w:rPr>
          <w:rFonts w:ascii="Times New Roman" w:hAnsi="Times New Roman" w:cs="Times New Roman"/>
          <w:sz w:val="24"/>
          <w:szCs w:val="24"/>
        </w:rPr>
        <w:t xml:space="preserve">mployers in private sector and </w:t>
      </w:r>
      <w:r w:rsidR="00A06C4B">
        <w:rPr>
          <w:rFonts w:ascii="Times New Roman" w:hAnsi="Times New Roman" w:cs="Times New Roman"/>
          <w:sz w:val="24"/>
          <w:szCs w:val="24"/>
        </w:rPr>
        <w:t>government.</w:t>
      </w:r>
    </w:p>
    <w:p w14:paraId="3CEAA532" w14:textId="77777777" w:rsidR="00C343E1" w:rsidRPr="002F6CA8" w:rsidRDefault="00C343E1" w:rsidP="00C343E1">
      <w:pPr>
        <w:pStyle w:val="ListParagraph"/>
        <w:spacing w:after="160" w:line="259" w:lineRule="auto"/>
        <w:ind w:left="1080"/>
        <w:jc w:val="both"/>
        <w:rPr>
          <w:rFonts w:ascii="Times New Roman" w:hAnsi="Times New Roman" w:cs="Times New Roman"/>
          <w:sz w:val="24"/>
          <w:szCs w:val="24"/>
        </w:rPr>
      </w:pPr>
    </w:p>
    <w:p w14:paraId="10D031A1" w14:textId="3895A972" w:rsidR="00C343E1" w:rsidRDefault="00C343E1" w:rsidP="00C343E1">
      <w:pPr>
        <w:jc w:val="both"/>
        <w:rPr>
          <w:rFonts w:ascii="Times New Roman" w:hAnsi="Times New Roman" w:cs="Times New Roman"/>
          <w:sz w:val="24"/>
          <w:szCs w:val="24"/>
        </w:rPr>
      </w:pPr>
      <w:r w:rsidRPr="00F638A5">
        <w:rPr>
          <w:rFonts w:ascii="Times New Roman" w:hAnsi="Times New Roman" w:cs="Times New Roman"/>
          <w:sz w:val="24"/>
          <w:szCs w:val="24"/>
        </w:rPr>
        <w:t xml:space="preserve">Some of these results are expected to emerge in </w:t>
      </w:r>
      <w:r w:rsidR="00FE72B3">
        <w:rPr>
          <w:rFonts w:ascii="Times New Roman" w:hAnsi="Times New Roman" w:cs="Times New Roman"/>
          <w:sz w:val="24"/>
          <w:szCs w:val="24"/>
        </w:rPr>
        <w:t xml:space="preserve">a </w:t>
      </w:r>
      <w:r w:rsidRPr="00F638A5">
        <w:rPr>
          <w:rFonts w:ascii="Times New Roman" w:hAnsi="Times New Roman" w:cs="Times New Roman"/>
          <w:sz w:val="24"/>
          <w:szCs w:val="24"/>
        </w:rPr>
        <w:t>short-term period, such as appointment of new university officers in charge of university-business collaboration or fundraising, or the establishment of the academia-business-government networks.</w:t>
      </w:r>
      <w:r w:rsidR="00C84586">
        <w:rPr>
          <w:rFonts w:ascii="Times New Roman" w:hAnsi="Times New Roman" w:cs="Times New Roman"/>
          <w:sz w:val="24"/>
          <w:szCs w:val="24"/>
        </w:rPr>
        <w:t xml:space="preserve"> </w:t>
      </w:r>
      <w:r w:rsidR="00C84586" w:rsidRPr="007B2AF2">
        <w:rPr>
          <w:rFonts w:ascii="Times New Roman" w:hAnsi="Times New Roman" w:cs="Times New Roman"/>
          <w:b/>
          <w:bCs/>
          <w:sz w:val="24"/>
          <w:szCs w:val="24"/>
        </w:rPr>
        <w:t xml:space="preserve">Micro fund </w:t>
      </w:r>
      <w:r w:rsidR="00F71340" w:rsidRPr="007B2AF2">
        <w:rPr>
          <w:rFonts w:ascii="Times New Roman" w:hAnsi="Times New Roman" w:cs="Times New Roman"/>
          <w:b/>
          <w:bCs/>
          <w:sz w:val="24"/>
          <w:szCs w:val="24"/>
        </w:rPr>
        <w:t xml:space="preserve">that will be </w:t>
      </w:r>
      <w:proofErr w:type="gramStart"/>
      <w:r w:rsidR="00F71340" w:rsidRPr="007B2AF2">
        <w:rPr>
          <w:rFonts w:ascii="Times New Roman" w:hAnsi="Times New Roman" w:cs="Times New Roman"/>
          <w:b/>
          <w:bCs/>
          <w:sz w:val="24"/>
          <w:szCs w:val="24"/>
        </w:rPr>
        <w:t xml:space="preserve">allocated </w:t>
      </w:r>
      <w:r w:rsidR="00D158CC" w:rsidRPr="007B2AF2">
        <w:rPr>
          <w:rFonts w:ascii="Times New Roman" w:hAnsi="Times New Roman" w:cs="Times New Roman"/>
          <w:b/>
          <w:bCs/>
          <w:sz w:val="24"/>
          <w:szCs w:val="24"/>
        </w:rPr>
        <w:t xml:space="preserve"> within</w:t>
      </w:r>
      <w:proofErr w:type="gramEnd"/>
      <w:r w:rsidR="00D158CC" w:rsidRPr="007B2AF2">
        <w:rPr>
          <w:rFonts w:ascii="Times New Roman" w:hAnsi="Times New Roman" w:cs="Times New Roman"/>
          <w:b/>
          <w:bCs/>
          <w:sz w:val="24"/>
          <w:szCs w:val="24"/>
        </w:rPr>
        <w:t xml:space="preserve"> the award </w:t>
      </w:r>
      <w:r w:rsidR="00F71340" w:rsidRPr="007B2AF2">
        <w:rPr>
          <w:rFonts w:ascii="Times New Roman" w:hAnsi="Times New Roman" w:cs="Times New Roman"/>
          <w:b/>
          <w:bCs/>
          <w:sz w:val="24"/>
          <w:szCs w:val="24"/>
        </w:rPr>
        <w:t xml:space="preserve">as part </w:t>
      </w:r>
      <w:r w:rsidR="00C84586" w:rsidRPr="007B2AF2">
        <w:rPr>
          <w:rFonts w:ascii="Times New Roman" w:hAnsi="Times New Roman" w:cs="Times New Roman"/>
          <w:b/>
          <w:bCs/>
          <w:sz w:val="24"/>
          <w:szCs w:val="24"/>
        </w:rPr>
        <w:t>of sustainability measures for participants</w:t>
      </w:r>
      <w:r w:rsidR="00F71340" w:rsidRPr="007B2AF2">
        <w:rPr>
          <w:rFonts w:ascii="Times New Roman" w:hAnsi="Times New Roman" w:cs="Times New Roman"/>
          <w:b/>
          <w:bCs/>
          <w:sz w:val="24"/>
          <w:szCs w:val="24"/>
        </w:rPr>
        <w:t xml:space="preserve"> should enable program beneficiaries to produce desired outputs</w:t>
      </w:r>
      <w:r w:rsidR="00F71340">
        <w:rPr>
          <w:rFonts w:ascii="Times New Roman" w:hAnsi="Times New Roman" w:cs="Times New Roman"/>
          <w:sz w:val="24"/>
          <w:szCs w:val="24"/>
        </w:rPr>
        <w:t xml:space="preserve">. On the other hand, </w:t>
      </w:r>
      <w:r w:rsidR="00F71340" w:rsidRPr="00F638A5">
        <w:rPr>
          <w:rFonts w:ascii="Times New Roman" w:hAnsi="Times New Roman" w:cs="Times New Roman"/>
          <w:sz w:val="24"/>
          <w:szCs w:val="24"/>
        </w:rPr>
        <w:t>raising</w:t>
      </w:r>
      <w:r w:rsidRPr="00F638A5">
        <w:rPr>
          <w:rFonts w:ascii="Times New Roman" w:hAnsi="Times New Roman" w:cs="Times New Roman"/>
          <w:sz w:val="24"/>
          <w:szCs w:val="24"/>
        </w:rPr>
        <w:t xml:space="preserve"> of the awareness of the need of research in manufacturing and service industry or improved entrepreneurial culture in universities is to take a longer </w:t>
      </w:r>
      <w:proofErr w:type="gramStart"/>
      <w:r w:rsidRPr="00F638A5">
        <w:rPr>
          <w:rFonts w:ascii="Times New Roman" w:hAnsi="Times New Roman" w:cs="Times New Roman"/>
          <w:sz w:val="24"/>
          <w:szCs w:val="24"/>
        </w:rPr>
        <w:t>period of time</w:t>
      </w:r>
      <w:proofErr w:type="gramEnd"/>
      <w:r w:rsidRPr="00F638A5">
        <w:rPr>
          <w:rFonts w:ascii="Times New Roman" w:hAnsi="Times New Roman" w:cs="Times New Roman"/>
          <w:sz w:val="24"/>
          <w:szCs w:val="24"/>
        </w:rPr>
        <w:t xml:space="preserve">. </w:t>
      </w:r>
    </w:p>
    <w:p w14:paraId="1E0CA563" w14:textId="77777777" w:rsidR="00C343E1" w:rsidRDefault="00C343E1" w:rsidP="00C343E1">
      <w:pPr>
        <w:jc w:val="both"/>
        <w:rPr>
          <w:rFonts w:ascii="Times New Roman" w:hAnsi="Times New Roman" w:cs="Times New Roman"/>
          <w:sz w:val="24"/>
          <w:szCs w:val="24"/>
        </w:rPr>
      </w:pPr>
    </w:p>
    <w:p w14:paraId="3B09A9A2" w14:textId="77777777" w:rsidR="00F857EA" w:rsidRPr="00F857EA" w:rsidRDefault="00F857EA" w:rsidP="00F857EA">
      <w:pPr>
        <w:pStyle w:val="Default"/>
        <w:rPr>
          <w:u w:val="single"/>
        </w:rPr>
      </w:pPr>
      <w:r w:rsidRPr="00F857EA">
        <w:rPr>
          <w:b/>
          <w:bCs/>
          <w:u w:val="single"/>
        </w:rPr>
        <w:t xml:space="preserve">B. FEDERAL AWARD INFORMATION </w:t>
      </w:r>
    </w:p>
    <w:p w14:paraId="3DEEC669" w14:textId="77777777" w:rsidR="00615F3A" w:rsidRDefault="00615F3A" w:rsidP="00615F3A">
      <w:pPr>
        <w:pStyle w:val="Default"/>
        <w:rPr>
          <w:b/>
          <w:bCs/>
        </w:rPr>
      </w:pPr>
    </w:p>
    <w:p w14:paraId="648892F3" w14:textId="7E86CC13" w:rsidR="00615F3A" w:rsidRDefault="2A104D46" w:rsidP="4C63D7E2">
      <w:pPr>
        <w:pStyle w:val="Default"/>
        <w:rPr>
          <w:b/>
          <w:bCs/>
        </w:rPr>
      </w:pPr>
      <w:r w:rsidRPr="2A104D46">
        <w:rPr>
          <w:b/>
          <w:bCs/>
        </w:rPr>
        <w:t>Application Submission: June 1, 2021 – July 30, 2021</w:t>
      </w:r>
    </w:p>
    <w:p w14:paraId="64F24752" w14:textId="2E82A106" w:rsidR="00F857EA" w:rsidRPr="00F857EA" w:rsidRDefault="00615F3A" w:rsidP="00615F3A">
      <w:pPr>
        <w:pStyle w:val="Default"/>
      </w:pPr>
      <w:r w:rsidRPr="4C63D7E2">
        <w:rPr>
          <w:b/>
          <w:bCs/>
        </w:rPr>
        <w:t>L</w:t>
      </w:r>
      <w:r w:rsidR="00F857EA" w:rsidRPr="4C63D7E2">
        <w:rPr>
          <w:b/>
          <w:bCs/>
        </w:rPr>
        <w:t>ength of performance period</w:t>
      </w:r>
      <w:r w:rsidR="00F857EA">
        <w:t>: up to 1</w:t>
      </w:r>
      <w:r w:rsidR="505236F3">
        <w:t>8</w:t>
      </w:r>
      <w:r w:rsidR="00F857EA">
        <w:t xml:space="preserve"> months</w:t>
      </w:r>
      <w:r w:rsidR="765346B4">
        <w:t xml:space="preserve"> with possibility of</w:t>
      </w:r>
      <w:r w:rsidR="00017128">
        <w:t xml:space="preserve"> time</w:t>
      </w:r>
      <w:r w:rsidR="00FD11C0">
        <w:t>/</w:t>
      </w:r>
      <w:r w:rsidR="765346B4">
        <w:t xml:space="preserve"> cost extension</w:t>
      </w:r>
      <w:r w:rsidR="00F857EA">
        <w:t xml:space="preserve"> </w:t>
      </w:r>
    </w:p>
    <w:p w14:paraId="740CAAA8" w14:textId="6D64EF3E" w:rsidR="00F857EA" w:rsidRPr="00F857EA" w:rsidRDefault="1C379476" w:rsidP="00F857EA">
      <w:pPr>
        <w:pStyle w:val="Default"/>
      </w:pPr>
      <w:r w:rsidRPr="4C63D7E2">
        <w:rPr>
          <w:b/>
          <w:bCs/>
        </w:rPr>
        <w:t>A</w:t>
      </w:r>
      <w:r w:rsidR="00F857EA" w:rsidRPr="4C63D7E2">
        <w:rPr>
          <w:b/>
          <w:bCs/>
        </w:rPr>
        <w:t>ward amounts</w:t>
      </w:r>
      <w:r w:rsidR="00F857EA">
        <w:t>: The maximum amount of a grant is $</w:t>
      </w:r>
      <w:r w:rsidR="48084DD6">
        <w:t>200,000</w:t>
      </w:r>
      <w:r w:rsidR="00F857EA">
        <w:t xml:space="preserve"> </w:t>
      </w:r>
    </w:p>
    <w:p w14:paraId="7B6EB7FF" w14:textId="77777777" w:rsidR="00F857EA" w:rsidRPr="00F857EA" w:rsidRDefault="00F857EA" w:rsidP="00F857EA">
      <w:pPr>
        <w:pStyle w:val="Default"/>
      </w:pPr>
      <w:r w:rsidRPr="00F857EA">
        <w:rPr>
          <w:b/>
          <w:bCs/>
        </w:rPr>
        <w:t>Type of Funding</w:t>
      </w:r>
      <w:r w:rsidR="00615F3A">
        <w:t>: FY20/21</w:t>
      </w:r>
      <w:r w:rsidRPr="00F857EA">
        <w:t xml:space="preserve"> Economic Support Funds under the Foreign Assistance Act </w:t>
      </w:r>
    </w:p>
    <w:p w14:paraId="46011210" w14:textId="77777777" w:rsidR="00F857EA" w:rsidRPr="00F857EA" w:rsidRDefault="00F857EA" w:rsidP="00F857EA">
      <w:pPr>
        <w:pStyle w:val="Default"/>
      </w:pPr>
      <w:r w:rsidRPr="00F857EA">
        <w:rPr>
          <w:b/>
          <w:bCs/>
        </w:rPr>
        <w:t xml:space="preserve">Anticipated </w:t>
      </w:r>
      <w:proofErr w:type="gramStart"/>
      <w:r w:rsidRPr="00F857EA">
        <w:rPr>
          <w:b/>
          <w:bCs/>
        </w:rPr>
        <w:t>program</w:t>
      </w:r>
      <w:proofErr w:type="gramEnd"/>
      <w:r w:rsidRPr="00F857EA">
        <w:rPr>
          <w:b/>
          <w:bCs/>
        </w:rPr>
        <w:t xml:space="preserve"> start date: </w:t>
      </w:r>
      <w:r w:rsidRPr="00F857EA">
        <w:t>September 202</w:t>
      </w:r>
      <w:r w:rsidR="00615F3A">
        <w:t>1</w:t>
      </w:r>
      <w:r w:rsidRPr="00F857EA">
        <w:t xml:space="preserve"> </w:t>
      </w:r>
    </w:p>
    <w:p w14:paraId="66C4212A" w14:textId="3B274805" w:rsidR="00F857EA" w:rsidRPr="00F857EA" w:rsidRDefault="00F857EA" w:rsidP="4C63D7E2">
      <w:pPr>
        <w:pStyle w:val="Default"/>
        <w:rPr>
          <w:b/>
          <w:bCs/>
        </w:rPr>
      </w:pPr>
      <w:r w:rsidRPr="4C63D7E2">
        <w:rPr>
          <w:b/>
          <w:bCs/>
        </w:rPr>
        <w:t xml:space="preserve">Funding Instrument Type: </w:t>
      </w:r>
      <w:r w:rsidR="4F3EC6E5">
        <w:t>Cooperative Agreement</w:t>
      </w:r>
    </w:p>
    <w:p w14:paraId="075F20AB" w14:textId="15AFF936" w:rsidR="00F857EA" w:rsidRDefault="00F857EA" w:rsidP="00F857EA">
      <w:pPr>
        <w:pStyle w:val="Default"/>
      </w:pPr>
      <w:r w:rsidRPr="4C63D7E2">
        <w:rPr>
          <w:b/>
          <w:bCs/>
        </w:rPr>
        <w:t>Program Performance Period</w:t>
      </w:r>
      <w:r>
        <w:t xml:space="preserve">: </w:t>
      </w:r>
      <w:r w:rsidR="41DBBBB1">
        <w:t>12 – 18 months</w:t>
      </w:r>
      <w:r>
        <w:t xml:space="preserve"> </w:t>
      </w:r>
    </w:p>
    <w:p w14:paraId="1AF859B9" w14:textId="4496BE29" w:rsidR="00F31E44" w:rsidRDefault="00F31E44" w:rsidP="00F857EA">
      <w:pPr>
        <w:pStyle w:val="Default"/>
      </w:pPr>
    </w:p>
    <w:p w14:paraId="4B585266" w14:textId="77777777" w:rsidR="00F31E44" w:rsidRPr="00F31E44" w:rsidRDefault="00F31E44" w:rsidP="00F31E44">
      <w:pPr>
        <w:autoSpaceDE w:val="0"/>
        <w:autoSpaceDN w:val="0"/>
        <w:adjustRightInd w:val="0"/>
        <w:spacing w:after="0" w:line="240" w:lineRule="auto"/>
        <w:rPr>
          <w:rFonts w:ascii="Times New Roman" w:hAnsi="Times New Roman" w:cs="Times New Roman"/>
          <w:color w:val="000000"/>
          <w:sz w:val="24"/>
          <w:szCs w:val="24"/>
        </w:rPr>
      </w:pPr>
    </w:p>
    <w:p w14:paraId="165DF8D0" w14:textId="78BD27AD" w:rsidR="00F31E44" w:rsidRPr="00F31E44" w:rsidRDefault="00F31E44" w:rsidP="00F31E44">
      <w:pPr>
        <w:autoSpaceDE w:val="0"/>
        <w:autoSpaceDN w:val="0"/>
        <w:adjustRightInd w:val="0"/>
        <w:spacing w:after="0" w:line="240" w:lineRule="auto"/>
        <w:rPr>
          <w:rFonts w:ascii="Times New Roman" w:hAnsi="Times New Roman" w:cs="Times New Roman"/>
          <w:color w:val="000000"/>
          <w:sz w:val="23"/>
          <w:szCs w:val="23"/>
        </w:rPr>
      </w:pPr>
      <w:r w:rsidRPr="00F31E44">
        <w:rPr>
          <w:rFonts w:ascii="Times New Roman" w:hAnsi="Times New Roman" w:cs="Times New Roman"/>
          <w:b/>
          <w:bCs/>
          <w:color w:val="000000"/>
          <w:sz w:val="23"/>
          <w:szCs w:val="23"/>
        </w:rPr>
        <w:t xml:space="preserve">CONTACT INFORMATION </w:t>
      </w:r>
    </w:p>
    <w:p w14:paraId="4992E933" w14:textId="77777777" w:rsidR="00F31E44" w:rsidRPr="00634902" w:rsidRDefault="00F31E44" w:rsidP="00F31E44">
      <w:pPr>
        <w:autoSpaceDE w:val="0"/>
        <w:autoSpaceDN w:val="0"/>
        <w:adjustRightInd w:val="0"/>
        <w:spacing w:after="0" w:line="240" w:lineRule="auto"/>
        <w:rPr>
          <w:rFonts w:ascii="Times New Roman" w:hAnsi="Times New Roman" w:cs="Times New Roman"/>
          <w:color w:val="000000"/>
          <w:sz w:val="24"/>
          <w:szCs w:val="24"/>
        </w:rPr>
      </w:pPr>
      <w:r w:rsidRPr="00F31E44">
        <w:rPr>
          <w:rFonts w:ascii="Times New Roman" w:hAnsi="Times New Roman" w:cs="Times New Roman"/>
          <w:color w:val="000000"/>
          <w:sz w:val="24"/>
          <w:szCs w:val="24"/>
        </w:rPr>
        <w:t xml:space="preserve">A) For questions relating to Grants.gov, please call the Grants.gov Contact Center at </w:t>
      </w:r>
    </w:p>
    <w:p w14:paraId="6EAB90BE" w14:textId="1C6705E3" w:rsidR="00F31E44" w:rsidRPr="00F31E44" w:rsidRDefault="00F31E44" w:rsidP="00F31E44">
      <w:pPr>
        <w:autoSpaceDE w:val="0"/>
        <w:autoSpaceDN w:val="0"/>
        <w:adjustRightInd w:val="0"/>
        <w:spacing w:after="0" w:line="240" w:lineRule="auto"/>
        <w:rPr>
          <w:rFonts w:ascii="Times New Roman" w:hAnsi="Times New Roman" w:cs="Times New Roman"/>
          <w:color w:val="000000"/>
          <w:sz w:val="24"/>
          <w:szCs w:val="24"/>
        </w:rPr>
      </w:pPr>
      <w:r w:rsidRPr="00F31E44">
        <w:rPr>
          <w:rFonts w:ascii="Times New Roman" w:hAnsi="Times New Roman" w:cs="Times New Roman"/>
          <w:color w:val="000000"/>
          <w:sz w:val="24"/>
          <w:szCs w:val="24"/>
        </w:rPr>
        <w:t xml:space="preserve">1-800- 518-4726. </w:t>
      </w:r>
    </w:p>
    <w:p w14:paraId="46DCCAB9" w14:textId="77777777" w:rsidR="00F31E44" w:rsidRPr="00F31E44" w:rsidRDefault="00F31E44" w:rsidP="00F31E44">
      <w:pPr>
        <w:autoSpaceDE w:val="0"/>
        <w:autoSpaceDN w:val="0"/>
        <w:adjustRightInd w:val="0"/>
        <w:spacing w:after="0" w:line="240" w:lineRule="auto"/>
        <w:rPr>
          <w:rFonts w:ascii="Times New Roman" w:hAnsi="Times New Roman" w:cs="Times New Roman"/>
          <w:color w:val="000000"/>
          <w:sz w:val="24"/>
          <w:szCs w:val="24"/>
        </w:rPr>
      </w:pPr>
      <w:r w:rsidRPr="00F31E44">
        <w:rPr>
          <w:rFonts w:ascii="Times New Roman" w:hAnsi="Times New Roman" w:cs="Times New Roman"/>
          <w:color w:val="000000"/>
          <w:sz w:val="24"/>
          <w:szCs w:val="24"/>
        </w:rPr>
        <w:t xml:space="preserve">B) On program requirements of this solicitation, contact Grants Program Coordinator at the </w:t>
      </w:r>
    </w:p>
    <w:p w14:paraId="660A0E53" w14:textId="3874D246" w:rsidR="00F31E44" w:rsidRPr="00634902" w:rsidRDefault="00F31E44" w:rsidP="00F31E44">
      <w:pPr>
        <w:pStyle w:val="Default"/>
      </w:pPr>
      <w:r w:rsidRPr="00634902">
        <w:t xml:space="preserve">Public Affairs Section, U.S. Embassy in Tbilisi, Georgia, at  </w:t>
      </w:r>
      <w:hyperlink r:id="rId13" w:history="1">
        <w:r w:rsidRPr="00634902">
          <w:rPr>
            <w:rStyle w:val="Hyperlink"/>
          </w:rPr>
          <w:t>TbilisiGrants@state.gov</w:t>
        </w:r>
      </w:hyperlink>
    </w:p>
    <w:p w14:paraId="2EB29FFA" w14:textId="77777777" w:rsidR="00F31E44" w:rsidRPr="00634902" w:rsidRDefault="00F31E44" w:rsidP="00F857EA">
      <w:pPr>
        <w:pStyle w:val="Default"/>
      </w:pPr>
    </w:p>
    <w:p w14:paraId="45FB0818" w14:textId="77777777" w:rsidR="00F857EA" w:rsidRDefault="00F857EA" w:rsidP="00F857EA">
      <w:pPr>
        <w:pStyle w:val="Default"/>
        <w:rPr>
          <w:b/>
          <w:bCs/>
        </w:rPr>
      </w:pPr>
    </w:p>
    <w:p w14:paraId="1839E57D" w14:textId="77777777" w:rsidR="00F857EA" w:rsidRPr="00F857EA" w:rsidRDefault="00F857EA" w:rsidP="00F857EA">
      <w:pPr>
        <w:pStyle w:val="Default"/>
        <w:rPr>
          <w:u w:val="single"/>
        </w:rPr>
      </w:pPr>
      <w:r w:rsidRPr="00F857EA">
        <w:rPr>
          <w:b/>
          <w:bCs/>
          <w:u w:val="single"/>
        </w:rPr>
        <w:t xml:space="preserve">C. ELIGIBILITY INFORMATION </w:t>
      </w:r>
    </w:p>
    <w:p w14:paraId="049F31CB" w14:textId="77777777" w:rsidR="00615F3A" w:rsidRDefault="00615F3A" w:rsidP="00F857EA">
      <w:pPr>
        <w:pStyle w:val="Default"/>
        <w:rPr>
          <w:b/>
          <w:bCs/>
        </w:rPr>
      </w:pPr>
    </w:p>
    <w:p w14:paraId="2E3A1F01" w14:textId="77777777" w:rsidR="00F857EA" w:rsidRPr="00F857EA" w:rsidRDefault="00F857EA" w:rsidP="00F857EA">
      <w:pPr>
        <w:pStyle w:val="Default"/>
      </w:pPr>
      <w:r w:rsidRPr="00F857EA">
        <w:rPr>
          <w:b/>
          <w:bCs/>
        </w:rPr>
        <w:t xml:space="preserve">Eligible Applicants: </w:t>
      </w:r>
    </w:p>
    <w:p w14:paraId="3D246B07" w14:textId="77777777" w:rsidR="00EA47A4" w:rsidRPr="00EA47A4" w:rsidRDefault="00EA47A4" w:rsidP="00EA47A4">
      <w:pPr>
        <w:autoSpaceDE w:val="0"/>
        <w:autoSpaceDN w:val="0"/>
        <w:adjustRightInd w:val="0"/>
        <w:spacing w:after="0" w:line="240" w:lineRule="auto"/>
        <w:rPr>
          <w:rFonts w:ascii="Times New Roman" w:hAnsi="Times New Roman" w:cs="Times New Roman"/>
          <w:color w:val="000000"/>
          <w:sz w:val="24"/>
          <w:szCs w:val="24"/>
        </w:rPr>
      </w:pPr>
    </w:p>
    <w:p w14:paraId="0E4DF238" w14:textId="19D359BC" w:rsidR="00EA47A4" w:rsidRPr="00F31E44" w:rsidRDefault="00EA47A4" w:rsidP="00EA47A4">
      <w:pPr>
        <w:pStyle w:val="Default"/>
      </w:pPr>
      <w:r w:rsidRPr="00F31E44">
        <w:t xml:space="preserve">Eligibility is limited to U.S. non-profit/non-governmental organizations, </w:t>
      </w:r>
      <w:proofErr w:type="gramStart"/>
      <w:r w:rsidRPr="00F31E44">
        <w:t>universities</w:t>
      </w:r>
      <w:proofErr w:type="gramEnd"/>
      <w:r w:rsidRPr="00F31E44">
        <w:t xml:space="preserve"> and educational institutions. Direct funding for non-U.S. entities is not available under this announcement.</w:t>
      </w:r>
    </w:p>
    <w:p w14:paraId="5C26494D" w14:textId="43D6FE2B" w:rsidR="00EA47A4" w:rsidRDefault="00EA47A4" w:rsidP="00EA47A4">
      <w:pPr>
        <w:pStyle w:val="Default"/>
        <w:rPr>
          <w:sz w:val="23"/>
          <w:szCs w:val="23"/>
        </w:rPr>
      </w:pPr>
    </w:p>
    <w:p w14:paraId="0A1C7135" w14:textId="4AA66DFD" w:rsidR="00F857EA" w:rsidRPr="00F857EA" w:rsidRDefault="00EA47A4" w:rsidP="00F857EA">
      <w:pPr>
        <w:pStyle w:val="Default"/>
      </w:pPr>
      <w:r>
        <w:rPr>
          <w:b/>
          <w:bCs/>
        </w:rPr>
        <w:lastRenderedPageBreak/>
        <w:t>O</w:t>
      </w:r>
      <w:r w:rsidR="00F857EA" w:rsidRPr="00F857EA">
        <w:rPr>
          <w:b/>
          <w:bCs/>
        </w:rPr>
        <w:t xml:space="preserve">ther Eligibility Requirements: To be eligible to receive an award, all organizations must have a unique entity identifier (Data Universal Numbering System/DUNS number from Dun &amp; Bradstreet), as well as a valid registration </w:t>
      </w:r>
      <w:r w:rsidR="00F857EA" w:rsidRPr="00490725">
        <w:rPr>
          <w:b/>
          <w:bCs/>
        </w:rPr>
        <w:t xml:space="preserve">on </w:t>
      </w:r>
      <w:r w:rsidR="00F857EA" w:rsidRPr="00490725">
        <w:t xml:space="preserve">www.SAM.gov. </w:t>
      </w:r>
      <w:r w:rsidR="00F857EA" w:rsidRPr="00490725">
        <w:rPr>
          <w:b/>
          <w:bCs/>
        </w:rPr>
        <w:t>Please</w:t>
      </w:r>
      <w:r w:rsidR="00F857EA" w:rsidRPr="00F857EA">
        <w:rPr>
          <w:b/>
          <w:bCs/>
        </w:rPr>
        <w:t xml:space="preserve"> see Section D.4 for information on how to obtain these registrations. </w:t>
      </w:r>
    </w:p>
    <w:p w14:paraId="4101652C" w14:textId="77777777" w:rsidR="00F857EA" w:rsidRDefault="00F857EA" w:rsidP="00F857EA">
      <w:pPr>
        <w:pStyle w:val="Default"/>
        <w:rPr>
          <w:b/>
          <w:bCs/>
        </w:rPr>
      </w:pPr>
    </w:p>
    <w:p w14:paraId="49B514B3" w14:textId="77777777" w:rsidR="00634902" w:rsidRPr="00634902" w:rsidRDefault="00F857EA" w:rsidP="00634902">
      <w:pPr>
        <w:pStyle w:val="Default"/>
      </w:pPr>
      <w:r w:rsidRPr="00F857EA">
        <w:rPr>
          <w:b/>
          <w:bCs/>
        </w:rPr>
        <w:t xml:space="preserve">Cost Sharing or Matching: </w:t>
      </w:r>
      <w:r w:rsidR="00EA47A4" w:rsidRPr="00EA47A4">
        <w:t xml:space="preserve">This program does not require cost </w:t>
      </w:r>
      <w:proofErr w:type="gramStart"/>
      <w:r w:rsidR="00EA47A4" w:rsidRPr="00EA47A4">
        <w:t>sharing,</w:t>
      </w:r>
      <w:proofErr w:type="gramEnd"/>
      <w:r w:rsidR="00EA47A4" w:rsidRPr="00EA47A4">
        <w:t xml:space="preserve"> however in-kind financial contributions will be favorably considered</w:t>
      </w:r>
      <w:r w:rsidRPr="00F857EA">
        <w:t xml:space="preserve">. </w:t>
      </w:r>
    </w:p>
    <w:p w14:paraId="2117027A" w14:textId="63BA7318"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634902">
        <w:rPr>
          <w:rFonts w:ascii="Times New Roman" w:hAnsi="Times New Roman" w:cs="Times New Roman"/>
          <w:sz w:val="23"/>
          <w:szCs w:val="23"/>
        </w:rPr>
        <w:t xml:space="preserve"> </w:t>
      </w:r>
    </w:p>
    <w:p w14:paraId="47AFA1FB" w14:textId="77777777" w:rsidR="00F30894" w:rsidRDefault="00F30894" w:rsidP="00634902">
      <w:pPr>
        <w:autoSpaceDE w:val="0"/>
        <w:autoSpaceDN w:val="0"/>
        <w:adjustRightInd w:val="0"/>
        <w:spacing w:after="0" w:line="240" w:lineRule="auto"/>
        <w:rPr>
          <w:rFonts w:ascii="Times New Roman" w:hAnsi="Times New Roman" w:cs="Times New Roman"/>
          <w:b/>
          <w:bCs/>
          <w:sz w:val="23"/>
          <w:szCs w:val="23"/>
        </w:rPr>
      </w:pPr>
    </w:p>
    <w:p w14:paraId="0AC6C6E2" w14:textId="59E8BCB1"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634902">
        <w:rPr>
          <w:rFonts w:ascii="Times New Roman" w:hAnsi="Times New Roman" w:cs="Times New Roman"/>
          <w:b/>
          <w:bCs/>
          <w:sz w:val="23"/>
          <w:szCs w:val="23"/>
        </w:rPr>
        <w:t xml:space="preserve">APPLICATION AND SUBMISSION INFORMATION </w:t>
      </w:r>
    </w:p>
    <w:p w14:paraId="35F8A1C3" w14:textId="77777777" w:rsidR="00CA4478" w:rsidRDefault="00CA4478" w:rsidP="00634902">
      <w:pPr>
        <w:autoSpaceDE w:val="0"/>
        <w:autoSpaceDN w:val="0"/>
        <w:adjustRightInd w:val="0"/>
        <w:spacing w:after="0" w:line="240" w:lineRule="auto"/>
        <w:rPr>
          <w:rFonts w:ascii="Times New Roman" w:hAnsi="Times New Roman" w:cs="Times New Roman"/>
          <w:b/>
          <w:bCs/>
          <w:sz w:val="24"/>
          <w:szCs w:val="24"/>
        </w:rPr>
      </w:pPr>
    </w:p>
    <w:p w14:paraId="06C8874C" w14:textId="67AB696E"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b/>
          <w:bCs/>
          <w:sz w:val="24"/>
          <w:szCs w:val="24"/>
        </w:rPr>
        <w:t xml:space="preserve">Award Period: </w:t>
      </w:r>
      <w:r w:rsidRPr="00634902">
        <w:rPr>
          <w:rFonts w:ascii="Times New Roman" w:hAnsi="Times New Roman" w:cs="Times New Roman"/>
          <w:sz w:val="24"/>
          <w:szCs w:val="24"/>
        </w:rPr>
        <w:t xml:space="preserve">12-28 months (with possible time/cost extension) </w:t>
      </w:r>
    </w:p>
    <w:p w14:paraId="55FB351E" w14:textId="2799280A"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b/>
          <w:bCs/>
          <w:sz w:val="24"/>
          <w:szCs w:val="24"/>
        </w:rPr>
        <w:t xml:space="preserve">Award Amount: </w:t>
      </w:r>
      <w:r w:rsidRPr="00634902">
        <w:rPr>
          <w:rFonts w:ascii="Times New Roman" w:hAnsi="Times New Roman" w:cs="Times New Roman"/>
          <w:sz w:val="24"/>
          <w:szCs w:val="24"/>
        </w:rPr>
        <w:t xml:space="preserve">up to $200,000 </w:t>
      </w:r>
    </w:p>
    <w:p w14:paraId="66FFE0BE" w14:textId="77777777"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b/>
          <w:bCs/>
          <w:sz w:val="24"/>
          <w:szCs w:val="24"/>
        </w:rPr>
        <w:t xml:space="preserve">Application Submission Process: </w:t>
      </w:r>
      <w:r w:rsidRPr="00634902">
        <w:rPr>
          <w:rFonts w:ascii="Times New Roman" w:hAnsi="Times New Roman" w:cs="Times New Roman"/>
          <w:sz w:val="24"/>
          <w:szCs w:val="24"/>
        </w:rPr>
        <w:t xml:space="preserve">Applicants must submit proposals electronically using Grants.gov. </w:t>
      </w:r>
    </w:p>
    <w:p w14:paraId="74BC220D" w14:textId="77777777" w:rsidR="00634902" w:rsidRPr="00634902" w:rsidRDefault="00634902" w:rsidP="00634902">
      <w:pPr>
        <w:autoSpaceDE w:val="0"/>
        <w:autoSpaceDN w:val="0"/>
        <w:adjustRightInd w:val="0"/>
        <w:spacing w:after="0" w:line="240" w:lineRule="auto"/>
        <w:rPr>
          <w:rFonts w:ascii="Times New Roman" w:hAnsi="Times New Roman" w:cs="Times New Roman"/>
          <w:b/>
          <w:sz w:val="24"/>
          <w:szCs w:val="24"/>
        </w:rPr>
      </w:pPr>
    </w:p>
    <w:p w14:paraId="7A4D0D9B" w14:textId="720CE561"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b/>
          <w:sz w:val="24"/>
          <w:szCs w:val="24"/>
        </w:rPr>
        <w:t>A</w:t>
      </w:r>
      <w:r w:rsidRPr="00634902">
        <w:rPr>
          <w:rFonts w:ascii="Times New Roman" w:hAnsi="Times New Roman" w:cs="Times New Roman"/>
          <w:b/>
          <w:bCs/>
          <w:sz w:val="24"/>
          <w:szCs w:val="24"/>
        </w:rPr>
        <w:t>pplication Deadline</w:t>
      </w:r>
      <w:r w:rsidRPr="00634902">
        <w:rPr>
          <w:rFonts w:ascii="Times New Roman" w:hAnsi="Times New Roman" w:cs="Times New Roman"/>
          <w:sz w:val="24"/>
          <w:szCs w:val="24"/>
        </w:rPr>
        <w:t xml:space="preserve">: All applications must be submitted on or before </w:t>
      </w:r>
      <w:r w:rsidRPr="00634902">
        <w:rPr>
          <w:rFonts w:ascii="Times New Roman" w:hAnsi="Times New Roman" w:cs="Times New Roman"/>
          <w:b/>
          <w:bCs/>
          <w:sz w:val="24"/>
          <w:szCs w:val="24"/>
        </w:rPr>
        <w:t>July 30, 2021,</w:t>
      </w:r>
      <w:r w:rsidRPr="00634902">
        <w:rPr>
          <w:rFonts w:ascii="Times New Roman" w:hAnsi="Times New Roman" w:cs="Times New Roman"/>
          <w:sz w:val="24"/>
          <w:szCs w:val="24"/>
        </w:rPr>
        <w:t xml:space="preserve"> 11:59 p.m. eastern time. Applications submitted after 11:59 p.m. will not be eligible for consideration. If receipt of application i</w:t>
      </w:r>
      <w:r w:rsidR="006A2DCE">
        <w:rPr>
          <w:rFonts w:ascii="Times New Roman" w:hAnsi="Times New Roman" w:cs="Times New Roman"/>
          <w:sz w:val="24"/>
          <w:szCs w:val="24"/>
        </w:rPr>
        <w:t>s</w:t>
      </w:r>
      <w:r w:rsidRPr="00634902">
        <w:rPr>
          <w:rFonts w:ascii="Times New Roman" w:hAnsi="Times New Roman" w:cs="Times New Roman"/>
          <w:sz w:val="24"/>
          <w:szCs w:val="24"/>
        </w:rPr>
        <w:t xml:space="preserve"> not confirmed within two days, please contact </w:t>
      </w:r>
      <w:hyperlink r:id="rId14" w:history="1">
        <w:r w:rsidR="00460D82" w:rsidRPr="002A29EE">
          <w:rPr>
            <w:rStyle w:val="Hyperlink"/>
            <w:rFonts w:ascii="Times New Roman" w:hAnsi="Times New Roman" w:cs="Times New Roman"/>
            <w:sz w:val="24"/>
            <w:szCs w:val="24"/>
          </w:rPr>
          <w:t>TbilisiGrants@state.gov</w:t>
        </w:r>
      </w:hyperlink>
      <w:r w:rsidR="00460D82">
        <w:rPr>
          <w:rFonts w:ascii="Times New Roman" w:hAnsi="Times New Roman" w:cs="Times New Roman"/>
          <w:sz w:val="24"/>
          <w:szCs w:val="24"/>
        </w:rPr>
        <w:t xml:space="preserve">  </w:t>
      </w:r>
      <w:r w:rsidRPr="00634902">
        <w:rPr>
          <w:rFonts w:ascii="Times New Roman" w:hAnsi="Times New Roman" w:cs="Times New Roman"/>
          <w:sz w:val="24"/>
          <w:szCs w:val="24"/>
        </w:rPr>
        <w:t>Telegraphic or fax applications are not authorized for this NOFO and will not be accepted. The total size of each attachment should not exceed 3 MBs. Every page of the proposal must be numbered. The application must have a table of contents. Large graphic files are discouraged. The format of any attachments must be in Microsoft Word, Excel, or PDF. Attached files should be printable on U.S. letter size paper (8½ x11”). Do NOT send .</w:t>
      </w:r>
      <w:proofErr w:type="spellStart"/>
      <w:r w:rsidRPr="00634902">
        <w:rPr>
          <w:rFonts w:ascii="Times New Roman" w:hAnsi="Times New Roman" w:cs="Times New Roman"/>
          <w:sz w:val="24"/>
          <w:szCs w:val="24"/>
        </w:rPr>
        <w:t>rar</w:t>
      </w:r>
      <w:proofErr w:type="spellEnd"/>
      <w:r w:rsidRPr="00634902">
        <w:rPr>
          <w:rFonts w:ascii="Times New Roman" w:hAnsi="Times New Roman" w:cs="Times New Roman"/>
          <w:sz w:val="24"/>
          <w:szCs w:val="24"/>
        </w:rPr>
        <w:t xml:space="preserve"> files. </w:t>
      </w:r>
    </w:p>
    <w:p w14:paraId="790FE39F" w14:textId="77777777"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b/>
          <w:bCs/>
          <w:sz w:val="24"/>
          <w:szCs w:val="24"/>
        </w:rPr>
        <w:t xml:space="preserve">Application Content: </w:t>
      </w:r>
      <w:r w:rsidRPr="00634902">
        <w:rPr>
          <w:rFonts w:ascii="Times New Roman" w:hAnsi="Times New Roman" w:cs="Times New Roman"/>
          <w:sz w:val="24"/>
          <w:szCs w:val="24"/>
        </w:rPr>
        <w:t xml:space="preserve">Applicants must follow the NOFO instructions and conditions contained herein and supply all information required. </w:t>
      </w:r>
      <w:r w:rsidRPr="00634902">
        <w:rPr>
          <w:rFonts w:ascii="Times New Roman" w:hAnsi="Times New Roman" w:cs="Times New Roman"/>
          <w:b/>
          <w:bCs/>
          <w:sz w:val="24"/>
          <w:szCs w:val="24"/>
        </w:rPr>
        <w:t xml:space="preserve">Failure to furnish all information or comply with stated requirements will result in disqualification from the competition. </w:t>
      </w:r>
      <w:r w:rsidRPr="00634902">
        <w:rPr>
          <w:rFonts w:ascii="Times New Roman" w:hAnsi="Times New Roman" w:cs="Times New Roman"/>
          <w:sz w:val="24"/>
          <w:szCs w:val="24"/>
        </w:rPr>
        <w:t xml:space="preserve">Applicants must set forth full, accurate, and complete information as required by this NOFO. The penalty for making false statements in proposals to the USG is prescribed on 18 U.S.C.1001. </w:t>
      </w:r>
    </w:p>
    <w:p w14:paraId="4F971162" w14:textId="44D6C03A" w:rsidR="00634902" w:rsidRDefault="00634902" w:rsidP="00634902">
      <w:pPr>
        <w:autoSpaceDE w:val="0"/>
        <w:autoSpaceDN w:val="0"/>
        <w:adjustRightInd w:val="0"/>
        <w:spacing w:after="0" w:line="240" w:lineRule="auto"/>
        <w:rPr>
          <w:rFonts w:ascii="Times New Roman" w:hAnsi="Times New Roman" w:cs="Times New Roman"/>
          <w:sz w:val="24"/>
          <w:szCs w:val="24"/>
        </w:rPr>
      </w:pPr>
    </w:p>
    <w:p w14:paraId="7182C294" w14:textId="3BEC4495" w:rsidR="00634902" w:rsidRPr="00634902" w:rsidRDefault="007A61E1" w:rsidP="00634902">
      <w:pPr>
        <w:autoSpaceDE w:val="0"/>
        <w:autoSpaceDN w:val="0"/>
        <w:adjustRightInd w:val="0"/>
        <w:spacing w:after="0" w:line="240" w:lineRule="auto"/>
        <w:rPr>
          <w:rFonts w:ascii="Times New Roman" w:hAnsi="Times New Roman" w:cs="Times New Roman"/>
          <w:sz w:val="24"/>
          <w:szCs w:val="24"/>
        </w:rPr>
      </w:pPr>
      <w:r w:rsidRPr="007A61E1">
        <w:rPr>
          <w:rFonts w:ascii="Times New Roman" w:hAnsi="Times New Roman" w:cs="Times New Roman"/>
          <w:b/>
          <w:bCs/>
          <w:sz w:val="24"/>
          <w:szCs w:val="24"/>
        </w:rPr>
        <w:t>Section 1:</w:t>
      </w:r>
      <w:r>
        <w:rPr>
          <w:rFonts w:ascii="Times New Roman" w:hAnsi="Times New Roman" w:cs="Times New Roman"/>
          <w:sz w:val="24"/>
          <w:szCs w:val="24"/>
        </w:rPr>
        <w:t xml:space="preserve"> </w:t>
      </w:r>
      <w:r w:rsidR="00634902" w:rsidRPr="00634902">
        <w:rPr>
          <w:rFonts w:ascii="Times New Roman" w:hAnsi="Times New Roman" w:cs="Times New Roman"/>
          <w:b/>
          <w:bCs/>
          <w:sz w:val="24"/>
          <w:szCs w:val="24"/>
        </w:rPr>
        <w:t xml:space="preserve">Mandatory application forms </w:t>
      </w:r>
    </w:p>
    <w:p w14:paraId="406F89C6" w14:textId="634BC13A" w:rsidR="00634902" w:rsidRPr="00634902" w:rsidRDefault="00634902" w:rsidP="00634902">
      <w:pPr>
        <w:pStyle w:val="ListParagraph"/>
        <w:numPr>
          <w:ilvl w:val="0"/>
          <w:numId w:val="23"/>
        </w:numPr>
        <w:autoSpaceDE w:val="0"/>
        <w:autoSpaceDN w:val="0"/>
        <w:adjustRightInd w:val="0"/>
        <w:spacing w:after="31" w:line="240" w:lineRule="auto"/>
        <w:rPr>
          <w:rFonts w:ascii="Times New Roman" w:hAnsi="Times New Roman" w:cs="Times New Roman"/>
          <w:sz w:val="24"/>
          <w:szCs w:val="24"/>
        </w:rPr>
      </w:pPr>
      <w:r w:rsidRPr="00634902">
        <w:rPr>
          <w:rFonts w:ascii="Times New Roman" w:hAnsi="Times New Roman" w:cs="Times New Roman"/>
          <w:b/>
          <w:bCs/>
          <w:sz w:val="24"/>
          <w:szCs w:val="24"/>
        </w:rPr>
        <w:t xml:space="preserve">SF-424 </w:t>
      </w:r>
      <w:r w:rsidRPr="00634902">
        <w:rPr>
          <w:rFonts w:ascii="Times New Roman" w:hAnsi="Times New Roman" w:cs="Times New Roman"/>
          <w:b/>
          <w:bCs/>
          <w:i/>
          <w:iCs/>
          <w:sz w:val="24"/>
          <w:szCs w:val="24"/>
        </w:rPr>
        <w:t xml:space="preserve">(Application for Federal Assistance – organizations) </w:t>
      </w:r>
    </w:p>
    <w:p w14:paraId="12053AE3" w14:textId="0454AB15" w:rsidR="00634902" w:rsidRPr="00634902" w:rsidRDefault="00634902" w:rsidP="00634902">
      <w:pPr>
        <w:pStyle w:val="ListParagraph"/>
        <w:numPr>
          <w:ilvl w:val="0"/>
          <w:numId w:val="23"/>
        </w:numPr>
        <w:autoSpaceDE w:val="0"/>
        <w:autoSpaceDN w:val="0"/>
        <w:adjustRightInd w:val="0"/>
        <w:spacing w:after="31" w:line="240" w:lineRule="auto"/>
        <w:rPr>
          <w:rFonts w:ascii="Times New Roman" w:hAnsi="Times New Roman" w:cs="Times New Roman"/>
          <w:sz w:val="24"/>
          <w:szCs w:val="24"/>
        </w:rPr>
      </w:pPr>
      <w:r w:rsidRPr="00634902">
        <w:rPr>
          <w:rFonts w:ascii="Times New Roman" w:hAnsi="Times New Roman" w:cs="Times New Roman"/>
          <w:b/>
          <w:bCs/>
          <w:sz w:val="24"/>
          <w:szCs w:val="24"/>
        </w:rPr>
        <w:t xml:space="preserve">SF424A </w:t>
      </w:r>
      <w:r w:rsidRPr="00634902">
        <w:rPr>
          <w:rFonts w:ascii="Times New Roman" w:hAnsi="Times New Roman" w:cs="Times New Roman"/>
          <w:b/>
          <w:bCs/>
          <w:i/>
          <w:iCs/>
          <w:sz w:val="24"/>
          <w:szCs w:val="24"/>
        </w:rPr>
        <w:t xml:space="preserve">(Budget Information for Non-Construction programs) </w:t>
      </w:r>
    </w:p>
    <w:p w14:paraId="6DB0D4A7" w14:textId="46B98161" w:rsidR="00634902" w:rsidRPr="00634902" w:rsidRDefault="00634902" w:rsidP="00634902">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b/>
          <w:bCs/>
          <w:sz w:val="24"/>
          <w:szCs w:val="24"/>
        </w:rPr>
        <w:t xml:space="preserve">SF424B </w:t>
      </w:r>
      <w:r w:rsidRPr="00634902">
        <w:rPr>
          <w:rFonts w:ascii="Times New Roman" w:hAnsi="Times New Roman" w:cs="Times New Roman"/>
          <w:b/>
          <w:bCs/>
          <w:i/>
          <w:iCs/>
          <w:sz w:val="24"/>
          <w:szCs w:val="24"/>
        </w:rPr>
        <w:t xml:space="preserve">(Assurances for Non-Construction programs) </w:t>
      </w:r>
    </w:p>
    <w:p w14:paraId="16218B9F" w14:textId="77777777" w:rsidR="00634902" w:rsidRDefault="00634902" w:rsidP="00634902">
      <w:pPr>
        <w:autoSpaceDE w:val="0"/>
        <w:autoSpaceDN w:val="0"/>
        <w:adjustRightInd w:val="0"/>
        <w:spacing w:after="0" w:line="240" w:lineRule="auto"/>
        <w:rPr>
          <w:rFonts w:ascii="Times New Roman" w:hAnsi="Times New Roman" w:cs="Times New Roman"/>
          <w:sz w:val="24"/>
          <w:szCs w:val="24"/>
        </w:rPr>
      </w:pPr>
    </w:p>
    <w:p w14:paraId="73DE2E89" w14:textId="6E5B7171"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b/>
          <w:bCs/>
          <w:sz w:val="24"/>
          <w:szCs w:val="24"/>
        </w:rPr>
        <w:t xml:space="preserve">Section 2 – Executive Summary: (maximum 2 pages) </w:t>
      </w:r>
    </w:p>
    <w:p w14:paraId="2DAC222D" w14:textId="6F64535B"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sz w:val="24"/>
          <w:szCs w:val="24"/>
        </w:rPr>
        <w:t xml:space="preserve">The executive summary is limited to </w:t>
      </w:r>
      <w:r w:rsidR="00AB13D4">
        <w:rPr>
          <w:rFonts w:ascii="Times New Roman" w:hAnsi="Times New Roman" w:cs="Times New Roman"/>
          <w:sz w:val="24"/>
          <w:szCs w:val="24"/>
        </w:rPr>
        <w:t>1000</w:t>
      </w:r>
      <w:r w:rsidRPr="00634902">
        <w:rPr>
          <w:rFonts w:ascii="Times New Roman" w:hAnsi="Times New Roman" w:cs="Times New Roman"/>
          <w:sz w:val="24"/>
          <w:szCs w:val="24"/>
        </w:rPr>
        <w:t xml:space="preserve"> words in length. It must provide a summary of the identified need, proposed activities, and expected results. </w:t>
      </w:r>
    </w:p>
    <w:p w14:paraId="6DE8B2AE" w14:textId="77777777" w:rsidR="00201C58" w:rsidRDefault="00201C58" w:rsidP="00634902">
      <w:pPr>
        <w:autoSpaceDE w:val="0"/>
        <w:autoSpaceDN w:val="0"/>
        <w:adjustRightInd w:val="0"/>
        <w:spacing w:after="0" w:line="240" w:lineRule="auto"/>
        <w:rPr>
          <w:rFonts w:ascii="Times New Roman" w:hAnsi="Times New Roman" w:cs="Times New Roman"/>
          <w:b/>
          <w:bCs/>
          <w:sz w:val="24"/>
          <w:szCs w:val="24"/>
        </w:rPr>
      </w:pPr>
    </w:p>
    <w:p w14:paraId="3FA7DB1C" w14:textId="049F4A0E"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b/>
          <w:bCs/>
          <w:sz w:val="24"/>
          <w:szCs w:val="24"/>
        </w:rPr>
        <w:t xml:space="preserve">Section 3 – Project Goals/Implementation Plan (maximum 10 pages): </w:t>
      </w:r>
    </w:p>
    <w:p w14:paraId="258D94F2" w14:textId="77777777"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sz w:val="24"/>
          <w:szCs w:val="24"/>
        </w:rPr>
        <w:t xml:space="preserve">The applicant must specify the goals and objectives of the project, relative to the announced project statement. The proposed activities should be described in sufficient detail to show how objectives and goals will be met. The narrative should be brief, concise, and provide a clear description of what the applicant proposes to do, where, why, when, how, and by whom. </w:t>
      </w:r>
    </w:p>
    <w:p w14:paraId="193A632B" w14:textId="77777777" w:rsid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sz w:val="24"/>
          <w:szCs w:val="24"/>
        </w:rPr>
        <w:t xml:space="preserve">This section should include a structured monitoring and evaluation plan (Logic Model and a Theory of Change) that will demonstrate how success will be measured via performance </w:t>
      </w:r>
      <w:r w:rsidRPr="00634902">
        <w:rPr>
          <w:rFonts w:ascii="Times New Roman" w:hAnsi="Times New Roman" w:cs="Times New Roman"/>
          <w:sz w:val="24"/>
          <w:szCs w:val="24"/>
        </w:rPr>
        <w:lastRenderedPageBreak/>
        <w:t xml:space="preserve">indicators by defining objectively verifiable indicators. The matrix should also </w:t>
      </w:r>
      <w:proofErr w:type="gramStart"/>
      <w:r w:rsidRPr="00634902">
        <w:rPr>
          <w:rFonts w:ascii="Times New Roman" w:hAnsi="Times New Roman" w:cs="Times New Roman"/>
          <w:sz w:val="24"/>
          <w:szCs w:val="24"/>
        </w:rPr>
        <w:t>include:</w:t>
      </w:r>
      <w:proofErr w:type="gramEnd"/>
      <w:r w:rsidRPr="00634902">
        <w:rPr>
          <w:rFonts w:ascii="Times New Roman" w:hAnsi="Times New Roman" w:cs="Times New Roman"/>
          <w:sz w:val="24"/>
          <w:szCs w:val="24"/>
        </w:rPr>
        <w:t xml:space="preserve"> sources/means for verification, risks and assumptions for goals and objectives, and exp</w:t>
      </w:r>
      <w:r>
        <w:rPr>
          <w:rFonts w:ascii="Times New Roman" w:hAnsi="Times New Roman" w:cs="Times New Roman"/>
          <w:sz w:val="24"/>
          <w:szCs w:val="24"/>
        </w:rPr>
        <w:t xml:space="preserve">ected results and activities. </w:t>
      </w:r>
    </w:p>
    <w:p w14:paraId="5B44869F" w14:textId="77777777" w:rsidR="00AB13D4" w:rsidRDefault="00AB13D4" w:rsidP="00634902">
      <w:pPr>
        <w:autoSpaceDE w:val="0"/>
        <w:autoSpaceDN w:val="0"/>
        <w:adjustRightInd w:val="0"/>
        <w:spacing w:after="0" w:line="240" w:lineRule="auto"/>
        <w:rPr>
          <w:rFonts w:ascii="Times New Roman" w:hAnsi="Times New Roman" w:cs="Times New Roman"/>
          <w:sz w:val="24"/>
          <w:szCs w:val="24"/>
        </w:rPr>
      </w:pPr>
    </w:p>
    <w:p w14:paraId="0F5F3A3D" w14:textId="76DEC550"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634902">
        <w:rPr>
          <w:rFonts w:ascii="Times New Roman" w:hAnsi="Times New Roman" w:cs="Times New Roman"/>
          <w:b/>
          <w:bCs/>
          <w:sz w:val="24"/>
          <w:szCs w:val="24"/>
        </w:rPr>
        <w:t xml:space="preserve">ection 4 - Organizational Capability (maximum 2 pages): </w:t>
      </w:r>
    </w:p>
    <w:p w14:paraId="5349EC42" w14:textId="77777777"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sz w:val="24"/>
          <w:szCs w:val="24"/>
        </w:rPr>
        <w:t xml:space="preserve">Applications must include a clear description of the applicant’s organizational and management structure, and previous experience with similar university partnership projects as these relate to the proposed activities. Besides information about the </w:t>
      </w:r>
      <w:proofErr w:type="gramStart"/>
      <w:r w:rsidRPr="00634902">
        <w:rPr>
          <w:rFonts w:ascii="Times New Roman" w:hAnsi="Times New Roman" w:cs="Times New Roman"/>
          <w:sz w:val="24"/>
          <w:szCs w:val="24"/>
        </w:rPr>
        <w:t>organization as a whole, this</w:t>
      </w:r>
      <w:proofErr w:type="gramEnd"/>
      <w:r w:rsidRPr="00634902">
        <w:rPr>
          <w:rFonts w:ascii="Times New Roman" w:hAnsi="Times New Roman" w:cs="Times New Roman"/>
          <w:sz w:val="24"/>
          <w:szCs w:val="24"/>
        </w:rPr>
        <w:t xml:space="preserve"> section must also identify the proposed management structure and staffing plan for the proposed project. </w:t>
      </w:r>
    </w:p>
    <w:p w14:paraId="3F117A5F" w14:textId="77777777" w:rsidR="00727F87" w:rsidRDefault="00727F87" w:rsidP="00634902">
      <w:pPr>
        <w:autoSpaceDE w:val="0"/>
        <w:autoSpaceDN w:val="0"/>
        <w:adjustRightInd w:val="0"/>
        <w:spacing w:after="0" w:line="240" w:lineRule="auto"/>
        <w:rPr>
          <w:rFonts w:ascii="Times New Roman" w:hAnsi="Times New Roman" w:cs="Times New Roman"/>
          <w:b/>
          <w:bCs/>
          <w:sz w:val="24"/>
          <w:szCs w:val="24"/>
        </w:rPr>
      </w:pPr>
    </w:p>
    <w:p w14:paraId="55F97F5C" w14:textId="38FC3888"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b/>
          <w:bCs/>
          <w:sz w:val="24"/>
          <w:szCs w:val="24"/>
        </w:rPr>
        <w:t>Section 5 - Appendices</w:t>
      </w:r>
      <w:r w:rsidRPr="00634902">
        <w:rPr>
          <w:rFonts w:ascii="Times New Roman" w:hAnsi="Times New Roman" w:cs="Times New Roman"/>
          <w:sz w:val="24"/>
          <w:szCs w:val="24"/>
        </w:rPr>
        <w:t xml:space="preserve">: </w:t>
      </w:r>
    </w:p>
    <w:p w14:paraId="5F97CF07" w14:textId="77777777"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sz w:val="24"/>
          <w:szCs w:val="24"/>
        </w:rPr>
        <w:t xml:space="preserve">The proposal submission must include appendices listed below. Only the appendices listed below may be included as part of the application: </w:t>
      </w:r>
    </w:p>
    <w:p w14:paraId="128A13B1" w14:textId="773DD4EC"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sz w:val="24"/>
          <w:szCs w:val="24"/>
        </w:rPr>
        <w:t xml:space="preserve">(a) </w:t>
      </w:r>
      <w:r w:rsidRPr="00634902">
        <w:rPr>
          <w:rFonts w:ascii="Times New Roman" w:hAnsi="Times New Roman" w:cs="Times New Roman"/>
          <w:b/>
          <w:bCs/>
          <w:sz w:val="24"/>
          <w:szCs w:val="24"/>
        </w:rPr>
        <w:t xml:space="preserve">Budget (Required) </w:t>
      </w:r>
      <w:r w:rsidRPr="00634902">
        <w:rPr>
          <w:rFonts w:ascii="Times New Roman" w:hAnsi="Times New Roman" w:cs="Times New Roman"/>
          <w:sz w:val="24"/>
          <w:szCs w:val="24"/>
        </w:rPr>
        <w:t>– the budget must identify the total amount of funding requested, with a breakdown of amounts to be spent in the following budget categories: personnel (salary, wages, honoraria); fringe benefits if any; international and domestic travel</w:t>
      </w:r>
      <w:r w:rsidR="00283E0B">
        <w:rPr>
          <w:rFonts w:ascii="Times New Roman" w:hAnsi="Times New Roman" w:cs="Times New Roman"/>
          <w:sz w:val="24"/>
          <w:szCs w:val="24"/>
        </w:rPr>
        <w:t xml:space="preserve"> including international health insurance</w:t>
      </w:r>
      <w:r w:rsidR="00630179">
        <w:rPr>
          <w:rFonts w:ascii="Times New Roman" w:hAnsi="Times New Roman" w:cs="Times New Roman"/>
          <w:sz w:val="24"/>
          <w:szCs w:val="24"/>
        </w:rPr>
        <w:t xml:space="preserve"> and US visa B1/B2 fees</w:t>
      </w:r>
      <w:r w:rsidRPr="00634902">
        <w:rPr>
          <w:rFonts w:ascii="Times New Roman" w:hAnsi="Times New Roman" w:cs="Times New Roman"/>
          <w:sz w:val="24"/>
          <w:szCs w:val="24"/>
        </w:rPr>
        <w:t xml:space="preserve">; materials; equipment, if any; supplies; office /classroom rental; Georgian participants costs (stipends, </w:t>
      </w:r>
      <w:r w:rsidR="00E91AAA">
        <w:rPr>
          <w:rFonts w:ascii="Times New Roman" w:hAnsi="Times New Roman" w:cs="Times New Roman"/>
          <w:sz w:val="24"/>
          <w:szCs w:val="24"/>
        </w:rPr>
        <w:t xml:space="preserve">M&amp;IE, </w:t>
      </w:r>
      <w:r w:rsidRPr="00634902">
        <w:rPr>
          <w:rFonts w:ascii="Times New Roman" w:hAnsi="Times New Roman" w:cs="Times New Roman"/>
          <w:sz w:val="24"/>
          <w:szCs w:val="24"/>
        </w:rPr>
        <w:t xml:space="preserve">domestic travel, etc.); other direct and indirect costs, etc.. Include a budget with an accompanying budget narrative which provides in detail the total costs for implementation of the program your organization is proposing. Detailed budget notes and supporting justification of all proposed budget line items should be included. In addition, a summary of the budget must be submitted using Standard Form SF-424A. This form can be found on-line at: </w:t>
      </w:r>
    </w:p>
    <w:p w14:paraId="668EA50A" w14:textId="4713DA73" w:rsidR="00634902" w:rsidRDefault="007B2AF2" w:rsidP="00634902">
      <w:pPr>
        <w:autoSpaceDE w:val="0"/>
        <w:autoSpaceDN w:val="0"/>
        <w:adjustRightInd w:val="0"/>
        <w:spacing w:after="0" w:line="240" w:lineRule="auto"/>
        <w:rPr>
          <w:rFonts w:ascii="Times New Roman" w:hAnsi="Times New Roman" w:cs="Times New Roman"/>
          <w:sz w:val="24"/>
          <w:szCs w:val="24"/>
        </w:rPr>
      </w:pPr>
      <w:hyperlink r:id="rId15" w:history="1">
        <w:r w:rsidR="00634902" w:rsidRPr="00EE6B83">
          <w:rPr>
            <w:rStyle w:val="Hyperlink"/>
            <w:rFonts w:ascii="Times New Roman" w:hAnsi="Times New Roman" w:cs="Times New Roman"/>
            <w:sz w:val="24"/>
            <w:szCs w:val="24"/>
          </w:rPr>
          <w:t>http://aopefa.a.state.gov/Content/documents/SF424A-V1.0.pdf</w:t>
        </w:r>
      </w:hyperlink>
    </w:p>
    <w:p w14:paraId="362874D9" w14:textId="0CA92677" w:rsidR="00634902" w:rsidRDefault="007B2AF2" w:rsidP="00634902">
      <w:pPr>
        <w:autoSpaceDE w:val="0"/>
        <w:autoSpaceDN w:val="0"/>
        <w:adjustRightInd w:val="0"/>
        <w:spacing w:after="0" w:line="240" w:lineRule="auto"/>
        <w:rPr>
          <w:rFonts w:ascii="Times New Roman" w:hAnsi="Times New Roman" w:cs="Times New Roman"/>
          <w:sz w:val="24"/>
          <w:szCs w:val="24"/>
        </w:rPr>
      </w:pPr>
      <w:hyperlink r:id="rId16" w:history="1">
        <w:r w:rsidR="00634902" w:rsidRPr="00EE6B83">
          <w:rPr>
            <w:rStyle w:val="Hyperlink"/>
            <w:rFonts w:ascii="Times New Roman" w:hAnsi="Times New Roman" w:cs="Times New Roman"/>
            <w:sz w:val="24"/>
            <w:szCs w:val="24"/>
          </w:rPr>
          <w:t>http://aopefa.a.state.gov/Content/documents/SF424Instructions.pdf</w:t>
        </w:r>
      </w:hyperlink>
    </w:p>
    <w:p w14:paraId="2DBE4916" w14:textId="77777777"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sz w:val="24"/>
          <w:szCs w:val="24"/>
        </w:rPr>
        <w:t xml:space="preserve">The budget may include an estimate for continuation activities, which will be considered for successful applicants to this NOFO in future fiscal years based on performance and the availability of funds. After filling out the SF-424A Budget (above), use a separate sheet of paper to describe each of the budget expenses in detail. </w:t>
      </w:r>
    </w:p>
    <w:p w14:paraId="7806A6EF" w14:textId="503551E9" w:rsid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sz w:val="24"/>
          <w:szCs w:val="24"/>
        </w:rPr>
        <w:t xml:space="preserve">Applicants that have a Negotiated Indirect Cost Rate Agreement with the U.S. Government should submit the latest copy. </w:t>
      </w:r>
    </w:p>
    <w:p w14:paraId="323F05C7" w14:textId="2E8FBF47"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sz w:val="24"/>
          <w:szCs w:val="24"/>
        </w:rPr>
        <w:t xml:space="preserve">(b) </w:t>
      </w:r>
      <w:r w:rsidRPr="00634902">
        <w:rPr>
          <w:rFonts w:ascii="Times New Roman" w:hAnsi="Times New Roman" w:cs="Times New Roman"/>
          <w:b/>
          <w:bCs/>
          <w:sz w:val="24"/>
          <w:szCs w:val="24"/>
        </w:rPr>
        <w:t xml:space="preserve">Resume (Required) </w:t>
      </w:r>
      <w:r w:rsidRPr="00634902">
        <w:rPr>
          <w:rFonts w:ascii="Times New Roman" w:hAnsi="Times New Roman" w:cs="Times New Roman"/>
          <w:sz w:val="24"/>
          <w:szCs w:val="24"/>
        </w:rPr>
        <w:t xml:space="preserve">– a resume, not to exceed 2 pages in length, must be included for the proposed key staff person, such as the Project Director. If an individual for this type of position has not been identified, the applicant may submit a 1-page position description, identifying the qualifications and skills required for that position, in lieu of a resume. </w:t>
      </w:r>
    </w:p>
    <w:p w14:paraId="1DC3C9FD" w14:textId="5BA9CE7F"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sz w:val="24"/>
          <w:szCs w:val="24"/>
        </w:rPr>
        <w:t xml:space="preserve">(c) </w:t>
      </w:r>
      <w:r w:rsidRPr="00634902">
        <w:rPr>
          <w:rFonts w:ascii="Times New Roman" w:hAnsi="Times New Roman" w:cs="Times New Roman"/>
          <w:b/>
          <w:bCs/>
          <w:sz w:val="24"/>
          <w:szCs w:val="24"/>
        </w:rPr>
        <w:t xml:space="preserve">Letters of Intent (Required) </w:t>
      </w:r>
      <w:r w:rsidRPr="00634902">
        <w:rPr>
          <w:rFonts w:ascii="Times New Roman" w:hAnsi="Times New Roman" w:cs="Times New Roman"/>
          <w:sz w:val="24"/>
          <w:szCs w:val="24"/>
        </w:rPr>
        <w:t xml:space="preserve">–Public Affairs Section (PAS) of the U.S. Embassy in Tbilisi, Georgia recommends that the applicants identify in advance the local partners in the U.S. and requires including the letters of intent with the proposal. The letters must identify the type of relationship to be </w:t>
      </w:r>
      <w:proofErr w:type="gramStart"/>
      <w:r w:rsidRPr="00634902">
        <w:rPr>
          <w:rFonts w:ascii="Times New Roman" w:hAnsi="Times New Roman" w:cs="Times New Roman"/>
          <w:sz w:val="24"/>
          <w:szCs w:val="24"/>
        </w:rPr>
        <w:t>entered into</w:t>
      </w:r>
      <w:proofErr w:type="gramEnd"/>
      <w:r w:rsidRPr="00634902">
        <w:rPr>
          <w:rFonts w:ascii="Times New Roman" w:hAnsi="Times New Roman" w:cs="Times New Roman"/>
          <w:sz w:val="24"/>
          <w:szCs w:val="24"/>
        </w:rPr>
        <w:t xml:space="preserve"> (formal or informal), the roles and responsibilities of each partner in relation to the proposed project activities, and the expected result of the partnership. Please note that these are not letters of </w:t>
      </w:r>
      <w:proofErr w:type="gramStart"/>
      <w:r w:rsidRPr="00634902">
        <w:rPr>
          <w:rFonts w:ascii="Times New Roman" w:hAnsi="Times New Roman" w:cs="Times New Roman"/>
          <w:sz w:val="24"/>
          <w:szCs w:val="24"/>
        </w:rPr>
        <w:t>support, and</w:t>
      </w:r>
      <w:proofErr w:type="gramEnd"/>
      <w:r w:rsidRPr="00634902">
        <w:rPr>
          <w:rFonts w:ascii="Times New Roman" w:hAnsi="Times New Roman" w:cs="Times New Roman"/>
          <w:sz w:val="24"/>
          <w:szCs w:val="24"/>
        </w:rPr>
        <w:t xml:space="preserve"> should only be included for those organizations that will play an active role in the project, including those that receive financial support through the project budget. The individual letters cannot exceed 1 page in length, and applicants are limited to submitting up to 5 letters per proposal. </w:t>
      </w:r>
    </w:p>
    <w:p w14:paraId="64B3360D" w14:textId="1C63D7D3"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r w:rsidRPr="00634902">
        <w:rPr>
          <w:rFonts w:ascii="Times New Roman" w:hAnsi="Times New Roman" w:cs="Times New Roman"/>
          <w:b/>
          <w:bCs/>
          <w:sz w:val="24"/>
          <w:szCs w:val="24"/>
        </w:rPr>
        <w:t xml:space="preserve">(d) Unique Entity Identifier and System for Award Management (SAM.gov) – </w:t>
      </w:r>
      <w:r w:rsidRPr="00634902">
        <w:rPr>
          <w:rFonts w:ascii="Times New Roman" w:hAnsi="Times New Roman" w:cs="Times New Roman"/>
          <w:sz w:val="24"/>
          <w:szCs w:val="24"/>
        </w:rPr>
        <w:t xml:space="preserve">copy of SAM.gov registration. </w:t>
      </w:r>
    </w:p>
    <w:p w14:paraId="4A2D88D5" w14:textId="77777777" w:rsidR="00634902" w:rsidRPr="00634902" w:rsidRDefault="00634902" w:rsidP="00634902">
      <w:pPr>
        <w:autoSpaceDE w:val="0"/>
        <w:autoSpaceDN w:val="0"/>
        <w:adjustRightInd w:val="0"/>
        <w:spacing w:after="0" w:line="240" w:lineRule="auto"/>
        <w:rPr>
          <w:rFonts w:ascii="Times New Roman" w:hAnsi="Times New Roman" w:cs="Times New Roman"/>
          <w:sz w:val="24"/>
          <w:szCs w:val="24"/>
        </w:rPr>
      </w:pPr>
    </w:p>
    <w:p w14:paraId="3E7A29B6" w14:textId="77777777" w:rsidR="00D142D9" w:rsidRPr="00D21A4B" w:rsidRDefault="00D142D9" w:rsidP="00D142D9">
      <w:p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b/>
          <w:bCs/>
          <w:sz w:val="24"/>
          <w:szCs w:val="24"/>
          <w:bdr w:val="none" w:sz="0" w:space="0" w:color="auto" w:frame="1"/>
        </w:rPr>
        <w:t>Required Registrations:</w:t>
      </w:r>
    </w:p>
    <w:p w14:paraId="6F9EF525" w14:textId="77777777" w:rsidR="00D142D9" w:rsidRDefault="00D142D9" w:rsidP="00D142D9">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Any applicant listed on the Excluded Parties List System (EPLS) in th</w:t>
      </w:r>
      <w:r>
        <w:rPr>
          <w:rFonts w:ascii="Times New Roman" w:eastAsia="Times New Roman" w:hAnsi="Times New Roman" w:cs="Times New Roman"/>
          <w:color w:val="252525"/>
          <w:sz w:val="24"/>
          <w:szCs w:val="24"/>
        </w:rPr>
        <w:t xml:space="preserve">e </w:t>
      </w:r>
      <w:hyperlink r:id="rId17" w:history="1">
        <w:r>
          <w:rPr>
            <w:rStyle w:val="Hyperlink"/>
            <w:rFonts w:ascii="Times New Roman" w:eastAsia="Times New Roman" w:hAnsi="Times New Roman" w:cs="Times New Roman"/>
            <w:sz w:val="24"/>
            <w:szCs w:val="24"/>
          </w:rPr>
          <w:t>System for Award Management (SAM)</w:t>
        </w:r>
      </w:hyperlink>
      <w:r>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sz w:val="24"/>
          <w:szCs w:val="24"/>
        </w:rPr>
        <w:t xml:space="preserve">is not eligible to apply for an assistance award in accordance with the OMB guidelines at 2 CFR 180 that implement Executive Orders 12549 (3 CFR, 1986 Comp., p. 189) and 12689 (3 CFR, 1989 Comp., p. 235), “Debarment and Suspension.” Additionally, no entity listed on the EPLS can participate in any activities under an award.  </w:t>
      </w:r>
    </w:p>
    <w:p w14:paraId="402F77F7" w14:textId="77777777" w:rsidR="00D142D9" w:rsidRDefault="00D142D9" w:rsidP="00D142D9">
      <w:pPr>
        <w:shd w:val="clear" w:color="auto" w:fill="FFFFFF"/>
        <w:spacing w:after="0" w:line="240" w:lineRule="auto"/>
        <w:textAlignment w:val="baseline"/>
        <w:rPr>
          <w:rFonts w:ascii="Times New Roman" w:eastAsia="Times New Roman" w:hAnsi="Times New Roman" w:cs="Times New Roman"/>
          <w:sz w:val="24"/>
          <w:szCs w:val="24"/>
        </w:rPr>
      </w:pPr>
    </w:p>
    <w:p w14:paraId="781A0B61" w14:textId="77777777" w:rsidR="00D142D9" w:rsidRPr="00D21A4B" w:rsidRDefault="00D142D9" w:rsidP="00D142D9">
      <w:pPr>
        <w:shd w:val="clear" w:color="auto" w:fill="FFFFFF"/>
        <w:spacing w:after="0" w:line="240" w:lineRule="auto"/>
        <w:textAlignment w:val="baseline"/>
        <w:rPr>
          <w:rFonts w:ascii="Times New Roman" w:eastAsia="Times New Roman" w:hAnsi="Times New Roman" w:cs="Times New Roman"/>
          <w:sz w:val="24"/>
          <w:szCs w:val="24"/>
        </w:rPr>
      </w:pPr>
      <w:r w:rsidRPr="00D21A4B">
        <w:rPr>
          <w:rFonts w:ascii="Times New Roman" w:eastAsia="Times New Roman" w:hAnsi="Times New Roman" w:cs="Times New Roman"/>
          <w:sz w:val="24"/>
          <w:szCs w:val="24"/>
        </w:rPr>
        <w:t xml:space="preserve">All organizations </w:t>
      </w:r>
      <w:r>
        <w:rPr>
          <w:rFonts w:ascii="Times New Roman" w:eastAsia="Times New Roman" w:hAnsi="Times New Roman" w:cs="Times New Roman"/>
          <w:sz w:val="24"/>
          <w:szCs w:val="24"/>
        </w:rPr>
        <w:t>awarded the</w:t>
      </w:r>
      <w:r w:rsidRPr="00D21A4B">
        <w:rPr>
          <w:rFonts w:ascii="Times New Roman" w:eastAsia="Times New Roman" w:hAnsi="Times New Roman" w:cs="Times New Roman"/>
          <w:sz w:val="24"/>
          <w:szCs w:val="24"/>
        </w:rPr>
        <w:t xml:space="preserve"> grant (except individuals) must obtain these registrations.  All are free of charge:</w:t>
      </w:r>
    </w:p>
    <w:p w14:paraId="1A33817A" w14:textId="77777777" w:rsidR="00D142D9" w:rsidRPr="004653B3" w:rsidRDefault="00D142D9" w:rsidP="00D142D9">
      <w:pPr>
        <w:pStyle w:val="Default"/>
        <w:numPr>
          <w:ilvl w:val="0"/>
          <w:numId w:val="11"/>
        </w:numPr>
        <w:spacing w:after="9"/>
      </w:pPr>
      <w:r w:rsidRPr="004653B3">
        <w:t xml:space="preserve">Unique </w:t>
      </w:r>
      <w:r>
        <w:t>entity identifier</w:t>
      </w:r>
      <w:r w:rsidRPr="004653B3">
        <w:t xml:space="preserve"> from Dun &amp; Bradstreet (DUNS number) </w:t>
      </w:r>
    </w:p>
    <w:p w14:paraId="44FAD4E6" w14:textId="77777777" w:rsidR="00D142D9" w:rsidRPr="004653B3" w:rsidRDefault="00D142D9" w:rsidP="00D142D9">
      <w:pPr>
        <w:pStyle w:val="Default"/>
        <w:numPr>
          <w:ilvl w:val="0"/>
          <w:numId w:val="11"/>
        </w:numPr>
        <w:spacing w:after="9"/>
      </w:pPr>
      <w:r w:rsidRPr="004653B3">
        <w:t xml:space="preserve">NCAGE/CAGE code </w:t>
      </w:r>
    </w:p>
    <w:p w14:paraId="65C66281" w14:textId="77777777" w:rsidR="00D142D9" w:rsidRPr="004653B3" w:rsidRDefault="00D142D9" w:rsidP="00D142D9">
      <w:pPr>
        <w:pStyle w:val="Default"/>
        <w:numPr>
          <w:ilvl w:val="0"/>
          <w:numId w:val="11"/>
        </w:numPr>
      </w:pPr>
      <w:r w:rsidRPr="004653B3">
        <w:t xml:space="preserve">www.SAM.gov registration </w:t>
      </w:r>
    </w:p>
    <w:p w14:paraId="06BDDEBC" w14:textId="77777777" w:rsidR="00D142D9" w:rsidRPr="004653B3" w:rsidRDefault="00D142D9" w:rsidP="00D142D9">
      <w:pPr>
        <w:pStyle w:val="Default"/>
        <w:rPr>
          <w:bCs/>
        </w:rPr>
      </w:pPr>
    </w:p>
    <w:p w14:paraId="3D168D0B" w14:textId="77777777" w:rsidR="00D142D9" w:rsidRPr="004653B3" w:rsidRDefault="00D142D9" w:rsidP="00D142D9">
      <w:pPr>
        <w:pStyle w:val="Default"/>
      </w:pPr>
      <w:r w:rsidRPr="004653B3">
        <w:rPr>
          <w:bCs/>
        </w:rPr>
        <w:t xml:space="preserve">Step 1: </w:t>
      </w:r>
      <w:r w:rsidRPr="004653B3">
        <w:t xml:space="preserve">Apply for a </w:t>
      </w:r>
      <w:proofErr w:type="gramStart"/>
      <w:r w:rsidRPr="004653B3">
        <w:t>DUNS</w:t>
      </w:r>
      <w:proofErr w:type="gramEnd"/>
      <w:r w:rsidRPr="004653B3">
        <w:t xml:space="preserve"> number and an NCAGE number (these can be completed simultaneously) </w:t>
      </w:r>
    </w:p>
    <w:p w14:paraId="252DA20F" w14:textId="77777777" w:rsidR="00D142D9" w:rsidRPr="004653B3" w:rsidRDefault="00D142D9" w:rsidP="00D142D9">
      <w:pPr>
        <w:pStyle w:val="Default"/>
      </w:pPr>
    </w:p>
    <w:p w14:paraId="62AEE2BA" w14:textId="1B2E74CA" w:rsidR="00D142D9" w:rsidRDefault="00D142D9" w:rsidP="00D142D9">
      <w:pPr>
        <w:pStyle w:val="Default"/>
      </w:pPr>
      <w:r w:rsidRPr="004653B3">
        <w:t>DUNS application: Organizations must have a Data Universal Numbering System (DUNS) number from Dun &amp; Bradstreet</w:t>
      </w:r>
      <w:r>
        <w:t>.</w:t>
      </w:r>
      <w:r w:rsidRPr="004653B3">
        <w:t xml:space="preserve"> </w:t>
      </w:r>
      <w:r>
        <w:t>I</w:t>
      </w:r>
      <w:r w:rsidRPr="004653B3">
        <w:t xml:space="preserve">f your organization does not have one already, you may obtain one by calling 1-866-705-5711 or visiting </w:t>
      </w:r>
      <w:hyperlink r:id="rId18" w:history="1">
        <w:r w:rsidRPr="00A53875">
          <w:rPr>
            <w:rStyle w:val="Hyperlink"/>
          </w:rPr>
          <w:t>http://fedgov.dnb.com/webform</w:t>
        </w:r>
      </w:hyperlink>
    </w:p>
    <w:p w14:paraId="60432E77" w14:textId="77777777" w:rsidR="00D142D9" w:rsidRPr="004653B3" w:rsidRDefault="00D142D9" w:rsidP="00D142D9">
      <w:pPr>
        <w:pStyle w:val="Default"/>
      </w:pPr>
    </w:p>
    <w:p w14:paraId="6A3CEC22" w14:textId="77777777" w:rsidR="00D142D9" w:rsidRPr="004653B3" w:rsidRDefault="00D142D9" w:rsidP="00D142D9">
      <w:pPr>
        <w:pStyle w:val="Default"/>
      </w:pPr>
    </w:p>
    <w:p w14:paraId="3E3BCA24" w14:textId="77777777" w:rsidR="00D142D9" w:rsidRPr="004653B3" w:rsidRDefault="00D142D9" w:rsidP="00D142D9">
      <w:pPr>
        <w:pStyle w:val="Default"/>
      </w:pPr>
      <w:r w:rsidRPr="004653B3">
        <w:t>NCAGE application: Application page here</w:t>
      </w:r>
      <w:r>
        <w:t>:</w:t>
      </w:r>
      <w:r w:rsidRPr="004653B3">
        <w:t xml:space="preserve"> </w:t>
      </w:r>
      <w:hyperlink r:id="rId19" w:history="1">
        <w:r w:rsidRPr="00A53875">
          <w:rPr>
            <w:rStyle w:val="Hyperlink"/>
          </w:rPr>
          <w:t>https://eportal.nspa.nato.int/AC135Public/scage/CageList.aspx</w:t>
        </w:r>
      </w:hyperlink>
      <w:r>
        <w:t xml:space="preserve"> </w:t>
      </w:r>
      <w:r w:rsidRPr="004653B3">
        <w:t xml:space="preserve"> </w:t>
      </w:r>
    </w:p>
    <w:p w14:paraId="16C68F3D" w14:textId="77777777" w:rsidR="00D142D9" w:rsidRPr="004653B3" w:rsidRDefault="00D142D9" w:rsidP="00D142D9">
      <w:pPr>
        <w:pStyle w:val="Default"/>
      </w:pPr>
      <w:r w:rsidRPr="004653B3">
        <w:t xml:space="preserve">Instructions for the NCAGE application process: </w:t>
      </w:r>
    </w:p>
    <w:p w14:paraId="5A71C790" w14:textId="77777777" w:rsidR="00D142D9" w:rsidRPr="004653B3" w:rsidRDefault="007B2AF2" w:rsidP="00D142D9">
      <w:pPr>
        <w:pStyle w:val="Default"/>
      </w:pPr>
      <w:hyperlink r:id="rId20" w:history="1">
        <w:r w:rsidR="00D142D9" w:rsidRPr="00A53875">
          <w:rPr>
            <w:rStyle w:val="Hyperlink"/>
          </w:rPr>
          <w:t>https://eportal.nspa.nato.int/AC135Public/Docs/US%20Instructions%20for%20NSPA%20NCAGE.pdf</w:t>
        </w:r>
      </w:hyperlink>
      <w:r w:rsidR="00D142D9">
        <w:t xml:space="preserve"> </w:t>
      </w:r>
      <w:r w:rsidR="00D142D9" w:rsidRPr="004653B3">
        <w:t xml:space="preserve"> </w:t>
      </w:r>
    </w:p>
    <w:p w14:paraId="5A01C630" w14:textId="77777777" w:rsidR="00D142D9" w:rsidRPr="004653B3" w:rsidRDefault="00D142D9" w:rsidP="00D142D9">
      <w:pPr>
        <w:pStyle w:val="Default"/>
      </w:pPr>
    </w:p>
    <w:p w14:paraId="111D0857" w14:textId="77777777" w:rsidR="00D142D9" w:rsidRPr="004653B3" w:rsidRDefault="00D142D9" w:rsidP="00D142D9">
      <w:pPr>
        <w:pStyle w:val="Default"/>
      </w:pPr>
      <w:r w:rsidRPr="004653B3">
        <w:t xml:space="preserve">For </w:t>
      </w:r>
      <w:r>
        <w:t xml:space="preserve">NCAGE </w:t>
      </w:r>
      <w:r w:rsidRPr="004653B3">
        <w:t xml:space="preserve">help from within the U.S., call 1-888-227-2423 </w:t>
      </w:r>
    </w:p>
    <w:p w14:paraId="21D5B079" w14:textId="77777777" w:rsidR="00D142D9" w:rsidRPr="004653B3" w:rsidRDefault="00D142D9" w:rsidP="00D142D9">
      <w:pPr>
        <w:pStyle w:val="Default"/>
      </w:pPr>
      <w:r w:rsidRPr="004653B3">
        <w:t xml:space="preserve">For </w:t>
      </w:r>
      <w:r>
        <w:t xml:space="preserve">NCAGE </w:t>
      </w:r>
      <w:r w:rsidRPr="004653B3">
        <w:t xml:space="preserve">help from outside the U.S., call 1-269-961-7766 </w:t>
      </w:r>
    </w:p>
    <w:p w14:paraId="1DDFD4A5" w14:textId="77777777" w:rsidR="00D142D9" w:rsidRPr="004653B3" w:rsidRDefault="00D142D9" w:rsidP="00D142D9">
      <w:pPr>
        <w:pStyle w:val="Default"/>
      </w:pPr>
      <w:r w:rsidRPr="004653B3">
        <w:t xml:space="preserve">Email NCAGE@dlis.dla.mil for any problems in getting an NCAGE code. </w:t>
      </w:r>
    </w:p>
    <w:p w14:paraId="2EED8ABF" w14:textId="77777777" w:rsidR="00D142D9" w:rsidRPr="004653B3" w:rsidRDefault="00D142D9" w:rsidP="00D142D9">
      <w:pPr>
        <w:pStyle w:val="Default"/>
      </w:pPr>
    </w:p>
    <w:p w14:paraId="69F07BD4" w14:textId="77777777" w:rsidR="00D142D9" w:rsidRDefault="00D142D9" w:rsidP="00D142D9">
      <w:pPr>
        <w:pStyle w:val="Default"/>
      </w:pPr>
      <w:r w:rsidRPr="004653B3">
        <w:t>Step 2: After receiving the NCAGE Code, proceed to register in SAM</w:t>
      </w:r>
      <w:r>
        <w:t>.gov</w:t>
      </w:r>
      <w:r w:rsidRPr="004653B3">
        <w:t xml:space="preserve"> by logging onto: </w:t>
      </w:r>
      <w:hyperlink r:id="rId21" w:history="1">
        <w:r w:rsidRPr="004653B3">
          <w:rPr>
            <w:rStyle w:val="Hyperlink"/>
          </w:rPr>
          <w:t>https://www.sam.gov</w:t>
        </w:r>
      </w:hyperlink>
      <w:r w:rsidRPr="004653B3">
        <w:t>.  SAM registration must be renewed annually.</w:t>
      </w:r>
    </w:p>
    <w:p w14:paraId="1CF3A02C" w14:textId="77777777" w:rsidR="00C92BC2" w:rsidRDefault="00C92BC2" w:rsidP="00634902">
      <w:pPr>
        <w:autoSpaceDE w:val="0"/>
        <w:autoSpaceDN w:val="0"/>
        <w:adjustRightInd w:val="0"/>
        <w:spacing w:after="0" w:line="240" w:lineRule="auto"/>
        <w:rPr>
          <w:rFonts w:ascii="Times New Roman" w:hAnsi="Times New Roman" w:cs="Times New Roman"/>
          <w:b/>
          <w:bCs/>
          <w:sz w:val="23"/>
          <w:szCs w:val="23"/>
        </w:rPr>
      </w:pPr>
    </w:p>
    <w:p w14:paraId="7468EE89" w14:textId="2D1ABDE2" w:rsidR="00634902" w:rsidRDefault="00C92BC2" w:rsidP="00634902">
      <w:pPr>
        <w:autoSpaceDE w:val="0"/>
        <w:autoSpaceDN w:val="0"/>
        <w:adjustRightInd w:val="0"/>
        <w:spacing w:after="0" w:line="240" w:lineRule="auto"/>
        <w:rPr>
          <w:rFonts w:ascii="Times New Roman" w:hAnsi="Times New Roman" w:cs="Times New Roman"/>
          <w:b/>
          <w:bCs/>
          <w:sz w:val="23"/>
          <w:szCs w:val="23"/>
          <w:u w:val="single"/>
        </w:rPr>
      </w:pPr>
      <w:r w:rsidRPr="00100424">
        <w:rPr>
          <w:rFonts w:ascii="Times New Roman" w:hAnsi="Times New Roman" w:cs="Times New Roman"/>
          <w:b/>
          <w:bCs/>
          <w:sz w:val="23"/>
          <w:szCs w:val="23"/>
          <w:u w:val="single"/>
        </w:rPr>
        <w:t xml:space="preserve">D. </w:t>
      </w:r>
      <w:r w:rsidR="00634902" w:rsidRPr="00100424">
        <w:rPr>
          <w:rFonts w:ascii="Times New Roman" w:hAnsi="Times New Roman" w:cs="Times New Roman"/>
          <w:b/>
          <w:bCs/>
          <w:sz w:val="23"/>
          <w:szCs w:val="23"/>
          <w:u w:val="single"/>
        </w:rPr>
        <w:t xml:space="preserve">AWARD SELECTION CRITERIA </w:t>
      </w:r>
    </w:p>
    <w:p w14:paraId="75F36356" w14:textId="77777777" w:rsidR="004621ED" w:rsidRPr="00100424" w:rsidRDefault="004621ED" w:rsidP="00634902">
      <w:pPr>
        <w:autoSpaceDE w:val="0"/>
        <w:autoSpaceDN w:val="0"/>
        <w:adjustRightInd w:val="0"/>
        <w:spacing w:after="0" w:line="240" w:lineRule="auto"/>
        <w:rPr>
          <w:rFonts w:ascii="Times New Roman" w:hAnsi="Times New Roman" w:cs="Times New Roman"/>
          <w:sz w:val="23"/>
          <w:szCs w:val="23"/>
          <w:u w:val="single"/>
        </w:rPr>
      </w:pPr>
    </w:p>
    <w:p w14:paraId="0CF56B8A" w14:textId="187CD290" w:rsidR="00634902" w:rsidRPr="00634902" w:rsidRDefault="00634902" w:rsidP="00161B98">
      <w:pPr>
        <w:autoSpaceDE w:val="0"/>
        <w:autoSpaceDN w:val="0"/>
        <w:adjustRightInd w:val="0"/>
        <w:spacing w:after="0" w:line="240" w:lineRule="auto"/>
        <w:rPr>
          <w:rFonts w:ascii="Times New Roman" w:hAnsi="Times New Roman" w:cs="Times New Roman"/>
          <w:sz w:val="23"/>
          <w:szCs w:val="23"/>
        </w:rPr>
      </w:pPr>
      <w:r w:rsidRPr="00634902">
        <w:rPr>
          <w:rFonts w:ascii="Times New Roman" w:hAnsi="Times New Roman" w:cs="Times New Roman"/>
          <w:b/>
          <w:bCs/>
          <w:sz w:val="23"/>
          <w:szCs w:val="23"/>
        </w:rPr>
        <w:t xml:space="preserve">Evaluation Criteria: </w:t>
      </w:r>
      <w:r w:rsidR="00161B98">
        <w:rPr>
          <w:rFonts w:ascii="Times New Roman" w:hAnsi="Times New Roman" w:cs="Times New Roman"/>
          <w:sz w:val="23"/>
          <w:szCs w:val="23"/>
        </w:rPr>
        <w:t xml:space="preserve">Applicants should note </w:t>
      </w:r>
      <w:r w:rsidRPr="00634902">
        <w:rPr>
          <w:rFonts w:ascii="Times New Roman" w:hAnsi="Times New Roman" w:cs="Times New Roman"/>
          <w:sz w:val="23"/>
          <w:szCs w:val="23"/>
        </w:rPr>
        <w:t xml:space="preserve">the following criteria (1) serve as a standard against which all proposals will be evaluated, and (2) serve to identify the significant matters </w:t>
      </w:r>
      <w:r w:rsidR="00DF7DE3" w:rsidRPr="00634902">
        <w:rPr>
          <w:rFonts w:ascii="Times New Roman" w:hAnsi="Times New Roman" w:cs="Times New Roman"/>
          <w:sz w:val="23"/>
          <w:szCs w:val="23"/>
        </w:rPr>
        <w:t>that should</w:t>
      </w:r>
      <w:r w:rsidRPr="00634902">
        <w:rPr>
          <w:rFonts w:ascii="Times New Roman" w:hAnsi="Times New Roman" w:cs="Times New Roman"/>
          <w:sz w:val="23"/>
          <w:szCs w:val="23"/>
        </w:rPr>
        <w:t xml:space="preserve"> be addressed in all proposals. The USG will award grants to the applicants whose offers represent the best value to the USG </w:t>
      </w:r>
      <w:proofErr w:type="gramStart"/>
      <w:r w:rsidRPr="00634902">
        <w:rPr>
          <w:rFonts w:ascii="Times New Roman" w:hAnsi="Times New Roman" w:cs="Times New Roman"/>
          <w:sz w:val="23"/>
          <w:szCs w:val="23"/>
        </w:rPr>
        <w:t>on the basis of</w:t>
      </w:r>
      <w:proofErr w:type="gramEnd"/>
      <w:r w:rsidRPr="00634902">
        <w:rPr>
          <w:rFonts w:ascii="Times New Roman" w:hAnsi="Times New Roman" w:cs="Times New Roman"/>
          <w:sz w:val="23"/>
          <w:szCs w:val="23"/>
        </w:rPr>
        <w:t xml:space="preserve"> technical merit and cost. </w:t>
      </w:r>
    </w:p>
    <w:p w14:paraId="49ADE672" w14:textId="77777777" w:rsidR="00161B98" w:rsidRDefault="00634902" w:rsidP="00161B98">
      <w:pPr>
        <w:autoSpaceDE w:val="0"/>
        <w:autoSpaceDN w:val="0"/>
        <w:adjustRightInd w:val="0"/>
        <w:spacing w:after="0" w:line="240" w:lineRule="auto"/>
        <w:rPr>
          <w:rFonts w:ascii="Times New Roman" w:hAnsi="Times New Roman" w:cs="Times New Roman"/>
          <w:sz w:val="23"/>
          <w:szCs w:val="23"/>
        </w:rPr>
      </w:pPr>
      <w:r w:rsidRPr="00634902">
        <w:rPr>
          <w:rFonts w:ascii="Times New Roman" w:hAnsi="Times New Roman" w:cs="Times New Roman"/>
          <w:sz w:val="23"/>
          <w:szCs w:val="23"/>
        </w:rPr>
        <w:t xml:space="preserve">Each application will be evaluated by a peer review committee of the Public Affairs Section, U.S. Embassy in Tbilisi, </w:t>
      </w:r>
      <w:proofErr w:type="gramStart"/>
      <w:r w:rsidRPr="00634902">
        <w:rPr>
          <w:rFonts w:ascii="Times New Roman" w:hAnsi="Times New Roman" w:cs="Times New Roman"/>
          <w:sz w:val="23"/>
          <w:szCs w:val="23"/>
        </w:rPr>
        <w:t>Georgia</w:t>
      </w:r>
      <w:proofErr w:type="gramEnd"/>
      <w:r w:rsidRPr="00634902">
        <w:rPr>
          <w:rFonts w:ascii="Times New Roman" w:hAnsi="Times New Roman" w:cs="Times New Roman"/>
          <w:sz w:val="23"/>
          <w:szCs w:val="23"/>
        </w:rPr>
        <w:t xml:space="preserve"> and other experts, as deemed appropriate. The evaluation criteria have been tailored to the requirements of this NOFO. </w:t>
      </w:r>
    </w:p>
    <w:p w14:paraId="1CE874A7" w14:textId="77777777" w:rsidR="00DF7BAE" w:rsidRDefault="00DF7BAE" w:rsidP="00161B98">
      <w:pPr>
        <w:autoSpaceDE w:val="0"/>
        <w:autoSpaceDN w:val="0"/>
        <w:adjustRightInd w:val="0"/>
        <w:spacing w:after="0" w:line="240" w:lineRule="auto"/>
        <w:rPr>
          <w:rFonts w:ascii="Times New Roman" w:hAnsi="Times New Roman" w:cs="Times New Roman"/>
          <w:b/>
          <w:bCs/>
          <w:sz w:val="23"/>
          <w:szCs w:val="23"/>
        </w:rPr>
      </w:pPr>
    </w:p>
    <w:p w14:paraId="1BA55A7E" w14:textId="144FED2A" w:rsidR="00634902" w:rsidRPr="00161B98" w:rsidRDefault="2A104D46" w:rsidP="00161B98">
      <w:pPr>
        <w:autoSpaceDE w:val="0"/>
        <w:autoSpaceDN w:val="0"/>
        <w:adjustRightInd w:val="0"/>
        <w:spacing w:after="0" w:line="240" w:lineRule="auto"/>
        <w:rPr>
          <w:rFonts w:ascii="Times New Roman" w:hAnsi="Times New Roman" w:cs="Times New Roman"/>
          <w:sz w:val="23"/>
          <w:szCs w:val="23"/>
        </w:rPr>
      </w:pPr>
      <w:r w:rsidRPr="2A104D46">
        <w:rPr>
          <w:rFonts w:ascii="Times New Roman" w:hAnsi="Times New Roman" w:cs="Times New Roman"/>
          <w:b/>
          <w:bCs/>
          <w:sz w:val="23"/>
          <w:szCs w:val="23"/>
        </w:rPr>
        <w:t xml:space="preserve">Project Strategy, </w:t>
      </w:r>
      <w:proofErr w:type="gramStart"/>
      <w:r w:rsidRPr="2A104D46">
        <w:rPr>
          <w:rFonts w:ascii="Times New Roman" w:hAnsi="Times New Roman" w:cs="Times New Roman"/>
          <w:b/>
          <w:bCs/>
          <w:sz w:val="23"/>
          <w:szCs w:val="23"/>
        </w:rPr>
        <w:t>Approach</w:t>
      </w:r>
      <w:proofErr w:type="gramEnd"/>
      <w:r w:rsidRPr="2A104D46">
        <w:rPr>
          <w:rFonts w:ascii="Times New Roman" w:hAnsi="Times New Roman" w:cs="Times New Roman"/>
          <w:b/>
          <w:bCs/>
          <w:sz w:val="23"/>
          <w:szCs w:val="23"/>
        </w:rPr>
        <w:t xml:space="preserve"> and Implementation Plan (50 points): </w:t>
      </w:r>
      <w:r w:rsidRPr="2A104D46">
        <w:rPr>
          <w:rFonts w:ascii="Times New Roman" w:hAnsi="Times New Roman" w:cs="Times New Roman"/>
          <w:sz w:val="23"/>
          <w:szCs w:val="23"/>
        </w:rPr>
        <w:t xml:space="preserve">Applicants should demonstrate: </w:t>
      </w:r>
    </w:p>
    <w:p w14:paraId="288DD1D0" w14:textId="1DEEE43D"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634902">
        <w:rPr>
          <w:rFonts w:ascii="Times New Roman" w:hAnsi="Times New Roman" w:cs="Times New Roman"/>
          <w:sz w:val="23"/>
          <w:szCs w:val="23"/>
        </w:rPr>
        <w:lastRenderedPageBreak/>
        <w:t>(a) good understanding of the issue; clear definitions of the program and a vision of what will be accomplished at the end the agreement; (b) clarity of proposed objectives; (c) technical soundness of approach, including clarity in scope and focus of activities to be carried out; feasibility of achieving results and objectives; (d) detailed analysis of potential obstacles, risks and problems that could be encountered during the project implementation; (e) local partnership commitments and optimum utilization of Georgian organizations and Georgian expertise in program implementation</w:t>
      </w:r>
      <w:r w:rsidR="00584CBA">
        <w:rPr>
          <w:rFonts w:ascii="Times New Roman" w:hAnsi="Times New Roman" w:cs="Times New Roman"/>
          <w:sz w:val="23"/>
          <w:szCs w:val="23"/>
        </w:rPr>
        <w:t>, if applicable</w:t>
      </w:r>
      <w:r w:rsidRPr="00634902">
        <w:rPr>
          <w:rFonts w:ascii="Times New Roman" w:hAnsi="Times New Roman" w:cs="Times New Roman"/>
          <w:sz w:val="23"/>
          <w:szCs w:val="23"/>
        </w:rPr>
        <w:t>; (f) clarity of expected achievements/outc</w:t>
      </w:r>
      <w:r w:rsidR="00DF7DE3">
        <w:rPr>
          <w:rFonts w:ascii="Times New Roman" w:hAnsi="Times New Roman" w:cs="Times New Roman"/>
          <w:sz w:val="23"/>
          <w:szCs w:val="23"/>
        </w:rPr>
        <w:t>omes of the project, and a solid</w:t>
      </w:r>
      <w:r w:rsidRPr="00634902">
        <w:rPr>
          <w:rFonts w:ascii="Times New Roman" w:hAnsi="Times New Roman" w:cs="Times New Roman"/>
          <w:sz w:val="23"/>
          <w:szCs w:val="23"/>
        </w:rPr>
        <w:t xml:space="preserve"> description of the proposed monitoring and evaluation plan. </w:t>
      </w:r>
    </w:p>
    <w:p w14:paraId="63B6DE52" w14:textId="77777777"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634902">
        <w:rPr>
          <w:rFonts w:ascii="Times New Roman" w:hAnsi="Times New Roman" w:cs="Times New Roman"/>
          <w:sz w:val="23"/>
          <w:szCs w:val="23"/>
        </w:rPr>
        <w:t xml:space="preserve">The review panel will be viewing the implementation plan in terms of how well it addresses the overall relevance of the goals and objectives, feasibility of the proposed activities and their timeline for completion, and the extent to which the impact of the project will continue beyond the conclusion of the funding period. </w:t>
      </w:r>
    </w:p>
    <w:p w14:paraId="797BCDBF" w14:textId="539AF385"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634902">
        <w:rPr>
          <w:rFonts w:ascii="Times New Roman" w:hAnsi="Times New Roman" w:cs="Times New Roman"/>
          <w:b/>
          <w:bCs/>
          <w:sz w:val="23"/>
          <w:szCs w:val="23"/>
        </w:rPr>
        <w:t xml:space="preserve">Organizational Capability (30 points): </w:t>
      </w:r>
      <w:r w:rsidRPr="00634902">
        <w:rPr>
          <w:rFonts w:ascii="Times New Roman" w:hAnsi="Times New Roman" w:cs="Times New Roman"/>
          <w:sz w:val="23"/>
          <w:szCs w:val="23"/>
        </w:rPr>
        <w:t>Proposals should demonstrate the ability to develop and impl</w:t>
      </w:r>
      <w:r w:rsidR="00DF7DE3">
        <w:rPr>
          <w:rFonts w:ascii="Times New Roman" w:hAnsi="Times New Roman" w:cs="Times New Roman"/>
          <w:sz w:val="23"/>
          <w:szCs w:val="23"/>
        </w:rPr>
        <w:t>ement University Capacity Building</w:t>
      </w:r>
      <w:r w:rsidRPr="00634902">
        <w:rPr>
          <w:rFonts w:ascii="Times New Roman" w:hAnsi="Times New Roman" w:cs="Times New Roman"/>
          <w:sz w:val="23"/>
          <w:szCs w:val="23"/>
        </w:rPr>
        <w:t xml:space="preserve"> Program</w:t>
      </w:r>
      <w:r w:rsidR="00DF7DE3">
        <w:rPr>
          <w:rFonts w:ascii="Times New Roman" w:hAnsi="Times New Roman" w:cs="Times New Roman"/>
          <w:sz w:val="23"/>
          <w:szCs w:val="23"/>
        </w:rPr>
        <w:t xml:space="preserve"> (UCBP)</w:t>
      </w:r>
      <w:r w:rsidRPr="00634902">
        <w:rPr>
          <w:rFonts w:ascii="Times New Roman" w:hAnsi="Times New Roman" w:cs="Times New Roman"/>
          <w:sz w:val="23"/>
          <w:szCs w:val="23"/>
        </w:rPr>
        <w:t>. Applicants must demonstrate how their resources, capabilities, and experience will enable them to achieve the stated goals and objectives. In addition, applicants should describe how they will co</w:t>
      </w:r>
      <w:r w:rsidR="00DF7DE3">
        <w:rPr>
          <w:rFonts w:ascii="Times New Roman" w:hAnsi="Times New Roman" w:cs="Times New Roman"/>
          <w:sz w:val="23"/>
          <w:szCs w:val="23"/>
        </w:rPr>
        <w:t>llaborate with PAS and Georgian universities/private sector/government</w:t>
      </w:r>
      <w:r w:rsidRPr="00634902">
        <w:rPr>
          <w:rFonts w:ascii="Times New Roman" w:hAnsi="Times New Roman" w:cs="Times New Roman"/>
          <w:sz w:val="23"/>
          <w:szCs w:val="23"/>
        </w:rPr>
        <w:t xml:space="preserve"> to meet project goals. </w:t>
      </w:r>
    </w:p>
    <w:p w14:paraId="61217958" w14:textId="09ADE5FF" w:rsidR="00634902" w:rsidRPr="00161B98" w:rsidRDefault="00634902" w:rsidP="00634902">
      <w:pPr>
        <w:autoSpaceDE w:val="0"/>
        <w:autoSpaceDN w:val="0"/>
        <w:adjustRightInd w:val="0"/>
        <w:spacing w:after="0" w:line="240" w:lineRule="auto"/>
        <w:rPr>
          <w:rFonts w:ascii="Times New Roman" w:hAnsi="Times New Roman" w:cs="Times New Roman"/>
          <w:b/>
          <w:sz w:val="23"/>
          <w:szCs w:val="23"/>
        </w:rPr>
      </w:pPr>
      <w:r w:rsidRPr="00161B98">
        <w:rPr>
          <w:rFonts w:ascii="Times New Roman" w:hAnsi="Times New Roman" w:cs="Times New Roman"/>
          <w:b/>
          <w:sz w:val="23"/>
          <w:szCs w:val="23"/>
        </w:rPr>
        <w:t xml:space="preserve">Appendices (20 points): </w:t>
      </w:r>
    </w:p>
    <w:p w14:paraId="3ABA8B1D" w14:textId="499B939D"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634902">
        <w:rPr>
          <w:rFonts w:ascii="Times New Roman" w:hAnsi="Times New Roman" w:cs="Times New Roman"/>
          <w:b/>
          <w:bCs/>
          <w:sz w:val="23"/>
          <w:szCs w:val="23"/>
        </w:rPr>
        <w:t xml:space="preserve">Budget: </w:t>
      </w:r>
      <w:r w:rsidRPr="00634902">
        <w:rPr>
          <w:rFonts w:ascii="Times New Roman" w:hAnsi="Times New Roman" w:cs="Times New Roman"/>
          <w:sz w:val="23"/>
          <w:szCs w:val="23"/>
        </w:rPr>
        <w:t xml:space="preserve">Costs shall be evaluated for realism, control practices, and efficiency. The review committee must determine that the costs paid for this award are reasonable, allowable, and allocable to the proposed project activities. This will consist of a review of the budget to determine if the overall costs are realistic for the work to be performed, if the costs reflect the applicant’s understanding of the allowable cost principles established by OMB Circular A-21 and if the costs are consistent with the program narrative. </w:t>
      </w:r>
    </w:p>
    <w:p w14:paraId="3A3AFB5C" w14:textId="220A8B3E" w:rsidR="00634902" w:rsidRPr="00634902" w:rsidRDefault="00634902" w:rsidP="00634902">
      <w:pPr>
        <w:autoSpaceDE w:val="0"/>
        <w:autoSpaceDN w:val="0"/>
        <w:adjustRightInd w:val="0"/>
        <w:spacing w:after="27" w:line="240" w:lineRule="auto"/>
        <w:rPr>
          <w:rFonts w:ascii="Times New Roman" w:hAnsi="Times New Roman" w:cs="Times New Roman"/>
          <w:sz w:val="23"/>
          <w:szCs w:val="23"/>
        </w:rPr>
      </w:pPr>
      <w:r w:rsidRPr="00634902">
        <w:rPr>
          <w:rFonts w:ascii="Times New Roman" w:hAnsi="Times New Roman" w:cs="Times New Roman"/>
          <w:b/>
          <w:bCs/>
          <w:sz w:val="23"/>
          <w:szCs w:val="23"/>
        </w:rPr>
        <w:t xml:space="preserve">Resume: </w:t>
      </w:r>
      <w:r w:rsidRPr="00634902">
        <w:rPr>
          <w:rFonts w:ascii="Times New Roman" w:hAnsi="Times New Roman" w:cs="Times New Roman"/>
          <w:sz w:val="23"/>
          <w:szCs w:val="23"/>
        </w:rPr>
        <w:t xml:space="preserve">The review panel will consider the appropriateness of the selected project director, in view of the role and responsibility that person will play in guiding the project through implementation to completion. Position descriptions submitted in lieu of the resume will be reviewed for the appropriateness of the qualifications and skills identified. </w:t>
      </w:r>
    </w:p>
    <w:p w14:paraId="03C9D603" w14:textId="2D6F53D6"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634902">
        <w:rPr>
          <w:rFonts w:ascii="Times New Roman" w:hAnsi="Times New Roman" w:cs="Times New Roman"/>
          <w:b/>
          <w:bCs/>
          <w:sz w:val="23"/>
          <w:szCs w:val="23"/>
        </w:rPr>
        <w:t xml:space="preserve">Letters of Intent: </w:t>
      </w:r>
      <w:r w:rsidRPr="00634902">
        <w:rPr>
          <w:rFonts w:ascii="Times New Roman" w:hAnsi="Times New Roman" w:cs="Times New Roman"/>
          <w:sz w:val="23"/>
          <w:szCs w:val="23"/>
        </w:rPr>
        <w:t xml:space="preserve">The review panel will consider the types and depth of relationships that the applicant has with local (U.S.) organizations. The panel will also review the letters to determine the willingness of local (U.S.) organizations to participate in the effort, and that all parties </w:t>
      </w:r>
      <w:proofErr w:type="gramStart"/>
      <w:r w:rsidRPr="00634902">
        <w:rPr>
          <w:rFonts w:ascii="Times New Roman" w:hAnsi="Times New Roman" w:cs="Times New Roman"/>
          <w:sz w:val="23"/>
          <w:szCs w:val="23"/>
        </w:rPr>
        <w:t>have an understanding of</w:t>
      </w:r>
      <w:proofErr w:type="gramEnd"/>
      <w:r w:rsidRPr="00634902">
        <w:rPr>
          <w:rFonts w:ascii="Times New Roman" w:hAnsi="Times New Roman" w:cs="Times New Roman"/>
          <w:sz w:val="23"/>
          <w:szCs w:val="23"/>
        </w:rPr>
        <w:t xml:space="preserve"> their unique roles and responsibilities in terms of the proposed project. </w:t>
      </w:r>
    </w:p>
    <w:p w14:paraId="7123DF8B" w14:textId="77777777"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p>
    <w:p w14:paraId="0843C904" w14:textId="67B9DC70" w:rsidR="00634902" w:rsidRDefault="004621ED" w:rsidP="00634902">
      <w:pPr>
        <w:autoSpaceDE w:val="0"/>
        <w:autoSpaceDN w:val="0"/>
        <w:adjustRightInd w:val="0"/>
        <w:spacing w:after="0" w:line="240" w:lineRule="auto"/>
        <w:rPr>
          <w:rFonts w:ascii="Times New Roman" w:hAnsi="Times New Roman" w:cs="Times New Roman"/>
          <w:b/>
          <w:bCs/>
          <w:sz w:val="23"/>
          <w:szCs w:val="23"/>
          <w:u w:val="single"/>
        </w:rPr>
      </w:pPr>
      <w:r w:rsidRPr="004621ED">
        <w:rPr>
          <w:rFonts w:ascii="Times New Roman" w:hAnsi="Times New Roman" w:cs="Times New Roman"/>
          <w:b/>
          <w:bCs/>
          <w:sz w:val="23"/>
          <w:szCs w:val="23"/>
          <w:u w:val="single"/>
        </w:rPr>
        <w:t xml:space="preserve">E. </w:t>
      </w:r>
      <w:r w:rsidR="00634902" w:rsidRPr="004621ED">
        <w:rPr>
          <w:rFonts w:ascii="Times New Roman" w:hAnsi="Times New Roman" w:cs="Times New Roman"/>
          <w:b/>
          <w:bCs/>
          <w:sz w:val="23"/>
          <w:szCs w:val="23"/>
          <w:u w:val="single"/>
        </w:rPr>
        <w:t xml:space="preserve">AWARD ADMINISTRATION INFORMATION </w:t>
      </w:r>
    </w:p>
    <w:p w14:paraId="604A9B1D" w14:textId="77777777" w:rsidR="004621ED" w:rsidRPr="004621ED" w:rsidRDefault="004621ED" w:rsidP="00634902">
      <w:pPr>
        <w:autoSpaceDE w:val="0"/>
        <w:autoSpaceDN w:val="0"/>
        <w:adjustRightInd w:val="0"/>
        <w:spacing w:after="0" w:line="240" w:lineRule="auto"/>
        <w:rPr>
          <w:rFonts w:ascii="Times New Roman" w:hAnsi="Times New Roman" w:cs="Times New Roman"/>
          <w:sz w:val="23"/>
          <w:szCs w:val="23"/>
          <w:u w:val="single"/>
        </w:rPr>
      </w:pPr>
    </w:p>
    <w:p w14:paraId="2B835920" w14:textId="77777777"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634902">
        <w:rPr>
          <w:rFonts w:ascii="Times New Roman" w:hAnsi="Times New Roman" w:cs="Times New Roman"/>
          <w:b/>
          <w:bCs/>
          <w:sz w:val="23"/>
          <w:szCs w:val="23"/>
        </w:rPr>
        <w:t xml:space="preserve">Award Notices: </w:t>
      </w:r>
      <w:r w:rsidRPr="00634902">
        <w:rPr>
          <w:rFonts w:ascii="Times New Roman" w:hAnsi="Times New Roman" w:cs="Times New Roman"/>
          <w:sz w:val="23"/>
          <w:szCs w:val="23"/>
        </w:rPr>
        <w:t xml:space="preserve">The grant award or co-operative agreement shall be written, signed, awarded, and administered by the Grants Officer. The Grants Officer is the Government official delegated the authority by the U.S. Department of State Procurement Executive to write, award, and administer grants and cooperative agreements. The assistance award agreement is the authorizing </w:t>
      </w:r>
      <w:proofErr w:type="gramStart"/>
      <w:r w:rsidRPr="00634902">
        <w:rPr>
          <w:rFonts w:ascii="Times New Roman" w:hAnsi="Times New Roman" w:cs="Times New Roman"/>
          <w:sz w:val="23"/>
          <w:szCs w:val="23"/>
        </w:rPr>
        <w:t>document</w:t>
      </w:r>
      <w:proofErr w:type="gramEnd"/>
      <w:r w:rsidRPr="00634902">
        <w:rPr>
          <w:rFonts w:ascii="Times New Roman" w:hAnsi="Times New Roman" w:cs="Times New Roman"/>
          <w:sz w:val="23"/>
          <w:szCs w:val="23"/>
        </w:rPr>
        <w:t xml:space="preserve"> and it will be provided to the Recipient through either mail or facsimile transmission. Organizations whose applications will not be funded will also be notified in writing. </w:t>
      </w:r>
    </w:p>
    <w:p w14:paraId="68FEDCB7" w14:textId="77777777"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634902">
        <w:rPr>
          <w:rFonts w:ascii="Times New Roman" w:hAnsi="Times New Roman" w:cs="Times New Roman"/>
          <w:b/>
          <w:bCs/>
          <w:sz w:val="23"/>
          <w:szCs w:val="23"/>
        </w:rPr>
        <w:t xml:space="preserve">Anticipated Time to Award: </w:t>
      </w:r>
      <w:r w:rsidRPr="00634902">
        <w:rPr>
          <w:rFonts w:ascii="Times New Roman" w:hAnsi="Times New Roman" w:cs="Times New Roman"/>
          <w:sz w:val="23"/>
          <w:szCs w:val="23"/>
        </w:rPr>
        <w:t xml:space="preserve">Applicants should expect to be notified of the </w:t>
      </w:r>
      <w:r w:rsidRPr="00634902">
        <w:rPr>
          <w:rFonts w:ascii="Times New Roman" w:hAnsi="Times New Roman" w:cs="Times New Roman"/>
          <w:i/>
          <w:iCs/>
          <w:sz w:val="23"/>
          <w:szCs w:val="23"/>
        </w:rPr>
        <w:t xml:space="preserve">selected </w:t>
      </w:r>
      <w:r w:rsidRPr="00634902">
        <w:rPr>
          <w:rFonts w:ascii="Times New Roman" w:hAnsi="Times New Roman" w:cs="Times New Roman"/>
          <w:sz w:val="23"/>
          <w:szCs w:val="23"/>
        </w:rPr>
        <w:t xml:space="preserve">proposal within 90 days after the submission deadline. Following this the Public Affairs Section (PAS) of the U.S. Embassy in Tbilisi, Georgia staff will provide information at the point of notification about the requirements for the final grant agreement, which may include revisions to the activities. The final agreement must incorporate any suggested changes made by the Public Affairs Section (PAS) of the U.S. Embassy in Tbilisi, Georgia. </w:t>
      </w:r>
    </w:p>
    <w:p w14:paraId="14664C3F" w14:textId="3824BA2C"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634902">
        <w:rPr>
          <w:rFonts w:ascii="Times New Roman" w:hAnsi="Times New Roman" w:cs="Times New Roman"/>
          <w:sz w:val="23"/>
          <w:szCs w:val="23"/>
        </w:rPr>
        <w:lastRenderedPageBreak/>
        <w:t xml:space="preserve">Applicants should be aware that there may be a delay between the time that applications are </w:t>
      </w:r>
      <w:proofErr w:type="gramStart"/>
      <w:r w:rsidRPr="00634902">
        <w:rPr>
          <w:rFonts w:ascii="Times New Roman" w:hAnsi="Times New Roman" w:cs="Times New Roman"/>
          <w:sz w:val="23"/>
          <w:szCs w:val="23"/>
        </w:rPr>
        <w:t>submitted</w:t>
      </w:r>
      <w:proofErr w:type="gramEnd"/>
      <w:r w:rsidRPr="00634902">
        <w:rPr>
          <w:rFonts w:ascii="Times New Roman" w:hAnsi="Times New Roman" w:cs="Times New Roman"/>
          <w:sz w:val="23"/>
          <w:szCs w:val="23"/>
        </w:rPr>
        <w:t xml:space="preserve"> and awards are made. Successful applicants can expect to receive their first tranche of grant funds no later than </w:t>
      </w:r>
      <w:proofErr w:type="gramStart"/>
      <w:r w:rsidRPr="00634902">
        <w:rPr>
          <w:rFonts w:ascii="Times New Roman" w:hAnsi="Times New Roman" w:cs="Times New Roman"/>
          <w:sz w:val="23"/>
          <w:szCs w:val="23"/>
        </w:rPr>
        <w:t>October,</w:t>
      </w:r>
      <w:proofErr w:type="gramEnd"/>
      <w:r w:rsidRPr="00634902">
        <w:rPr>
          <w:rFonts w:ascii="Times New Roman" w:hAnsi="Times New Roman" w:cs="Times New Roman"/>
          <w:sz w:val="23"/>
          <w:szCs w:val="23"/>
        </w:rPr>
        <w:t xml:space="preserve"> 20</w:t>
      </w:r>
      <w:r w:rsidR="006968DD">
        <w:rPr>
          <w:rFonts w:ascii="Times New Roman" w:hAnsi="Times New Roman" w:cs="Times New Roman"/>
          <w:sz w:val="23"/>
          <w:szCs w:val="23"/>
        </w:rPr>
        <w:t>21</w:t>
      </w:r>
      <w:r w:rsidRPr="00634902">
        <w:rPr>
          <w:rFonts w:ascii="Times New Roman" w:hAnsi="Times New Roman" w:cs="Times New Roman"/>
          <w:sz w:val="23"/>
          <w:szCs w:val="23"/>
        </w:rPr>
        <w:t xml:space="preserve">. This delay is primarily due to the extensive clearance process that must be undertaken prior to grant awards being made. </w:t>
      </w:r>
    </w:p>
    <w:p w14:paraId="3387D8B7" w14:textId="77777777"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634902">
        <w:rPr>
          <w:rFonts w:ascii="Times New Roman" w:hAnsi="Times New Roman" w:cs="Times New Roman"/>
          <w:sz w:val="23"/>
          <w:szCs w:val="23"/>
        </w:rPr>
        <w:t xml:space="preserve">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 </w:t>
      </w:r>
    </w:p>
    <w:p w14:paraId="41A8D72A" w14:textId="77777777" w:rsidR="00161B98" w:rsidRDefault="00634902" w:rsidP="00161B98">
      <w:pPr>
        <w:pStyle w:val="Default"/>
      </w:pPr>
      <w:r w:rsidRPr="00634902">
        <w:rPr>
          <w:b/>
          <w:bCs/>
          <w:sz w:val="23"/>
          <w:szCs w:val="23"/>
        </w:rPr>
        <w:t xml:space="preserve">Reporting Requirements: </w:t>
      </w:r>
      <w:r w:rsidRPr="00634902">
        <w:rPr>
          <w:sz w:val="23"/>
          <w:szCs w:val="23"/>
        </w:rPr>
        <w:t xml:space="preserve">Grantees are required to submit quarterly program progress and financial reports throughout the project period. Progress and financial reports are due 30 days after the reporting period. Final programmatic and financial reports are due 90 days after the close of the project period. Progress reports at a minimum should be submitted via electronic mail to an address to be provided in the award. </w:t>
      </w:r>
    </w:p>
    <w:p w14:paraId="644DA215" w14:textId="77777777" w:rsidR="00161B98" w:rsidRPr="00F857EA" w:rsidRDefault="00161B98" w:rsidP="00161B98">
      <w:pPr>
        <w:pStyle w:val="Default"/>
      </w:pPr>
      <w:r>
        <w:t>Re</w:t>
      </w:r>
      <w:r w:rsidRPr="00F857EA">
        <w:t xml:space="preserve">cipients will be required to submit financial reports and program reports. The award document will specify how often these reports must be submitted. All recipients must submit a formal report to the Grants Officer upon completion of the project. The report should discuss what was done, whether the project was successful from the applicant's perspective and how it might be improved in the future. Copies of video materials, CDs, and other video and audio aids generated during the implementation of the project attesting to the success of the grant activities are welcome. </w:t>
      </w:r>
    </w:p>
    <w:p w14:paraId="65E31BA0" w14:textId="114FE828" w:rsidR="00634902" w:rsidRDefault="00634902" w:rsidP="00634902">
      <w:pPr>
        <w:autoSpaceDE w:val="0"/>
        <w:autoSpaceDN w:val="0"/>
        <w:adjustRightInd w:val="0"/>
        <w:spacing w:after="0" w:line="240" w:lineRule="auto"/>
        <w:rPr>
          <w:rFonts w:ascii="Times New Roman" w:hAnsi="Times New Roman" w:cs="Times New Roman"/>
          <w:sz w:val="23"/>
          <w:szCs w:val="23"/>
        </w:rPr>
      </w:pPr>
    </w:p>
    <w:p w14:paraId="40A4B290" w14:textId="66C6A8CE" w:rsidR="00634902" w:rsidRDefault="004621ED" w:rsidP="00634902">
      <w:pPr>
        <w:autoSpaceDE w:val="0"/>
        <w:autoSpaceDN w:val="0"/>
        <w:adjustRightInd w:val="0"/>
        <w:spacing w:after="0" w:line="240" w:lineRule="auto"/>
        <w:rPr>
          <w:rFonts w:ascii="Times New Roman" w:hAnsi="Times New Roman" w:cs="Times New Roman"/>
          <w:b/>
          <w:bCs/>
          <w:sz w:val="23"/>
          <w:szCs w:val="23"/>
          <w:u w:val="single"/>
        </w:rPr>
      </w:pPr>
      <w:r w:rsidRPr="004621ED">
        <w:rPr>
          <w:rFonts w:ascii="Times New Roman" w:hAnsi="Times New Roman" w:cs="Times New Roman"/>
          <w:b/>
          <w:bCs/>
          <w:sz w:val="23"/>
          <w:szCs w:val="23"/>
          <w:u w:val="single"/>
        </w:rPr>
        <w:t xml:space="preserve">F. </w:t>
      </w:r>
      <w:r w:rsidR="00634902" w:rsidRPr="004621ED">
        <w:rPr>
          <w:rFonts w:ascii="Times New Roman" w:hAnsi="Times New Roman" w:cs="Times New Roman"/>
          <w:b/>
          <w:bCs/>
          <w:sz w:val="23"/>
          <w:szCs w:val="23"/>
          <w:u w:val="single"/>
        </w:rPr>
        <w:t xml:space="preserve">DISCLAIMER </w:t>
      </w:r>
    </w:p>
    <w:p w14:paraId="6E46CA90" w14:textId="77777777" w:rsidR="00F57710" w:rsidRPr="004621ED" w:rsidRDefault="00F57710" w:rsidP="00634902">
      <w:pPr>
        <w:autoSpaceDE w:val="0"/>
        <w:autoSpaceDN w:val="0"/>
        <w:adjustRightInd w:val="0"/>
        <w:spacing w:after="0" w:line="240" w:lineRule="auto"/>
        <w:rPr>
          <w:rFonts w:ascii="Times New Roman" w:hAnsi="Times New Roman" w:cs="Times New Roman"/>
          <w:sz w:val="23"/>
          <w:szCs w:val="23"/>
          <w:u w:val="single"/>
        </w:rPr>
      </w:pPr>
    </w:p>
    <w:p w14:paraId="213C75AC" w14:textId="77777777" w:rsidR="00161B98" w:rsidRDefault="00634902" w:rsidP="00634902">
      <w:pPr>
        <w:autoSpaceDE w:val="0"/>
        <w:autoSpaceDN w:val="0"/>
        <w:adjustRightInd w:val="0"/>
        <w:spacing w:after="0" w:line="240" w:lineRule="auto"/>
        <w:rPr>
          <w:rFonts w:ascii="Times New Roman" w:hAnsi="Times New Roman" w:cs="Times New Roman"/>
          <w:sz w:val="23"/>
          <w:szCs w:val="23"/>
        </w:rPr>
      </w:pPr>
      <w:r w:rsidRPr="00634902">
        <w:rPr>
          <w:rFonts w:ascii="Times New Roman" w:hAnsi="Times New Roman" w:cs="Times New Roman"/>
          <w:sz w:val="23"/>
          <w:szCs w:val="23"/>
        </w:rPr>
        <w:t>If a proposal is selected for funding, the Department of State has no obligation to provide any additional future funding in connection with the award. Renewal of an award to extend the period of performance is at the total discretion of the Department of State. The Department of State reserves the right to award more or less than the funding indicated as is deemed in the best interest of the U.S. Government.</w:t>
      </w:r>
    </w:p>
    <w:p w14:paraId="0963196E" w14:textId="0A635EE7"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634902">
        <w:rPr>
          <w:rFonts w:ascii="Times New Roman" w:hAnsi="Times New Roman" w:cs="Times New Roman"/>
          <w:sz w:val="23"/>
          <w:szCs w:val="23"/>
        </w:rPr>
        <w:t xml:space="preserve"> </w:t>
      </w:r>
    </w:p>
    <w:p w14:paraId="39D33FA4" w14:textId="413A8971" w:rsidR="00634902" w:rsidRDefault="004621ED" w:rsidP="00634902">
      <w:pPr>
        <w:autoSpaceDE w:val="0"/>
        <w:autoSpaceDN w:val="0"/>
        <w:adjustRightInd w:val="0"/>
        <w:spacing w:after="0" w:line="240" w:lineRule="auto"/>
        <w:rPr>
          <w:rFonts w:ascii="Times New Roman" w:hAnsi="Times New Roman" w:cs="Times New Roman"/>
          <w:b/>
          <w:bCs/>
          <w:sz w:val="23"/>
          <w:szCs w:val="23"/>
          <w:u w:val="single"/>
        </w:rPr>
      </w:pPr>
      <w:r w:rsidRPr="004621ED">
        <w:rPr>
          <w:rFonts w:ascii="Times New Roman" w:hAnsi="Times New Roman" w:cs="Times New Roman"/>
          <w:b/>
          <w:bCs/>
          <w:sz w:val="23"/>
          <w:szCs w:val="23"/>
          <w:u w:val="single"/>
        </w:rPr>
        <w:t xml:space="preserve">G. </w:t>
      </w:r>
      <w:r w:rsidR="00634902" w:rsidRPr="004621ED">
        <w:rPr>
          <w:rFonts w:ascii="Times New Roman" w:hAnsi="Times New Roman" w:cs="Times New Roman"/>
          <w:b/>
          <w:bCs/>
          <w:sz w:val="23"/>
          <w:szCs w:val="23"/>
          <w:u w:val="single"/>
        </w:rPr>
        <w:t xml:space="preserve">OTHER INFORMATION </w:t>
      </w:r>
    </w:p>
    <w:p w14:paraId="7DB78E7C" w14:textId="77777777" w:rsidR="002650D5" w:rsidRPr="004621ED" w:rsidRDefault="002650D5" w:rsidP="00634902">
      <w:pPr>
        <w:autoSpaceDE w:val="0"/>
        <w:autoSpaceDN w:val="0"/>
        <w:adjustRightInd w:val="0"/>
        <w:spacing w:after="0" w:line="240" w:lineRule="auto"/>
        <w:rPr>
          <w:rFonts w:ascii="Times New Roman" w:hAnsi="Times New Roman" w:cs="Times New Roman"/>
          <w:sz w:val="23"/>
          <w:szCs w:val="23"/>
          <w:u w:val="single"/>
        </w:rPr>
      </w:pPr>
    </w:p>
    <w:p w14:paraId="783D56A2" w14:textId="77777777"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634902">
        <w:rPr>
          <w:rFonts w:ascii="Times New Roman" w:hAnsi="Times New Roman" w:cs="Times New Roman"/>
          <w:b/>
          <w:bCs/>
          <w:sz w:val="23"/>
          <w:szCs w:val="23"/>
        </w:rPr>
        <w:t xml:space="preserve">Guidelines for Budget Justification </w:t>
      </w:r>
    </w:p>
    <w:p w14:paraId="64317FCF" w14:textId="77777777"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161B98">
        <w:rPr>
          <w:rFonts w:ascii="Times New Roman" w:hAnsi="Times New Roman" w:cs="Times New Roman"/>
          <w:b/>
          <w:sz w:val="23"/>
          <w:szCs w:val="23"/>
        </w:rPr>
        <w:t>Personnel and Fringe Benefits</w:t>
      </w:r>
      <w:r w:rsidRPr="00634902">
        <w:rPr>
          <w:rFonts w:ascii="Times New Roman" w:hAnsi="Times New Roman" w:cs="Times New Roman"/>
          <w:sz w:val="23"/>
          <w:szCs w:val="23"/>
        </w:rPr>
        <w:t xml:space="preserve">: Describe the wages, salaries, and benefits of temporary or permanent staff who will be working directly for the applicant on the program, and the percentage of their time that will be spent on the program. </w:t>
      </w:r>
    </w:p>
    <w:p w14:paraId="5A0104E2" w14:textId="77777777"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161B98">
        <w:rPr>
          <w:rFonts w:ascii="Times New Roman" w:hAnsi="Times New Roman" w:cs="Times New Roman"/>
          <w:b/>
          <w:sz w:val="23"/>
          <w:szCs w:val="23"/>
        </w:rPr>
        <w:t>Travel</w:t>
      </w:r>
      <w:r w:rsidRPr="00634902">
        <w:rPr>
          <w:rFonts w:ascii="Times New Roman" w:hAnsi="Times New Roman" w:cs="Times New Roman"/>
          <w:sz w:val="23"/>
          <w:szCs w:val="23"/>
        </w:rPr>
        <w:t xml:space="preserve">: Estimate the costs of travel and per diem for this program, for program staff, consultants or speakers, and participants/beneficiaries. If the program involves international travel, include a brief statement of justification for that travel. </w:t>
      </w:r>
    </w:p>
    <w:p w14:paraId="74254663" w14:textId="77777777"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161B98">
        <w:rPr>
          <w:rFonts w:ascii="Times New Roman" w:hAnsi="Times New Roman" w:cs="Times New Roman"/>
          <w:b/>
          <w:sz w:val="23"/>
          <w:szCs w:val="23"/>
        </w:rPr>
        <w:t>Equipment:</w:t>
      </w:r>
      <w:r w:rsidRPr="00634902">
        <w:rPr>
          <w:rFonts w:ascii="Times New Roman" w:hAnsi="Times New Roman" w:cs="Times New Roman"/>
          <w:sz w:val="23"/>
          <w:szCs w:val="23"/>
        </w:rPr>
        <w:t xml:space="preserve"> Describe any machinery, furniture, or other personal property that is required for the program, which has a useful life of more than one year (or a life longer than the duration of the program), and costs at least $5,000 per unit. </w:t>
      </w:r>
    </w:p>
    <w:p w14:paraId="550A4092" w14:textId="77777777"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161B98">
        <w:rPr>
          <w:rFonts w:ascii="Times New Roman" w:hAnsi="Times New Roman" w:cs="Times New Roman"/>
          <w:b/>
          <w:sz w:val="23"/>
          <w:szCs w:val="23"/>
        </w:rPr>
        <w:t>Supplies</w:t>
      </w:r>
      <w:r w:rsidRPr="00634902">
        <w:rPr>
          <w:rFonts w:ascii="Times New Roman" w:hAnsi="Times New Roman" w:cs="Times New Roman"/>
          <w:sz w:val="23"/>
          <w:szCs w:val="23"/>
        </w:rPr>
        <w:t xml:space="preserve">: List and describe all the items and materials, including any computer devices, that are needed for the program. If an item costs more than $5,000 per unit, then put it in the budget under Equipment. </w:t>
      </w:r>
    </w:p>
    <w:p w14:paraId="055BFD94" w14:textId="77777777"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161B98">
        <w:rPr>
          <w:rFonts w:ascii="Times New Roman" w:hAnsi="Times New Roman" w:cs="Times New Roman"/>
          <w:b/>
          <w:sz w:val="23"/>
          <w:szCs w:val="23"/>
        </w:rPr>
        <w:t>Contractual:</w:t>
      </w:r>
      <w:r w:rsidRPr="00634902">
        <w:rPr>
          <w:rFonts w:ascii="Times New Roman" w:hAnsi="Times New Roman" w:cs="Times New Roman"/>
          <w:sz w:val="23"/>
          <w:szCs w:val="23"/>
        </w:rPr>
        <w:t xml:space="preserve"> Describe goods and services that the applicant plans to acquire through a contract with a vendor. Also describe any sub-awards to non-profit partners that will help carry out the program activities. </w:t>
      </w:r>
    </w:p>
    <w:p w14:paraId="351BD6C1" w14:textId="77777777"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161B98">
        <w:rPr>
          <w:rFonts w:ascii="Times New Roman" w:hAnsi="Times New Roman" w:cs="Times New Roman"/>
          <w:b/>
          <w:sz w:val="23"/>
          <w:szCs w:val="23"/>
        </w:rPr>
        <w:lastRenderedPageBreak/>
        <w:t>Other Direct Costs</w:t>
      </w:r>
      <w:r w:rsidRPr="00634902">
        <w:rPr>
          <w:rFonts w:ascii="Times New Roman" w:hAnsi="Times New Roman" w:cs="Times New Roman"/>
          <w:sz w:val="23"/>
          <w:szCs w:val="23"/>
        </w:rPr>
        <w:t xml:space="preserve">: Describe other costs directly associated with the program, which do not fit in the other categories. For example, shipping costs for materials and equipment or applicable taxes. All “Other” or “Miscellaneous” expenses must be itemized and explained. </w:t>
      </w:r>
    </w:p>
    <w:p w14:paraId="559AF0AC" w14:textId="0471170A" w:rsidR="00634902" w:rsidRPr="00634902" w:rsidRDefault="00634902" w:rsidP="00161B98">
      <w:pPr>
        <w:autoSpaceDE w:val="0"/>
        <w:autoSpaceDN w:val="0"/>
        <w:adjustRightInd w:val="0"/>
        <w:spacing w:after="0" w:line="240" w:lineRule="auto"/>
        <w:rPr>
          <w:rFonts w:ascii="Times New Roman" w:hAnsi="Times New Roman" w:cs="Times New Roman"/>
          <w:sz w:val="23"/>
          <w:szCs w:val="23"/>
        </w:rPr>
      </w:pPr>
      <w:r w:rsidRPr="00161B98">
        <w:rPr>
          <w:rFonts w:ascii="Times New Roman" w:hAnsi="Times New Roman" w:cs="Times New Roman"/>
          <w:b/>
          <w:sz w:val="23"/>
          <w:szCs w:val="23"/>
        </w:rPr>
        <w:t>Indirect Costs</w:t>
      </w:r>
      <w:r w:rsidRPr="00634902">
        <w:rPr>
          <w:rFonts w:ascii="Times New Roman" w:hAnsi="Times New Roman" w:cs="Times New Roman"/>
          <w:sz w:val="23"/>
          <w:szCs w:val="23"/>
        </w:rPr>
        <w:t>: These are costs that cannot be linked directly to the program activities, such as overhead costs needed to help keep the organization operating. If your organization has a Negotiated Indirect Cost Rate (NICRA) and includes NICRA cha</w:t>
      </w:r>
      <w:r w:rsidR="00161B98">
        <w:rPr>
          <w:rFonts w:ascii="Times New Roman" w:hAnsi="Times New Roman" w:cs="Times New Roman"/>
          <w:sz w:val="23"/>
          <w:szCs w:val="23"/>
        </w:rPr>
        <w:t xml:space="preserve">rges in the budget, attach a </w:t>
      </w:r>
      <w:r w:rsidRPr="00634902">
        <w:rPr>
          <w:rFonts w:ascii="Times New Roman" w:hAnsi="Times New Roman" w:cs="Times New Roman"/>
          <w:sz w:val="23"/>
          <w:szCs w:val="23"/>
        </w:rPr>
        <w:t xml:space="preserve">copy of your latest NICRA. Organizations that have never had a NICRA may request indirect costs of 10% of the modified total direct costs as defined in 2 CFR 200.68. </w:t>
      </w:r>
    </w:p>
    <w:p w14:paraId="340FDBF0" w14:textId="77777777" w:rsidR="00634902" w:rsidRPr="00634902" w:rsidRDefault="00634902" w:rsidP="00634902">
      <w:pPr>
        <w:autoSpaceDE w:val="0"/>
        <w:autoSpaceDN w:val="0"/>
        <w:adjustRightInd w:val="0"/>
        <w:spacing w:after="0" w:line="240" w:lineRule="auto"/>
        <w:rPr>
          <w:rFonts w:ascii="Times New Roman" w:hAnsi="Times New Roman" w:cs="Times New Roman"/>
          <w:sz w:val="23"/>
          <w:szCs w:val="23"/>
        </w:rPr>
      </w:pPr>
      <w:r w:rsidRPr="00634902">
        <w:rPr>
          <w:rFonts w:ascii="Times New Roman" w:hAnsi="Times New Roman" w:cs="Times New Roman"/>
          <w:sz w:val="23"/>
          <w:szCs w:val="23"/>
        </w:rPr>
        <w:t xml:space="preserve">“Cost Sharing” refers to contributions from the organization or other entities other than the U.S. Embassy. It also includes in-kind contributions such as volunteers’ time and donated venues. </w:t>
      </w:r>
    </w:p>
    <w:p w14:paraId="6599A0B6" w14:textId="5F755DC7" w:rsidR="00F857EA" w:rsidRDefault="00634902" w:rsidP="00634902">
      <w:pPr>
        <w:pStyle w:val="Default"/>
      </w:pPr>
      <w:r w:rsidRPr="00161B98">
        <w:rPr>
          <w:b/>
          <w:color w:val="auto"/>
          <w:sz w:val="23"/>
          <w:szCs w:val="23"/>
        </w:rPr>
        <w:t>Alcoholic Beverages</w:t>
      </w:r>
      <w:r w:rsidRPr="00634902">
        <w:rPr>
          <w:color w:val="auto"/>
          <w:sz w:val="23"/>
          <w:szCs w:val="23"/>
        </w:rPr>
        <w:t>: Please note that award funds cannot be used for alcoholic beverages.</w:t>
      </w:r>
    </w:p>
    <w:p w14:paraId="682BF95F" w14:textId="7A0AAC64" w:rsidR="00634902" w:rsidRDefault="00634902" w:rsidP="00F857EA">
      <w:pPr>
        <w:pStyle w:val="Default"/>
      </w:pPr>
    </w:p>
    <w:p w14:paraId="2CB737C3" w14:textId="5F7FC44F" w:rsidR="00F857EA" w:rsidRPr="00F857EA" w:rsidRDefault="00E95EC3" w:rsidP="00F857EA">
      <w:pPr>
        <w:pStyle w:val="Default"/>
      </w:pPr>
      <w:r>
        <w:rPr>
          <w:b/>
          <w:bCs/>
        </w:rPr>
        <w:t>H</w:t>
      </w:r>
      <w:r w:rsidR="00F857EA" w:rsidRPr="00F857EA">
        <w:rPr>
          <w:b/>
          <w:bCs/>
        </w:rPr>
        <w:t xml:space="preserve">. FEDERAL AWARDING AGENCY CONTACTS </w:t>
      </w:r>
    </w:p>
    <w:p w14:paraId="6C9F80B7" w14:textId="77777777" w:rsidR="00F17509" w:rsidRDefault="00F857EA" w:rsidP="00F857EA">
      <w:pPr>
        <w:pStyle w:val="Default"/>
      </w:pPr>
      <w:r w:rsidRPr="00F857EA">
        <w:t xml:space="preserve">If you have any questions about the grant application process, please contact: </w:t>
      </w:r>
      <w:hyperlink r:id="rId22" w:history="1">
        <w:r w:rsidR="00F17509" w:rsidRPr="00BA677D">
          <w:rPr>
            <w:rStyle w:val="Hyperlink"/>
          </w:rPr>
          <w:t>TbilisiGrants@state.gov</w:t>
        </w:r>
      </w:hyperlink>
    </w:p>
    <w:bookmarkEnd w:id="0"/>
    <w:p w14:paraId="6D072C0D" w14:textId="77777777" w:rsidR="00F17509" w:rsidRDefault="00F17509" w:rsidP="00F857EA">
      <w:pPr>
        <w:pStyle w:val="Default"/>
      </w:pPr>
    </w:p>
    <w:sectPr w:rsidR="00F17509">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973DA" w14:textId="77777777" w:rsidR="007D5756" w:rsidRDefault="007D5756" w:rsidP="00864E5B">
      <w:pPr>
        <w:spacing w:after="0" w:line="240" w:lineRule="auto"/>
      </w:pPr>
      <w:r>
        <w:separator/>
      </w:r>
    </w:p>
  </w:endnote>
  <w:endnote w:type="continuationSeparator" w:id="0">
    <w:p w14:paraId="4F7ADCB9" w14:textId="77777777" w:rsidR="007D5756" w:rsidRDefault="007D5756" w:rsidP="0086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86167"/>
      <w:docPartObj>
        <w:docPartGallery w:val="Page Numbers (Bottom of Page)"/>
        <w:docPartUnique/>
      </w:docPartObj>
    </w:sdtPr>
    <w:sdtEndPr>
      <w:rPr>
        <w:noProof/>
      </w:rPr>
    </w:sdtEndPr>
    <w:sdtContent>
      <w:p w14:paraId="7E05E2A1" w14:textId="604A27BD" w:rsidR="006A2DCE" w:rsidRDefault="006A2D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22F0F4" w14:textId="77777777" w:rsidR="006A2DCE" w:rsidRDefault="006A2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82954" w14:textId="77777777" w:rsidR="007D5756" w:rsidRDefault="007D5756" w:rsidP="00864E5B">
      <w:pPr>
        <w:spacing w:after="0" w:line="240" w:lineRule="auto"/>
      </w:pPr>
      <w:r>
        <w:separator/>
      </w:r>
    </w:p>
  </w:footnote>
  <w:footnote w:type="continuationSeparator" w:id="0">
    <w:p w14:paraId="3F42F23D" w14:textId="77777777" w:rsidR="007D5756" w:rsidRDefault="007D5756" w:rsidP="00864E5B">
      <w:pPr>
        <w:spacing w:after="0" w:line="240" w:lineRule="auto"/>
      </w:pPr>
      <w:r>
        <w:continuationSeparator/>
      </w:r>
    </w:p>
  </w:footnote>
  <w:footnote w:id="1">
    <w:p w14:paraId="3A0259A4" w14:textId="77777777" w:rsidR="00C343E1" w:rsidRPr="00494702" w:rsidRDefault="00C343E1" w:rsidP="00C343E1">
      <w:pPr>
        <w:spacing w:after="0"/>
        <w:rPr>
          <w:rFonts w:cstheme="minorHAnsi"/>
          <w:sz w:val="20"/>
          <w:szCs w:val="20"/>
        </w:rPr>
      </w:pPr>
      <w:r w:rsidRPr="00494702">
        <w:rPr>
          <w:rStyle w:val="FootnoteReference"/>
          <w:rFonts w:cstheme="minorHAnsi"/>
          <w:sz w:val="20"/>
          <w:szCs w:val="20"/>
        </w:rPr>
        <w:footnoteRef/>
      </w:r>
      <w:r w:rsidRPr="00494702">
        <w:rPr>
          <w:rFonts w:cstheme="minorHAnsi"/>
          <w:sz w:val="20"/>
          <w:szCs w:val="20"/>
        </w:rPr>
        <w:t xml:space="preserve"> “</w:t>
      </w:r>
      <w:r w:rsidRPr="003968E5">
        <w:rPr>
          <w:rFonts w:cstheme="minorHAnsi"/>
          <w:sz w:val="20"/>
          <w:szCs w:val="20"/>
        </w:rPr>
        <w:t xml:space="preserve">Though HEIs try to develop individual partnerships with various enterprises for student internships, cooperation, and further employability guarantees, the results are not homogeneous.” European Commission, Overview of the Higher Education System, February 2017, </w:t>
      </w:r>
      <w:r w:rsidRPr="003968E5">
        <w:rPr>
          <w:sz w:val="20"/>
          <w:szCs w:val="20"/>
        </w:rPr>
        <w:t xml:space="preserve">Lika </w:t>
      </w:r>
      <w:proofErr w:type="spellStart"/>
      <w:r w:rsidRPr="003968E5">
        <w:rPr>
          <w:sz w:val="20"/>
          <w:szCs w:val="20"/>
        </w:rPr>
        <w:t>Glonti</w:t>
      </w:r>
      <w:proofErr w:type="spellEnd"/>
      <w:r w:rsidRPr="003968E5">
        <w:rPr>
          <w:sz w:val="20"/>
          <w:szCs w:val="20"/>
        </w:rPr>
        <w:t xml:space="preserve">, Tamar </w:t>
      </w:r>
      <w:proofErr w:type="spellStart"/>
      <w:r w:rsidRPr="003968E5">
        <w:rPr>
          <w:sz w:val="20"/>
          <w:szCs w:val="20"/>
        </w:rPr>
        <w:t>Lortkipanidze</w:t>
      </w:r>
      <w:proofErr w:type="spellEnd"/>
      <w:r w:rsidRPr="003968E5">
        <w:rPr>
          <w:sz w:val="20"/>
          <w:szCs w:val="20"/>
        </w:rPr>
        <w:t xml:space="preserve">, Nino </w:t>
      </w:r>
      <w:proofErr w:type="spellStart"/>
      <w:r w:rsidRPr="003968E5">
        <w:rPr>
          <w:sz w:val="20"/>
          <w:szCs w:val="20"/>
        </w:rPr>
        <w:t>Urushadze</w:t>
      </w:r>
      <w:proofErr w:type="spellEnd"/>
      <w:r w:rsidRPr="003968E5">
        <w:rPr>
          <w:sz w:val="20"/>
          <w:szCs w:val="20"/>
        </w:rPr>
        <w:t xml:space="preserve"> - National Coordinators of Erasmus+ Office in Georgia Irina Darchia - HERE, Ministry of Education and Science of Georgia</w:t>
      </w:r>
      <w:r>
        <w:rPr>
          <w:sz w:val="20"/>
          <w:szCs w:val="20"/>
        </w:rPr>
        <w:t xml:space="preserve">; </w:t>
      </w:r>
      <w:proofErr w:type="spellStart"/>
      <w:r w:rsidRPr="003968E5">
        <w:rPr>
          <w:rFonts w:cstheme="minorHAnsi"/>
          <w:sz w:val="20"/>
          <w:szCs w:val="20"/>
        </w:rPr>
        <w:t>Glonti</w:t>
      </w:r>
      <w:proofErr w:type="spellEnd"/>
      <w:r w:rsidRPr="003968E5">
        <w:rPr>
          <w:rFonts w:cstheme="minorHAnsi"/>
          <w:sz w:val="20"/>
          <w:szCs w:val="20"/>
        </w:rPr>
        <w:t xml:space="preserve"> et al, p. 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535F"/>
    <w:multiLevelType w:val="hybridMultilevel"/>
    <w:tmpl w:val="C1D232D6"/>
    <w:lvl w:ilvl="0" w:tplc="C63C8A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71858"/>
    <w:multiLevelType w:val="hybridMultilevel"/>
    <w:tmpl w:val="2452D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9C571D"/>
    <w:multiLevelType w:val="hybridMultilevel"/>
    <w:tmpl w:val="5EAE93DC"/>
    <w:lvl w:ilvl="0" w:tplc="C63C8A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C6BE8"/>
    <w:multiLevelType w:val="hybridMultilevel"/>
    <w:tmpl w:val="D8027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BD5BB6"/>
    <w:multiLevelType w:val="hybridMultilevel"/>
    <w:tmpl w:val="70B401A8"/>
    <w:lvl w:ilvl="0" w:tplc="A6F23E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F3FB6"/>
    <w:multiLevelType w:val="hybridMultilevel"/>
    <w:tmpl w:val="3DCABA0E"/>
    <w:lvl w:ilvl="0" w:tplc="8D8CA09A">
      <w:start w:val="1"/>
      <w:numFmt w:val="bullet"/>
      <w:lvlText w:val=""/>
      <w:lvlJc w:val="left"/>
      <w:pPr>
        <w:tabs>
          <w:tab w:val="num" w:pos="720"/>
        </w:tabs>
        <w:ind w:left="720" w:hanging="360"/>
      </w:pPr>
      <w:rPr>
        <w:rFonts w:ascii="Symbol" w:hAnsi="Symbol" w:hint="default"/>
        <w:sz w:val="20"/>
      </w:rPr>
    </w:lvl>
    <w:lvl w:ilvl="1" w:tplc="DDE4F838" w:tentative="1">
      <w:start w:val="1"/>
      <w:numFmt w:val="bullet"/>
      <w:lvlText w:val=""/>
      <w:lvlJc w:val="left"/>
      <w:pPr>
        <w:tabs>
          <w:tab w:val="num" w:pos="1440"/>
        </w:tabs>
        <w:ind w:left="1440" w:hanging="360"/>
      </w:pPr>
      <w:rPr>
        <w:rFonts w:ascii="Symbol" w:hAnsi="Symbol" w:hint="default"/>
        <w:sz w:val="20"/>
      </w:rPr>
    </w:lvl>
    <w:lvl w:ilvl="2" w:tplc="28D28CC2" w:tentative="1">
      <w:start w:val="1"/>
      <w:numFmt w:val="bullet"/>
      <w:lvlText w:val=""/>
      <w:lvlJc w:val="left"/>
      <w:pPr>
        <w:tabs>
          <w:tab w:val="num" w:pos="2160"/>
        </w:tabs>
        <w:ind w:left="2160" w:hanging="360"/>
      </w:pPr>
      <w:rPr>
        <w:rFonts w:ascii="Symbol" w:hAnsi="Symbol" w:hint="default"/>
        <w:sz w:val="20"/>
      </w:rPr>
    </w:lvl>
    <w:lvl w:ilvl="3" w:tplc="68CA9F8C" w:tentative="1">
      <w:start w:val="1"/>
      <w:numFmt w:val="bullet"/>
      <w:lvlText w:val=""/>
      <w:lvlJc w:val="left"/>
      <w:pPr>
        <w:tabs>
          <w:tab w:val="num" w:pos="2880"/>
        </w:tabs>
        <w:ind w:left="2880" w:hanging="360"/>
      </w:pPr>
      <w:rPr>
        <w:rFonts w:ascii="Symbol" w:hAnsi="Symbol" w:hint="default"/>
        <w:sz w:val="20"/>
      </w:rPr>
    </w:lvl>
    <w:lvl w:ilvl="4" w:tplc="672A1DA6" w:tentative="1">
      <w:start w:val="1"/>
      <w:numFmt w:val="bullet"/>
      <w:lvlText w:val=""/>
      <w:lvlJc w:val="left"/>
      <w:pPr>
        <w:tabs>
          <w:tab w:val="num" w:pos="3600"/>
        </w:tabs>
        <w:ind w:left="3600" w:hanging="360"/>
      </w:pPr>
      <w:rPr>
        <w:rFonts w:ascii="Symbol" w:hAnsi="Symbol" w:hint="default"/>
        <w:sz w:val="20"/>
      </w:rPr>
    </w:lvl>
    <w:lvl w:ilvl="5" w:tplc="BA6A06BA" w:tentative="1">
      <w:start w:val="1"/>
      <w:numFmt w:val="bullet"/>
      <w:lvlText w:val=""/>
      <w:lvlJc w:val="left"/>
      <w:pPr>
        <w:tabs>
          <w:tab w:val="num" w:pos="4320"/>
        </w:tabs>
        <w:ind w:left="4320" w:hanging="360"/>
      </w:pPr>
      <w:rPr>
        <w:rFonts w:ascii="Symbol" w:hAnsi="Symbol" w:hint="default"/>
        <w:sz w:val="20"/>
      </w:rPr>
    </w:lvl>
    <w:lvl w:ilvl="6" w:tplc="88B29F18" w:tentative="1">
      <w:start w:val="1"/>
      <w:numFmt w:val="bullet"/>
      <w:lvlText w:val=""/>
      <w:lvlJc w:val="left"/>
      <w:pPr>
        <w:tabs>
          <w:tab w:val="num" w:pos="5040"/>
        </w:tabs>
        <w:ind w:left="5040" w:hanging="360"/>
      </w:pPr>
      <w:rPr>
        <w:rFonts w:ascii="Symbol" w:hAnsi="Symbol" w:hint="default"/>
        <w:sz w:val="20"/>
      </w:rPr>
    </w:lvl>
    <w:lvl w:ilvl="7" w:tplc="FEEA1488" w:tentative="1">
      <w:start w:val="1"/>
      <w:numFmt w:val="bullet"/>
      <w:lvlText w:val=""/>
      <w:lvlJc w:val="left"/>
      <w:pPr>
        <w:tabs>
          <w:tab w:val="num" w:pos="5760"/>
        </w:tabs>
        <w:ind w:left="5760" w:hanging="360"/>
      </w:pPr>
      <w:rPr>
        <w:rFonts w:ascii="Symbol" w:hAnsi="Symbol" w:hint="default"/>
        <w:sz w:val="20"/>
      </w:rPr>
    </w:lvl>
    <w:lvl w:ilvl="8" w:tplc="F9A4A10E"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8512FB"/>
    <w:multiLevelType w:val="hybridMultilevel"/>
    <w:tmpl w:val="B30079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F24689B"/>
    <w:multiLevelType w:val="hybridMultilevel"/>
    <w:tmpl w:val="8464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F6A66"/>
    <w:multiLevelType w:val="hybridMultilevel"/>
    <w:tmpl w:val="31529268"/>
    <w:lvl w:ilvl="0" w:tplc="9948CE7A">
      <w:start w:val="1"/>
      <w:numFmt w:val="bullet"/>
      <w:lvlText w:val=""/>
      <w:lvlJc w:val="left"/>
      <w:pPr>
        <w:tabs>
          <w:tab w:val="num" w:pos="720"/>
        </w:tabs>
        <w:ind w:left="720" w:hanging="360"/>
      </w:pPr>
      <w:rPr>
        <w:rFonts w:ascii="Symbol" w:hAnsi="Symbol" w:hint="default"/>
        <w:sz w:val="20"/>
      </w:rPr>
    </w:lvl>
    <w:lvl w:ilvl="1" w:tplc="ADCE63E0" w:tentative="1">
      <w:start w:val="1"/>
      <w:numFmt w:val="bullet"/>
      <w:lvlText w:val=""/>
      <w:lvlJc w:val="left"/>
      <w:pPr>
        <w:tabs>
          <w:tab w:val="num" w:pos="1440"/>
        </w:tabs>
        <w:ind w:left="1440" w:hanging="360"/>
      </w:pPr>
      <w:rPr>
        <w:rFonts w:ascii="Symbol" w:hAnsi="Symbol" w:hint="default"/>
        <w:sz w:val="20"/>
      </w:rPr>
    </w:lvl>
    <w:lvl w:ilvl="2" w:tplc="12A83776" w:tentative="1">
      <w:start w:val="1"/>
      <w:numFmt w:val="bullet"/>
      <w:lvlText w:val=""/>
      <w:lvlJc w:val="left"/>
      <w:pPr>
        <w:tabs>
          <w:tab w:val="num" w:pos="2160"/>
        </w:tabs>
        <w:ind w:left="2160" w:hanging="360"/>
      </w:pPr>
      <w:rPr>
        <w:rFonts w:ascii="Symbol" w:hAnsi="Symbol" w:hint="default"/>
        <w:sz w:val="20"/>
      </w:rPr>
    </w:lvl>
    <w:lvl w:ilvl="3" w:tplc="FA24E284" w:tentative="1">
      <w:start w:val="1"/>
      <w:numFmt w:val="bullet"/>
      <w:lvlText w:val=""/>
      <w:lvlJc w:val="left"/>
      <w:pPr>
        <w:tabs>
          <w:tab w:val="num" w:pos="2880"/>
        </w:tabs>
        <w:ind w:left="2880" w:hanging="360"/>
      </w:pPr>
      <w:rPr>
        <w:rFonts w:ascii="Symbol" w:hAnsi="Symbol" w:hint="default"/>
        <w:sz w:val="20"/>
      </w:rPr>
    </w:lvl>
    <w:lvl w:ilvl="4" w:tplc="95C8BDE8" w:tentative="1">
      <w:start w:val="1"/>
      <w:numFmt w:val="bullet"/>
      <w:lvlText w:val=""/>
      <w:lvlJc w:val="left"/>
      <w:pPr>
        <w:tabs>
          <w:tab w:val="num" w:pos="3600"/>
        </w:tabs>
        <w:ind w:left="3600" w:hanging="360"/>
      </w:pPr>
      <w:rPr>
        <w:rFonts w:ascii="Symbol" w:hAnsi="Symbol" w:hint="default"/>
        <w:sz w:val="20"/>
      </w:rPr>
    </w:lvl>
    <w:lvl w:ilvl="5" w:tplc="FEDE46C2" w:tentative="1">
      <w:start w:val="1"/>
      <w:numFmt w:val="bullet"/>
      <w:lvlText w:val=""/>
      <w:lvlJc w:val="left"/>
      <w:pPr>
        <w:tabs>
          <w:tab w:val="num" w:pos="4320"/>
        </w:tabs>
        <w:ind w:left="4320" w:hanging="360"/>
      </w:pPr>
      <w:rPr>
        <w:rFonts w:ascii="Symbol" w:hAnsi="Symbol" w:hint="default"/>
        <w:sz w:val="20"/>
      </w:rPr>
    </w:lvl>
    <w:lvl w:ilvl="6" w:tplc="F5546380" w:tentative="1">
      <w:start w:val="1"/>
      <w:numFmt w:val="bullet"/>
      <w:lvlText w:val=""/>
      <w:lvlJc w:val="left"/>
      <w:pPr>
        <w:tabs>
          <w:tab w:val="num" w:pos="5040"/>
        </w:tabs>
        <w:ind w:left="5040" w:hanging="360"/>
      </w:pPr>
      <w:rPr>
        <w:rFonts w:ascii="Symbol" w:hAnsi="Symbol" w:hint="default"/>
        <w:sz w:val="20"/>
      </w:rPr>
    </w:lvl>
    <w:lvl w:ilvl="7" w:tplc="BF14E75E" w:tentative="1">
      <w:start w:val="1"/>
      <w:numFmt w:val="bullet"/>
      <w:lvlText w:val=""/>
      <w:lvlJc w:val="left"/>
      <w:pPr>
        <w:tabs>
          <w:tab w:val="num" w:pos="5760"/>
        </w:tabs>
        <w:ind w:left="5760" w:hanging="360"/>
      </w:pPr>
      <w:rPr>
        <w:rFonts w:ascii="Symbol" w:hAnsi="Symbol" w:hint="default"/>
        <w:sz w:val="20"/>
      </w:rPr>
    </w:lvl>
    <w:lvl w:ilvl="8" w:tplc="BC86E196"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93ECC"/>
    <w:multiLevelType w:val="hybridMultilevel"/>
    <w:tmpl w:val="B440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17AF"/>
    <w:multiLevelType w:val="hybridMultilevel"/>
    <w:tmpl w:val="1742C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9785A"/>
    <w:multiLevelType w:val="hybridMultilevel"/>
    <w:tmpl w:val="3DCABA0E"/>
    <w:lvl w:ilvl="0" w:tplc="F52EAC16">
      <w:start w:val="1"/>
      <w:numFmt w:val="bullet"/>
      <w:lvlText w:val=""/>
      <w:lvlJc w:val="left"/>
      <w:pPr>
        <w:tabs>
          <w:tab w:val="num" w:pos="720"/>
        </w:tabs>
        <w:ind w:left="720" w:hanging="360"/>
      </w:pPr>
      <w:rPr>
        <w:rFonts w:ascii="Symbol" w:hAnsi="Symbol" w:hint="default"/>
        <w:sz w:val="20"/>
      </w:rPr>
    </w:lvl>
    <w:lvl w:ilvl="1" w:tplc="74E8738C" w:tentative="1">
      <w:start w:val="1"/>
      <w:numFmt w:val="bullet"/>
      <w:lvlText w:val=""/>
      <w:lvlJc w:val="left"/>
      <w:pPr>
        <w:tabs>
          <w:tab w:val="num" w:pos="1440"/>
        </w:tabs>
        <w:ind w:left="1440" w:hanging="360"/>
      </w:pPr>
      <w:rPr>
        <w:rFonts w:ascii="Symbol" w:hAnsi="Symbol" w:hint="default"/>
        <w:sz w:val="20"/>
      </w:rPr>
    </w:lvl>
    <w:lvl w:ilvl="2" w:tplc="32486B88" w:tentative="1">
      <w:start w:val="1"/>
      <w:numFmt w:val="bullet"/>
      <w:lvlText w:val=""/>
      <w:lvlJc w:val="left"/>
      <w:pPr>
        <w:tabs>
          <w:tab w:val="num" w:pos="2160"/>
        </w:tabs>
        <w:ind w:left="2160" w:hanging="360"/>
      </w:pPr>
      <w:rPr>
        <w:rFonts w:ascii="Symbol" w:hAnsi="Symbol" w:hint="default"/>
        <w:sz w:val="20"/>
      </w:rPr>
    </w:lvl>
    <w:lvl w:ilvl="3" w:tplc="DD42AEAE" w:tentative="1">
      <w:start w:val="1"/>
      <w:numFmt w:val="bullet"/>
      <w:lvlText w:val=""/>
      <w:lvlJc w:val="left"/>
      <w:pPr>
        <w:tabs>
          <w:tab w:val="num" w:pos="2880"/>
        </w:tabs>
        <w:ind w:left="2880" w:hanging="360"/>
      </w:pPr>
      <w:rPr>
        <w:rFonts w:ascii="Symbol" w:hAnsi="Symbol" w:hint="default"/>
        <w:sz w:val="20"/>
      </w:rPr>
    </w:lvl>
    <w:lvl w:ilvl="4" w:tplc="D55CC7C8" w:tentative="1">
      <w:start w:val="1"/>
      <w:numFmt w:val="bullet"/>
      <w:lvlText w:val=""/>
      <w:lvlJc w:val="left"/>
      <w:pPr>
        <w:tabs>
          <w:tab w:val="num" w:pos="3600"/>
        </w:tabs>
        <w:ind w:left="3600" w:hanging="360"/>
      </w:pPr>
      <w:rPr>
        <w:rFonts w:ascii="Symbol" w:hAnsi="Symbol" w:hint="default"/>
        <w:sz w:val="20"/>
      </w:rPr>
    </w:lvl>
    <w:lvl w:ilvl="5" w:tplc="D4160A7C" w:tentative="1">
      <w:start w:val="1"/>
      <w:numFmt w:val="bullet"/>
      <w:lvlText w:val=""/>
      <w:lvlJc w:val="left"/>
      <w:pPr>
        <w:tabs>
          <w:tab w:val="num" w:pos="4320"/>
        </w:tabs>
        <w:ind w:left="4320" w:hanging="360"/>
      </w:pPr>
      <w:rPr>
        <w:rFonts w:ascii="Symbol" w:hAnsi="Symbol" w:hint="default"/>
        <w:sz w:val="20"/>
      </w:rPr>
    </w:lvl>
    <w:lvl w:ilvl="6" w:tplc="8DE2C2F0" w:tentative="1">
      <w:start w:val="1"/>
      <w:numFmt w:val="bullet"/>
      <w:lvlText w:val=""/>
      <w:lvlJc w:val="left"/>
      <w:pPr>
        <w:tabs>
          <w:tab w:val="num" w:pos="5040"/>
        </w:tabs>
        <w:ind w:left="5040" w:hanging="360"/>
      </w:pPr>
      <w:rPr>
        <w:rFonts w:ascii="Symbol" w:hAnsi="Symbol" w:hint="default"/>
        <w:sz w:val="20"/>
      </w:rPr>
    </w:lvl>
    <w:lvl w:ilvl="7" w:tplc="1DBC0440" w:tentative="1">
      <w:start w:val="1"/>
      <w:numFmt w:val="bullet"/>
      <w:lvlText w:val=""/>
      <w:lvlJc w:val="left"/>
      <w:pPr>
        <w:tabs>
          <w:tab w:val="num" w:pos="5760"/>
        </w:tabs>
        <w:ind w:left="5760" w:hanging="360"/>
      </w:pPr>
      <w:rPr>
        <w:rFonts w:ascii="Symbol" w:hAnsi="Symbol" w:hint="default"/>
        <w:sz w:val="20"/>
      </w:rPr>
    </w:lvl>
    <w:lvl w:ilvl="8" w:tplc="66D802B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F030A9"/>
    <w:multiLevelType w:val="hybridMultilevel"/>
    <w:tmpl w:val="5D588D68"/>
    <w:lvl w:ilvl="0" w:tplc="0409000F">
      <w:start w:val="1"/>
      <w:numFmt w:val="decimal"/>
      <w:lvlText w:val="%1."/>
      <w:lvlJc w:val="left"/>
      <w:pPr>
        <w:tabs>
          <w:tab w:val="num" w:pos="720"/>
        </w:tabs>
        <w:ind w:left="720" w:hanging="360"/>
      </w:pPr>
    </w:lvl>
    <w:lvl w:ilvl="1" w:tplc="74C2AEDC">
      <w:start w:val="1"/>
      <w:numFmt w:val="bullet"/>
      <w:lvlText w:val=""/>
      <w:lvlJc w:val="left"/>
      <w:pPr>
        <w:tabs>
          <w:tab w:val="num" w:pos="1440"/>
        </w:tabs>
        <w:ind w:left="1440" w:hanging="360"/>
      </w:pPr>
      <w:rPr>
        <w:rFonts w:ascii="Symbol" w:hAnsi="Symbol" w:hint="default"/>
      </w:rPr>
    </w:lvl>
    <w:lvl w:ilvl="2" w:tplc="687A8B16">
      <w:start w:val="1"/>
      <w:numFmt w:val="bullet"/>
      <w:lvlText w:val=""/>
      <w:lvlJc w:val="left"/>
      <w:pPr>
        <w:tabs>
          <w:tab w:val="num" w:pos="2340"/>
        </w:tabs>
        <w:ind w:left="2340" w:hanging="360"/>
      </w:pPr>
      <w:rPr>
        <w:rFonts w:ascii="Wingdings" w:hAnsi="Wingdings"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281010"/>
    <w:multiLevelType w:val="hybridMultilevel"/>
    <w:tmpl w:val="BD68F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A37683"/>
    <w:multiLevelType w:val="hybridMultilevel"/>
    <w:tmpl w:val="B9662E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1B4D20"/>
    <w:multiLevelType w:val="hybridMultilevel"/>
    <w:tmpl w:val="A0B24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9198F"/>
    <w:multiLevelType w:val="hybridMultilevel"/>
    <w:tmpl w:val="D3B425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4A64B0"/>
    <w:multiLevelType w:val="hybridMultilevel"/>
    <w:tmpl w:val="B58669C4"/>
    <w:lvl w:ilvl="0" w:tplc="0568D28E">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C62059"/>
    <w:multiLevelType w:val="hybridMultilevel"/>
    <w:tmpl w:val="6B3C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31378"/>
    <w:multiLevelType w:val="hybridMultilevel"/>
    <w:tmpl w:val="4E1CD97E"/>
    <w:lvl w:ilvl="0" w:tplc="0409000B">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346311F"/>
    <w:multiLevelType w:val="hybridMultilevel"/>
    <w:tmpl w:val="BA42F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2C24F3"/>
    <w:multiLevelType w:val="hybridMultilevel"/>
    <w:tmpl w:val="7CD6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DD3A83"/>
    <w:multiLevelType w:val="hybridMultilevel"/>
    <w:tmpl w:val="C7DCD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C3F0BD1"/>
    <w:multiLevelType w:val="hybridMultilevel"/>
    <w:tmpl w:val="8D56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CF163F"/>
    <w:multiLevelType w:val="hybridMultilevel"/>
    <w:tmpl w:val="7480C9CC"/>
    <w:lvl w:ilvl="0" w:tplc="0EA8BC6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5"/>
  </w:num>
  <w:num w:numId="4">
    <w:abstractNumId w:val="0"/>
  </w:num>
  <w:num w:numId="5">
    <w:abstractNumId w:val="8"/>
  </w:num>
  <w:num w:numId="6">
    <w:abstractNumId w:val="2"/>
  </w:num>
  <w:num w:numId="7">
    <w:abstractNumId w:val="17"/>
  </w:num>
  <w:num w:numId="8">
    <w:abstractNumId w:val="9"/>
  </w:num>
  <w:num w:numId="9">
    <w:abstractNumId w:val="6"/>
  </w:num>
  <w:num w:numId="10">
    <w:abstractNumId w:val="13"/>
  </w:num>
  <w:num w:numId="11">
    <w:abstractNumId w:val="11"/>
  </w:num>
  <w:num w:numId="12">
    <w:abstractNumId w:val="19"/>
  </w:num>
  <w:num w:numId="13">
    <w:abstractNumId w:val="5"/>
  </w:num>
  <w:num w:numId="14">
    <w:abstractNumId w:val="12"/>
  </w:num>
  <w:num w:numId="15">
    <w:abstractNumId w:val="10"/>
  </w:num>
  <w:num w:numId="16">
    <w:abstractNumId w:val="14"/>
  </w:num>
  <w:num w:numId="17">
    <w:abstractNumId w:val="21"/>
  </w:num>
  <w:num w:numId="18">
    <w:abstractNumId w:val="1"/>
  </w:num>
  <w:num w:numId="19">
    <w:abstractNumId w:val="3"/>
  </w:num>
  <w:num w:numId="20">
    <w:abstractNumId w:val="16"/>
  </w:num>
  <w:num w:numId="21">
    <w:abstractNumId w:val="23"/>
  </w:num>
  <w:num w:numId="22">
    <w:abstractNumId w:val="20"/>
  </w:num>
  <w:num w:numId="23">
    <w:abstractNumId w:val="24"/>
  </w:num>
  <w:num w:numId="24">
    <w:abstractNumId w:val="22"/>
  </w:num>
  <w:num w:numId="25">
    <w:abstractNumId w:val="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EA"/>
    <w:rsid w:val="00017128"/>
    <w:rsid w:val="0004429F"/>
    <w:rsid w:val="00056304"/>
    <w:rsid w:val="00061DCB"/>
    <w:rsid w:val="000A3273"/>
    <w:rsid w:val="000A4EBC"/>
    <w:rsid w:val="000C3CDA"/>
    <w:rsid w:val="00100424"/>
    <w:rsid w:val="00104115"/>
    <w:rsid w:val="0010689C"/>
    <w:rsid w:val="001149B7"/>
    <w:rsid w:val="00115996"/>
    <w:rsid w:val="00161B98"/>
    <w:rsid w:val="00163BAA"/>
    <w:rsid w:val="00197F2D"/>
    <w:rsid w:val="001A3A8C"/>
    <w:rsid w:val="001C077E"/>
    <w:rsid w:val="001C6366"/>
    <w:rsid w:val="001F0B11"/>
    <w:rsid w:val="00201807"/>
    <w:rsid w:val="00201C58"/>
    <w:rsid w:val="0022608D"/>
    <w:rsid w:val="00245DBF"/>
    <w:rsid w:val="002502AC"/>
    <w:rsid w:val="002650D5"/>
    <w:rsid w:val="002703A8"/>
    <w:rsid w:val="00281B66"/>
    <w:rsid w:val="00283E0B"/>
    <w:rsid w:val="002F2C2C"/>
    <w:rsid w:val="00306EB3"/>
    <w:rsid w:val="00311352"/>
    <w:rsid w:val="00333217"/>
    <w:rsid w:val="00393224"/>
    <w:rsid w:val="0039492C"/>
    <w:rsid w:val="003A43CD"/>
    <w:rsid w:val="003A49F6"/>
    <w:rsid w:val="003A6492"/>
    <w:rsid w:val="003E4081"/>
    <w:rsid w:val="004176D0"/>
    <w:rsid w:val="004200C5"/>
    <w:rsid w:val="00425D87"/>
    <w:rsid w:val="00431718"/>
    <w:rsid w:val="00447A93"/>
    <w:rsid w:val="00460914"/>
    <w:rsid w:val="00460D82"/>
    <w:rsid w:val="004621ED"/>
    <w:rsid w:val="00480485"/>
    <w:rsid w:val="004807AA"/>
    <w:rsid w:val="0048296D"/>
    <w:rsid w:val="00483330"/>
    <w:rsid w:val="00490725"/>
    <w:rsid w:val="004A6E1A"/>
    <w:rsid w:val="004B3518"/>
    <w:rsid w:val="004F0AD2"/>
    <w:rsid w:val="00514699"/>
    <w:rsid w:val="00522DB3"/>
    <w:rsid w:val="00544F9D"/>
    <w:rsid w:val="005475EE"/>
    <w:rsid w:val="005536EB"/>
    <w:rsid w:val="005623C2"/>
    <w:rsid w:val="00584CBA"/>
    <w:rsid w:val="005B073D"/>
    <w:rsid w:val="005B11F4"/>
    <w:rsid w:val="005C26E4"/>
    <w:rsid w:val="005E4139"/>
    <w:rsid w:val="005E6FBD"/>
    <w:rsid w:val="0060014F"/>
    <w:rsid w:val="006040A9"/>
    <w:rsid w:val="0061116F"/>
    <w:rsid w:val="00615F3A"/>
    <w:rsid w:val="00630179"/>
    <w:rsid w:val="00633475"/>
    <w:rsid w:val="00634902"/>
    <w:rsid w:val="0064013E"/>
    <w:rsid w:val="00651ECC"/>
    <w:rsid w:val="0068385F"/>
    <w:rsid w:val="00696443"/>
    <w:rsid w:val="006968DD"/>
    <w:rsid w:val="006A0138"/>
    <w:rsid w:val="006A2DCE"/>
    <w:rsid w:val="006A2F3C"/>
    <w:rsid w:val="006A77AE"/>
    <w:rsid w:val="006C2276"/>
    <w:rsid w:val="006F58B7"/>
    <w:rsid w:val="00720295"/>
    <w:rsid w:val="00727F87"/>
    <w:rsid w:val="00737038"/>
    <w:rsid w:val="00763E37"/>
    <w:rsid w:val="00780485"/>
    <w:rsid w:val="0078645F"/>
    <w:rsid w:val="00786E1C"/>
    <w:rsid w:val="007A61E1"/>
    <w:rsid w:val="007B2AF2"/>
    <w:rsid w:val="007C72F4"/>
    <w:rsid w:val="007D5756"/>
    <w:rsid w:val="007F2F80"/>
    <w:rsid w:val="00811694"/>
    <w:rsid w:val="00813F1B"/>
    <w:rsid w:val="008168C2"/>
    <w:rsid w:val="008339A1"/>
    <w:rsid w:val="00864E5B"/>
    <w:rsid w:val="00880281"/>
    <w:rsid w:val="00882540"/>
    <w:rsid w:val="008854E0"/>
    <w:rsid w:val="00890E7E"/>
    <w:rsid w:val="008929ED"/>
    <w:rsid w:val="008B130A"/>
    <w:rsid w:val="008E60BD"/>
    <w:rsid w:val="008E7AFA"/>
    <w:rsid w:val="008F7B2C"/>
    <w:rsid w:val="00910E7E"/>
    <w:rsid w:val="00924C1E"/>
    <w:rsid w:val="009307DC"/>
    <w:rsid w:val="00970799"/>
    <w:rsid w:val="0098337D"/>
    <w:rsid w:val="009B244F"/>
    <w:rsid w:val="009C3C3B"/>
    <w:rsid w:val="009D445A"/>
    <w:rsid w:val="009E64CF"/>
    <w:rsid w:val="009E76A1"/>
    <w:rsid w:val="009F7E4D"/>
    <w:rsid w:val="00A007F4"/>
    <w:rsid w:val="00A06C4B"/>
    <w:rsid w:val="00A109BC"/>
    <w:rsid w:val="00A33214"/>
    <w:rsid w:val="00A50E7F"/>
    <w:rsid w:val="00A7156B"/>
    <w:rsid w:val="00A72C80"/>
    <w:rsid w:val="00A770C7"/>
    <w:rsid w:val="00AB13D4"/>
    <w:rsid w:val="00AB33B6"/>
    <w:rsid w:val="00AC207D"/>
    <w:rsid w:val="00AC230E"/>
    <w:rsid w:val="00B073CD"/>
    <w:rsid w:val="00B22118"/>
    <w:rsid w:val="00B339E9"/>
    <w:rsid w:val="00B360FA"/>
    <w:rsid w:val="00B479D9"/>
    <w:rsid w:val="00B53742"/>
    <w:rsid w:val="00B74C7B"/>
    <w:rsid w:val="00B83A65"/>
    <w:rsid w:val="00BB6A41"/>
    <w:rsid w:val="00BC2FBE"/>
    <w:rsid w:val="00BF1229"/>
    <w:rsid w:val="00BF1880"/>
    <w:rsid w:val="00BF58A3"/>
    <w:rsid w:val="00C16085"/>
    <w:rsid w:val="00C2413E"/>
    <w:rsid w:val="00C343E1"/>
    <w:rsid w:val="00C5053C"/>
    <w:rsid w:val="00C540E2"/>
    <w:rsid w:val="00C700D0"/>
    <w:rsid w:val="00C838F2"/>
    <w:rsid w:val="00C84586"/>
    <w:rsid w:val="00C92BC2"/>
    <w:rsid w:val="00CA4478"/>
    <w:rsid w:val="00CB1FA4"/>
    <w:rsid w:val="00CC08F8"/>
    <w:rsid w:val="00CF5DD9"/>
    <w:rsid w:val="00D019D7"/>
    <w:rsid w:val="00D13819"/>
    <w:rsid w:val="00D142D9"/>
    <w:rsid w:val="00D158CC"/>
    <w:rsid w:val="00D5028C"/>
    <w:rsid w:val="00D53BCA"/>
    <w:rsid w:val="00DA13CA"/>
    <w:rsid w:val="00DC0F62"/>
    <w:rsid w:val="00DC514C"/>
    <w:rsid w:val="00DD1BC9"/>
    <w:rsid w:val="00DE75E9"/>
    <w:rsid w:val="00DF7BAE"/>
    <w:rsid w:val="00DF7DE3"/>
    <w:rsid w:val="00E006ED"/>
    <w:rsid w:val="00E035AE"/>
    <w:rsid w:val="00E666C6"/>
    <w:rsid w:val="00E91AAA"/>
    <w:rsid w:val="00E95EC3"/>
    <w:rsid w:val="00EA2BA4"/>
    <w:rsid w:val="00EA47A4"/>
    <w:rsid w:val="00EB525D"/>
    <w:rsid w:val="00F0168F"/>
    <w:rsid w:val="00F023C1"/>
    <w:rsid w:val="00F10664"/>
    <w:rsid w:val="00F11FA2"/>
    <w:rsid w:val="00F17509"/>
    <w:rsid w:val="00F30894"/>
    <w:rsid w:val="00F31E44"/>
    <w:rsid w:val="00F42329"/>
    <w:rsid w:val="00F576F5"/>
    <w:rsid w:val="00F57710"/>
    <w:rsid w:val="00F71340"/>
    <w:rsid w:val="00F857EA"/>
    <w:rsid w:val="00F94168"/>
    <w:rsid w:val="00F952BE"/>
    <w:rsid w:val="00FB6F67"/>
    <w:rsid w:val="00FD11C0"/>
    <w:rsid w:val="00FE72B3"/>
    <w:rsid w:val="02431423"/>
    <w:rsid w:val="0336D680"/>
    <w:rsid w:val="03DEE484"/>
    <w:rsid w:val="04FB098F"/>
    <w:rsid w:val="0647E81F"/>
    <w:rsid w:val="0E38232B"/>
    <w:rsid w:val="0E90B0FE"/>
    <w:rsid w:val="0EA9D95B"/>
    <w:rsid w:val="0F2F16B0"/>
    <w:rsid w:val="0F69E036"/>
    <w:rsid w:val="0FF29B24"/>
    <w:rsid w:val="10D88357"/>
    <w:rsid w:val="137D4A7E"/>
    <w:rsid w:val="138EB8F4"/>
    <w:rsid w:val="1404B1FC"/>
    <w:rsid w:val="15191ADF"/>
    <w:rsid w:val="1636B577"/>
    <w:rsid w:val="1743B376"/>
    <w:rsid w:val="18379344"/>
    <w:rsid w:val="1847C2CF"/>
    <w:rsid w:val="1C379476"/>
    <w:rsid w:val="1EDD8870"/>
    <w:rsid w:val="210B614F"/>
    <w:rsid w:val="212E2E4A"/>
    <w:rsid w:val="23087BFA"/>
    <w:rsid w:val="24564D79"/>
    <w:rsid w:val="24D2E729"/>
    <w:rsid w:val="284DB70E"/>
    <w:rsid w:val="2A0180DC"/>
    <w:rsid w:val="2A104D46"/>
    <w:rsid w:val="2EFD459E"/>
    <w:rsid w:val="30343019"/>
    <w:rsid w:val="30CB4B78"/>
    <w:rsid w:val="326A04AD"/>
    <w:rsid w:val="343C465B"/>
    <w:rsid w:val="34842CA8"/>
    <w:rsid w:val="386FBAAF"/>
    <w:rsid w:val="38F72698"/>
    <w:rsid w:val="3D3134D3"/>
    <w:rsid w:val="41DBBBB1"/>
    <w:rsid w:val="44F07855"/>
    <w:rsid w:val="46736F5C"/>
    <w:rsid w:val="46DD9E4B"/>
    <w:rsid w:val="4715BE4C"/>
    <w:rsid w:val="48084DD6"/>
    <w:rsid w:val="4AF887B2"/>
    <w:rsid w:val="4C2D8F68"/>
    <w:rsid w:val="4C63D7E2"/>
    <w:rsid w:val="4C7AFF23"/>
    <w:rsid w:val="4CF4AE49"/>
    <w:rsid w:val="4F3EC6E5"/>
    <w:rsid w:val="4F825047"/>
    <w:rsid w:val="4FCC4148"/>
    <w:rsid w:val="505236F3"/>
    <w:rsid w:val="52D2CD4E"/>
    <w:rsid w:val="54861108"/>
    <w:rsid w:val="549563A6"/>
    <w:rsid w:val="55B01706"/>
    <w:rsid w:val="5621E169"/>
    <w:rsid w:val="5715A45C"/>
    <w:rsid w:val="57A0095F"/>
    <w:rsid w:val="5ACC3804"/>
    <w:rsid w:val="5C9122ED"/>
    <w:rsid w:val="5E06A70B"/>
    <w:rsid w:val="5FD0B135"/>
    <w:rsid w:val="6089440A"/>
    <w:rsid w:val="673F4087"/>
    <w:rsid w:val="6B042143"/>
    <w:rsid w:val="6B0CE745"/>
    <w:rsid w:val="6F30CAC5"/>
    <w:rsid w:val="70AFDA53"/>
    <w:rsid w:val="715EAC3B"/>
    <w:rsid w:val="716D6F00"/>
    <w:rsid w:val="72D94A78"/>
    <w:rsid w:val="73EA63A0"/>
    <w:rsid w:val="74DAA33C"/>
    <w:rsid w:val="74F46665"/>
    <w:rsid w:val="751CEF29"/>
    <w:rsid w:val="7589280F"/>
    <w:rsid w:val="765346B4"/>
    <w:rsid w:val="78DC8D61"/>
    <w:rsid w:val="7B3FAD87"/>
    <w:rsid w:val="7B4A7F8C"/>
    <w:rsid w:val="7C04223C"/>
    <w:rsid w:val="7D9FF29D"/>
    <w:rsid w:val="7F0B7360"/>
    <w:rsid w:val="7F1BED18"/>
    <w:rsid w:val="7F472671"/>
    <w:rsid w:val="7FDD9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7AA1BF"/>
  <w15:chartTrackingRefBased/>
  <w15:docId w15:val="{AF4C76F1-78E6-41E5-8D56-8F72F426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57E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F10664"/>
  </w:style>
  <w:style w:type="character" w:customStyle="1" w:styleId="eop">
    <w:name w:val="eop"/>
    <w:basedOn w:val="DefaultParagraphFont"/>
    <w:rsid w:val="00F10664"/>
  </w:style>
  <w:style w:type="character" w:styleId="Hyperlink">
    <w:name w:val="Hyperlink"/>
    <w:basedOn w:val="DefaultParagraphFont"/>
    <w:uiPriority w:val="99"/>
    <w:unhideWhenUsed/>
    <w:rsid w:val="00F10664"/>
    <w:rPr>
      <w:color w:val="0563C1" w:themeColor="hyperlink"/>
      <w:u w:val="single"/>
    </w:rPr>
  </w:style>
  <w:style w:type="paragraph" w:customStyle="1" w:styleId="paragraph">
    <w:name w:val="paragraph"/>
    <w:basedOn w:val="Normal"/>
    <w:rsid w:val="00780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129098062">
    <w:name w:val="scxw129098062"/>
    <w:basedOn w:val="DefaultParagraphFont"/>
    <w:rsid w:val="00780485"/>
  </w:style>
  <w:style w:type="paragraph" w:styleId="ListParagraph">
    <w:name w:val="List Paragraph"/>
    <w:basedOn w:val="Normal"/>
    <w:uiPriority w:val="34"/>
    <w:qFormat/>
    <w:rsid w:val="00B74C7B"/>
    <w:pPr>
      <w:spacing w:after="200" w:line="276" w:lineRule="auto"/>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47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5EE"/>
    <w:rPr>
      <w:rFonts w:ascii="Segoe UI" w:hAnsi="Segoe UI" w:cs="Segoe UI"/>
      <w:sz w:val="18"/>
      <w:szCs w:val="18"/>
    </w:rPr>
  </w:style>
  <w:style w:type="paragraph" w:styleId="FootnoteText">
    <w:name w:val="footnote text"/>
    <w:basedOn w:val="Normal"/>
    <w:link w:val="FootnoteTextChar"/>
    <w:uiPriority w:val="99"/>
    <w:semiHidden/>
    <w:unhideWhenUsed/>
    <w:rsid w:val="00C343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3E1"/>
    <w:rPr>
      <w:sz w:val="20"/>
      <w:szCs w:val="20"/>
    </w:rPr>
  </w:style>
  <w:style w:type="character" w:styleId="FootnoteReference">
    <w:name w:val="footnote reference"/>
    <w:basedOn w:val="DefaultParagraphFont"/>
    <w:uiPriority w:val="99"/>
    <w:semiHidden/>
    <w:unhideWhenUsed/>
    <w:rsid w:val="00C343E1"/>
    <w:rPr>
      <w:vertAlign w:val="superscript"/>
    </w:rPr>
  </w:style>
  <w:style w:type="paragraph" w:styleId="Header">
    <w:name w:val="header"/>
    <w:basedOn w:val="Normal"/>
    <w:link w:val="HeaderChar"/>
    <w:uiPriority w:val="99"/>
    <w:unhideWhenUsed/>
    <w:rsid w:val="006A2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DCE"/>
  </w:style>
  <w:style w:type="paragraph" w:styleId="Footer">
    <w:name w:val="footer"/>
    <w:basedOn w:val="Normal"/>
    <w:link w:val="FooterChar"/>
    <w:uiPriority w:val="99"/>
    <w:unhideWhenUsed/>
    <w:rsid w:val="006A2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DCE"/>
  </w:style>
  <w:style w:type="character" w:styleId="UnresolvedMention">
    <w:name w:val="Unresolved Mention"/>
    <w:basedOn w:val="DefaultParagraphFont"/>
    <w:uiPriority w:val="99"/>
    <w:semiHidden/>
    <w:unhideWhenUsed/>
    <w:rsid w:val="00460D82"/>
    <w:rPr>
      <w:color w:val="605E5C"/>
      <w:shd w:val="clear" w:color="auto" w:fill="E1DFDD"/>
    </w:rPr>
  </w:style>
  <w:style w:type="character" w:styleId="Emphasis">
    <w:name w:val="Emphasis"/>
    <w:basedOn w:val="DefaultParagraphFont"/>
    <w:uiPriority w:val="20"/>
    <w:qFormat/>
    <w:rsid w:val="004F0AD2"/>
    <w:rPr>
      <w:i/>
      <w:iCs/>
    </w:rPr>
  </w:style>
  <w:style w:type="paragraph" w:styleId="CommentSubject">
    <w:name w:val="annotation subject"/>
    <w:basedOn w:val="CommentText"/>
    <w:next w:val="CommentText"/>
    <w:link w:val="CommentSubjectChar"/>
    <w:uiPriority w:val="99"/>
    <w:semiHidden/>
    <w:unhideWhenUsed/>
    <w:rsid w:val="00522DB3"/>
    <w:rPr>
      <w:b/>
      <w:bCs/>
    </w:rPr>
  </w:style>
  <w:style w:type="character" w:customStyle="1" w:styleId="CommentSubjectChar">
    <w:name w:val="Comment Subject Char"/>
    <w:basedOn w:val="CommentTextChar"/>
    <w:link w:val="CommentSubject"/>
    <w:uiPriority w:val="99"/>
    <w:semiHidden/>
    <w:rsid w:val="00522D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72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bilisiGrants@state.gov" TargetMode="External"/><Relationship Id="rId18" Type="http://schemas.openxmlformats.org/officeDocument/2006/relationships/hyperlink" Target="http://fedgov.dnb.com/webform" TargetMode="External"/><Relationship Id="rId3" Type="http://schemas.openxmlformats.org/officeDocument/2006/relationships/customXml" Target="../customXml/item3.xml"/><Relationship Id="rId21" Type="http://schemas.openxmlformats.org/officeDocument/2006/relationships/hyperlink" Target="https://www.sam.gov" TargetMode="External"/><Relationship Id="rId7" Type="http://schemas.openxmlformats.org/officeDocument/2006/relationships/settings" Target="settings.xml"/><Relationship Id="rId12" Type="http://schemas.openxmlformats.org/officeDocument/2006/relationships/hyperlink" Target="https://eacea.ec.europa.eu/sites/eacea-site/files/countryfiche_georgia_2017.pdf" TargetMode="External"/><Relationship Id="rId17" Type="http://schemas.openxmlformats.org/officeDocument/2006/relationships/hyperlink" Target="https://sam.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opefa.a.state.gov/Content/documents/SF424Instructions.pdf" TargetMode="External"/><Relationship Id="rId20" Type="http://schemas.openxmlformats.org/officeDocument/2006/relationships/hyperlink" Target="https://eportal.nspa.nato.int/AC135Public/Docs/US%20Instructions%20for%20NSPA%20NCAG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tsne.gov.ge/ru/document/download/32830/53/en/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aopefa.a.state.gov/Content/documents/SF424A-V1.0.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portal.nspa.nato.int/AC135Public/scage/CageLis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bilisiGrants@state.gov" TargetMode="External"/><Relationship Id="rId22" Type="http://schemas.openxmlformats.org/officeDocument/2006/relationships/hyperlink" Target="mailto:TbilisiGrant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5703C57C1B4A4AA2EB6E6EFE407FFD" ma:contentTypeVersion="10" ma:contentTypeDescription="Create a new document." ma:contentTypeScope="" ma:versionID="4a9a77646df8724d7a72b3578f88a056">
  <xsd:schema xmlns:xsd="http://www.w3.org/2001/XMLSchema" xmlns:xs="http://www.w3.org/2001/XMLSchema" xmlns:p="http://schemas.microsoft.com/office/2006/metadata/properties" xmlns:ns2="e4c2af62-b473-49d6-b45b-ee48375ce9ef" xmlns:ns3="2f61b603-33a8-4bad-8093-1b06e4052548" targetNamespace="http://schemas.microsoft.com/office/2006/metadata/properties" ma:root="true" ma:fieldsID="55787eeb9ffdfd42b731746ae0f84264" ns2:_="" ns3:_="">
    <xsd:import namespace="e4c2af62-b473-49d6-b45b-ee48375ce9ef"/>
    <xsd:import namespace="2f61b603-33a8-4bad-8093-1b06e40525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2af62-b473-49d6-b45b-ee48375ce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1b603-33a8-4bad-8093-1b06e40525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FB8FA-3A24-4895-8737-FA43E1521911}">
  <ds:schemaRefs>
    <ds:schemaRef ds:uri="http://schemas.microsoft.com/sharepoint/v3/contenttype/forms"/>
  </ds:schemaRefs>
</ds:datastoreItem>
</file>

<file path=customXml/itemProps2.xml><?xml version="1.0" encoding="utf-8"?>
<ds:datastoreItem xmlns:ds="http://schemas.openxmlformats.org/officeDocument/2006/customXml" ds:itemID="{722A2F7A-03A3-4B22-80A2-F0E2533509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5CFFF7-8590-4486-94C9-3BCFD7791174}">
  <ds:schemaRefs>
    <ds:schemaRef ds:uri="http://schemas.openxmlformats.org/officeDocument/2006/bibliography"/>
  </ds:schemaRefs>
</ds:datastoreItem>
</file>

<file path=customXml/itemProps4.xml><?xml version="1.0" encoding="utf-8"?>
<ds:datastoreItem xmlns:ds="http://schemas.openxmlformats.org/officeDocument/2006/customXml" ds:itemID="{F87027FF-25ED-4C0C-94A9-3294C752A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2af62-b473-49d6-b45b-ee48375ce9ef"/>
    <ds:schemaRef ds:uri="2f61b603-33a8-4bad-8093-1b06e4052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5115</Words>
  <Characters>29157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34204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Sophiko Bzishvili</dc:creator>
  <cp:keywords/>
  <dc:description/>
  <cp:lastModifiedBy>Bzishvili, Sophiko (Tbilisi)</cp:lastModifiedBy>
  <cp:revision>3</cp:revision>
  <cp:lastPrinted>2021-02-22T10:44:00Z</cp:lastPrinted>
  <dcterms:created xsi:type="dcterms:W3CDTF">2021-05-25T11:39:00Z</dcterms:created>
  <dcterms:modified xsi:type="dcterms:W3CDTF">2021-05-25T11:49:00Z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BzishviliS@state.gov</vt:lpwstr>
  </property>
  <property fmtid="{D5CDD505-2E9C-101B-9397-08002B2CF9AE}" pid="5" name="MSIP_Label_1665d9ee-429a-4d5f-97cc-cfb56e044a6e_SetDate">
    <vt:lpwstr>2020-11-30T15:40:01.6337847Z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1cb043e7-c74b-47cc-8a73-e8d468821cc3</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0x010100AB5703C57C1B4A4AA2EB6E6EFE407FFD</vt:lpwstr>
  </property>
</Properties>
</file>