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7960" w14:textId="36AB3337" w:rsidR="007050E5" w:rsidRDefault="007050E5" w:rsidP="007050E5">
      <w:pPr>
        <w:autoSpaceDE/>
        <w:jc w:val="center"/>
        <w:rPr>
          <w:b/>
          <w:sz w:val="24"/>
        </w:rPr>
      </w:pPr>
      <w:bookmarkStart w:id="0" w:name="_GoBack"/>
      <w:bookmarkEnd w:id="0"/>
      <w:r>
        <w:rPr>
          <w:b/>
          <w:sz w:val="24"/>
        </w:rPr>
        <w:t>ATTACHMENT 1 – STATEMENT OF WORK</w:t>
      </w:r>
    </w:p>
    <w:p w14:paraId="06F923C8" w14:textId="77777777" w:rsidR="007050E5" w:rsidRDefault="007050E5" w:rsidP="007050E5">
      <w:pPr>
        <w:adjustRightInd w:val="0"/>
        <w:rPr>
          <w:b/>
          <w:bCs/>
          <w:color w:val="000000"/>
          <w:sz w:val="24"/>
        </w:rPr>
      </w:pPr>
    </w:p>
    <w:p w14:paraId="1EDE6336" w14:textId="77777777" w:rsidR="007050E5" w:rsidRDefault="00D8217E" w:rsidP="007050E5">
      <w:pPr>
        <w:adjustRightInd w:val="0"/>
        <w:rPr>
          <w:b/>
          <w:bCs/>
          <w:color w:val="000000"/>
          <w:sz w:val="24"/>
        </w:rPr>
      </w:pPr>
      <w:r>
        <w:rPr>
          <w:b/>
          <w:bCs/>
          <w:color w:val="000000"/>
          <w:sz w:val="24"/>
        </w:rPr>
        <w:t>1.0 INTRODUCTION</w:t>
      </w:r>
    </w:p>
    <w:p w14:paraId="5490C0E5" w14:textId="77777777" w:rsidR="007050E5" w:rsidRDefault="007050E5" w:rsidP="007050E5">
      <w:pPr>
        <w:adjustRightInd w:val="0"/>
        <w:rPr>
          <w:b/>
          <w:bCs/>
          <w:color w:val="000000"/>
          <w:sz w:val="24"/>
        </w:rPr>
      </w:pPr>
    </w:p>
    <w:p w14:paraId="5044E676" w14:textId="25732240" w:rsidR="007050E5" w:rsidRDefault="00FD31EF" w:rsidP="007050E5">
      <w:pPr>
        <w:autoSpaceDE/>
        <w:spacing w:after="200" w:line="276" w:lineRule="auto"/>
        <w:rPr>
          <w:sz w:val="24"/>
        </w:rPr>
      </w:pPr>
      <w:r>
        <w:rPr>
          <w:color w:val="000000"/>
          <w:sz w:val="24"/>
        </w:rPr>
        <w:t>1</w:t>
      </w:r>
      <w:r w:rsidR="00194C55">
        <w:rPr>
          <w:color w:val="000000"/>
          <w:sz w:val="24"/>
        </w:rPr>
        <w:t xml:space="preserve">.1 </w:t>
      </w:r>
      <w:r w:rsidR="00315AFC">
        <w:rPr>
          <w:sz w:val="24"/>
        </w:rPr>
        <w:t xml:space="preserve">This cooperative agreement (CA) is entered into between the United States of America, hereinafter called the Government, represented by the U.S. Army Contracting Command, Mission and Installation Contracting Command (MICC), and </w:t>
      </w:r>
      <w:r w:rsidR="00315AFC" w:rsidRPr="0068416D">
        <w:rPr>
          <w:sz w:val="24"/>
          <w:highlight w:val="yellow"/>
        </w:rPr>
        <w:t>PARTNER NAME</w:t>
      </w:r>
      <w:r w:rsidR="00315AFC">
        <w:rPr>
          <w:sz w:val="24"/>
        </w:rPr>
        <w:t xml:space="preserve"> (hereinafter referred to as Recipient or as </w:t>
      </w:r>
      <w:r w:rsidR="00315AFC">
        <w:rPr>
          <w:sz w:val="24"/>
          <w:highlight w:val="yellow"/>
        </w:rPr>
        <w:t>PARTNER INITIALS</w:t>
      </w:r>
      <w:r w:rsidR="00315AFC" w:rsidRPr="0068416D">
        <w:rPr>
          <w:sz w:val="24"/>
        </w:rPr>
        <w:t>).</w:t>
      </w:r>
    </w:p>
    <w:p w14:paraId="7E4A0B77" w14:textId="58543360" w:rsidR="007050E5" w:rsidRDefault="00174856" w:rsidP="007050E5">
      <w:pPr>
        <w:autoSpaceDE/>
        <w:spacing w:after="200" w:line="276" w:lineRule="auto"/>
        <w:rPr>
          <w:sz w:val="24"/>
        </w:rPr>
      </w:pPr>
      <w:r>
        <w:rPr>
          <w:sz w:val="24"/>
        </w:rPr>
        <w:t xml:space="preserve">1.2 </w:t>
      </w:r>
      <w:r w:rsidR="000834C2">
        <w:rPr>
          <w:sz w:val="24"/>
        </w:rPr>
        <w:t>Fort Huachuca</w:t>
      </w:r>
      <w:r w:rsidR="007050E5">
        <w:rPr>
          <w:sz w:val="24"/>
        </w:rPr>
        <w:t>, with the concurrence of the Department of the Army</w:t>
      </w:r>
      <w:r w:rsidR="00946888">
        <w:rPr>
          <w:sz w:val="24"/>
        </w:rPr>
        <w:t>,</w:t>
      </w:r>
      <w:r w:rsidR="007050E5">
        <w:rPr>
          <w:sz w:val="24"/>
        </w:rPr>
        <w:t xml:space="preserve"> has determined that it is in the best interest of the Army to take steps necessary to create the Army Compatible Use Buffers (ACUBs) for the protection of open lands and other natural resources to avoid or minimize potential adverse impacts to </w:t>
      </w:r>
      <w:r w:rsidR="000834C2">
        <w:rPr>
          <w:sz w:val="24"/>
        </w:rPr>
        <w:t>Fort Huachuca</w:t>
      </w:r>
      <w:r w:rsidR="009070C2">
        <w:rPr>
          <w:sz w:val="24"/>
        </w:rPr>
        <w:t>’s</w:t>
      </w:r>
      <w:r>
        <w:rPr>
          <w:sz w:val="24"/>
        </w:rPr>
        <w:t xml:space="preserve"> </w:t>
      </w:r>
      <w:r w:rsidR="00E02E8E">
        <w:rPr>
          <w:sz w:val="24"/>
        </w:rPr>
        <w:t>training</w:t>
      </w:r>
      <w:r>
        <w:rPr>
          <w:sz w:val="24"/>
        </w:rPr>
        <w:t xml:space="preserve"> </w:t>
      </w:r>
      <w:r w:rsidR="007050E5">
        <w:rPr>
          <w:sz w:val="24"/>
        </w:rPr>
        <w:t xml:space="preserve">mission. </w:t>
      </w:r>
    </w:p>
    <w:p w14:paraId="79A6C2D2" w14:textId="5E437DC5" w:rsidR="007050E5" w:rsidRDefault="007050E5" w:rsidP="007050E5">
      <w:pPr>
        <w:autoSpaceDE/>
        <w:spacing w:after="200" w:line="276" w:lineRule="auto"/>
        <w:rPr>
          <w:sz w:val="24"/>
        </w:rPr>
      </w:pPr>
      <w:r>
        <w:rPr>
          <w:sz w:val="24"/>
        </w:rPr>
        <w:t xml:space="preserve">1.3 The development of lands in the vicinity of </w:t>
      </w:r>
      <w:r w:rsidR="000834C2">
        <w:rPr>
          <w:sz w:val="24"/>
        </w:rPr>
        <w:t>Fort Huachuca</w:t>
      </w:r>
      <w:r w:rsidR="00174856">
        <w:rPr>
          <w:sz w:val="24"/>
        </w:rPr>
        <w:t xml:space="preserve"> </w:t>
      </w:r>
      <w:r>
        <w:rPr>
          <w:sz w:val="24"/>
        </w:rPr>
        <w:t xml:space="preserve">for incompatible purposes will </w:t>
      </w:r>
      <w:r w:rsidR="004D7577">
        <w:rPr>
          <w:sz w:val="24"/>
        </w:rPr>
        <w:t xml:space="preserve">likely </w:t>
      </w:r>
      <w:r>
        <w:rPr>
          <w:sz w:val="24"/>
        </w:rPr>
        <w:t xml:space="preserve">result in conflicts and land use restrictions adversely impacting necessary military activities. ACUBs preserving open lands and natural resources near </w:t>
      </w:r>
      <w:r w:rsidR="000834C2">
        <w:rPr>
          <w:sz w:val="24"/>
        </w:rPr>
        <w:t>Fort Huachuca</w:t>
      </w:r>
      <w:r w:rsidR="00174856">
        <w:rPr>
          <w:sz w:val="24"/>
        </w:rPr>
        <w:t xml:space="preserve"> w</w:t>
      </w:r>
      <w:r>
        <w:rPr>
          <w:sz w:val="24"/>
        </w:rPr>
        <w:t xml:space="preserve">ill lessen land-use restrictions on military lands and programs. </w:t>
      </w:r>
    </w:p>
    <w:p w14:paraId="0D8CF664" w14:textId="150965CA" w:rsidR="007050E5" w:rsidRDefault="007050E5" w:rsidP="007050E5">
      <w:pPr>
        <w:autoSpaceDE/>
        <w:spacing w:after="200" w:line="276" w:lineRule="auto"/>
        <w:rPr>
          <w:sz w:val="24"/>
        </w:rPr>
      </w:pPr>
      <w:r>
        <w:rPr>
          <w:sz w:val="24"/>
        </w:rPr>
        <w:t xml:space="preserve">1.4 A significant and necessary element of ACUBs is the limiting of and planned management of residential </w:t>
      </w:r>
      <w:r w:rsidR="00946888">
        <w:rPr>
          <w:sz w:val="24"/>
        </w:rPr>
        <w:t>and/</w:t>
      </w:r>
      <w:r>
        <w:rPr>
          <w:sz w:val="24"/>
        </w:rPr>
        <w:t>or commercial development of properties adjacent to or in the vic</w:t>
      </w:r>
      <w:r w:rsidR="004D7577">
        <w:rPr>
          <w:sz w:val="24"/>
        </w:rPr>
        <w:t>inity of installations</w:t>
      </w:r>
      <w:r w:rsidR="001F7CF0">
        <w:rPr>
          <w:sz w:val="24"/>
        </w:rPr>
        <w:t xml:space="preserve"> and their mission activities</w:t>
      </w:r>
      <w:r>
        <w:rPr>
          <w:sz w:val="24"/>
        </w:rPr>
        <w:t xml:space="preserve">. Management of such development can be achieved by acquiring permanent easements or other land use controls that restrict development of open lands and conserve natural resources adjacent to or in the vicinity of </w:t>
      </w:r>
      <w:r w:rsidR="004D7577">
        <w:rPr>
          <w:sz w:val="24"/>
        </w:rPr>
        <w:t>install</w:t>
      </w:r>
      <w:r w:rsidR="000259AA">
        <w:rPr>
          <w:sz w:val="24"/>
        </w:rPr>
        <w:t>ations</w:t>
      </w:r>
      <w:r w:rsidR="001F7CF0">
        <w:rPr>
          <w:sz w:val="24"/>
        </w:rPr>
        <w:t xml:space="preserve"> and their mission activities</w:t>
      </w:r>
      <w:r w:rsidR="000259AA">
        <w:rPr>
          <w:sz w:val="24"/>
        </w:rPr>
        <w:t xml:space="preserve">. </w:t>
      </w:r>
      <w:r w:rsidR="004D7577">
        <w:rPr>
          <w:sz w:val="24"/>
        </w:rPr>
        <w:t>Th</w:t>
      </w:r>
      <w:r>
        <w:rPr>
          <w:sz w:val="24"/>
        </w:rPr>
        <w:t>ese land use actions will restrict development of private lands but allow for continued private ownership and may permit compatible open space uses such as, but not limited to</w:t>
      </w:r>
      <w:r w:rsidR="00946888">
        <w:rPr>
          <w:sz w:val="24"/>
        </w:rPr>
        <w:t>:</w:t>
      </w:r>
      <w:r>
        <w:rPr>
          <w:sz w:val="24"/>
        </w:rPr>
        <w:t xml:space="preserve"> agricultural, ranching, utility infrastructure, and passive outdoor low intensity recreation. </w:t>
      </w:r>
    </w:p>
    <w:p w14:paraId="786DAF0E" w14:textId="61DE549E" w:rsidR="007C2A0E" w:rsidRDefault="00EA4054" w:rsidP="007050E5">
      <w:pPr>
        <w:autoSpaceDE/>
        <w:spacing w:after="200" w:line="276" w:lineRule="auto"/>
        <w:rPr>
          <w:sz w:val="24"/>
        </w:rPr>
      </w:pPr>
      <w:r>
        <w:rPr>
          <w:sz w:val="24"/>
        </w:rPr>
        <w:t xml:space="preserve">1.5 </w:t>
      </w:r>
      <w:r w:rsidR="007C2A0E" w:rsidRPr="007C2A0E">
        <w:rPr>
          <w:sz w:val="24"/>
        </w:rPr>
        <w:t xml:space="preserve">Recipient certifies and represents that it is a not-for-profit corporation, organized and incorporated under the laws of the State of </w:t>
      </w:r>
      <w:r w:rsidR="007C2A0E">
        <w:rPr>
          <w:sz w:val="24"/>
        </w:rPr>
        <w:t xml:space="preserve">Arizona </w:t>
      </w:r>
      <w:r w:rsidR="007C2A0E" w:rsidRPr="007C2A0E">
        <w:rPr>
          <w:sz w:val="24"/>
        </w:rPr>
        <w:t xml:space="preserve">and authorized to conduct business in the State of </w:t>
      </w:r>
      <w:r w:rsidR="007C2A0E">
        <w:rPr>
          <w:sz w:val="24"/>
        </w:rPr>
        <w:t>Arizona</w:t>
      </w:r>
      <w:r w:rsidR="007C2A0E" w:rsidRPr="007C2A0E">
        <w:rPr>
          <w:sz w:val="24"/>
        </w:rPr>
        <w:t xml:space="preserve">. The stated principal organizational purpose of </w:t>
      </w:r>
      <w:r w:rsidR="007C2A0E" w:rsidRPr="007C2A0E">
        <w:rPr>
          <w:sz w:val="24"/>
          <w:highlight w:val="yellow"/>
        </w:rPr>
        <w:t>PARTNER</w:t>
      </w:r>
      <w:r w:rsidR="007C2A0E" w:rsidRPr="007C2A0E">
        <w:rPr>
          <w:sz w:val="24"/>
        </w:rPr>
        <w:t xml:space="preserve"> is </w:t>
      </w:r>
      <w:r w:rsidR="007C2A0E" w:rsidRPr="007C2A0E">
        <w:rPr>
          <w:sz w:val="24"/>
          <w:highlight w:val="yellow"/>
        </w:rPr>
        <w:t>INSERT MISSION STATEMENT</w:t>
      </w:r>
      <w:r w:rsidR="007C2A0E" w:rsidRPr="007C2A0E">
        <w:rPr>
          <w:sz w:val="24"/>
        </w:rPr>
        <w:t xml:space="preserve"> and therefore is an eligible entity in accordance with 10 U.S.C. § 2684a(b)(2).</w:t>
      </w:r>
    </w:p>
    <w:p w14:paraId="52843DF0" w14:textId="40BF7874" w:rsidR="007050E5" w:rsidRDefault="007050E5" w:rsidP="007050E5">
      <w:pPr>
        <w:autoSpaceDE/>
        <w:spacing w:after="200" w:line="276" w:lineRule="auto"/>
        <w:rPr>
          <w:sz w:val="24"/>
        </w:rPr>
      </w:pPr>
      <w:r>
        <w:rPr>
          <w:sz w:val="24"/>
        </w:rPr>
        <w:t xml:space="preserve">1.6 </w:t>
      </w:r>
      <w:r w:rsidR="00194C55">
        <w:rPr>
          <w:sz w:val="24"/>
        </w:rPr>
        <w:t>The</w:t>
      </w:r>
      <w:r>
        <w:rPr>
          <w:sz w:val="24"/>
        </w:rPr>
        <w:t xml:space="preserve"> </w:t>
      </w:r>
      <w:r w:rsidR="00194C55">
        <w:rPr>
          <w:sz w:val="24"/>
        </w:rPr>
        <w:t>Recipient</w:t>
      </w:r>
      <w:r>
        <w:rPr>
          <w:sz w:val="24"/>
        </w:rPr>
        <w:t xml:space="preserve"> is committed to working with </w:t>
      </w:r>
      <w:r w:rsidR="000834C2">
        <w:rPr>
          <w:sz w:val="24"/>
        </w:rPr>
        <w:t>Fort Huachuca</w:t>
      </w:r>
      <w:r w:rsidR="00174856">
        <w:rPr>
          <w:sz w:val="24"/>
        </w:rPr>
        <w:t xml:space="preserve"> </w:t>
      </w:r>
      <w:r>
        <w:rPr>
          <w:sz w:val="24"/>
        </w:rPr>
        <w:t xml:space="preserve">to preserve open space and natural resources near </w:t>
      </w:r>
      <w:r w:rsidR="000834C2">
        <w:rPr>
          <w:sz w:val="24"/>
        </w:rPr>
        <w:t>Fort Huachuca</w:t>
      </w:r>
      <w:r w:rsidR="00174856">
        <w:rPr>
          <w:sz w:val="24"/>
        </w:rPr>
        <w:t xml:space="preserve"> </w:t>
      </w:r>
      <w:r>
        <w:rPr>
          <w:sz w:val="24"/>
        </w:rPr>
        <w:t xml:space="preserve">to avoid or minimize the potential for adverse impacts to </w:t>
      </w:r>
      <w:r w:rsidR="000834C2">
        <w:rPr>
          <w:sz w:val="24"/>
        </w:rPr>
        <w:t>Fort Huachuca</w:t>
      </w:r>
      <w:r w:rsidR="00194C55">
        <w:rPr>
          <w:sz w:val="24"/>
        </w:rPr>
        <w:t>’s</w:t>
      </w:r>
      <w:r w:rsidR="00174856">
        <w:rPr>
          <w:sz w:val="24"/>
        </w:rPr>
        <w:t xml:space="preserve"> testing </w:t>
      </w:r>
      <w:r w:rsidR="002B4220">
        <w:rPr>
          <w:sz w:val="24"/>
        </w:rPr>
        <w:t xml:space="preserve">and training </w:t>
      </w:r>
      <w:r>
        <w:rPr>
          <w:sz w:val="24"/>
        </w:rPr>
        <w:t xml:space="preserve">mission. </w:t>
      </w:r>
    </w:p>
    <w:p w14:paraId="29DA82A3" w14:textId="294BF171" w:rsidR="007050E5" w:rsidRDefault="007050E5" w:rsidP="00821342">
      <w:pPr>
        <w:autoSpaceDE/>
        <w:spacing w:after="200" w:line="276" w:lineRule="auto"/>
        <w:rPr>
          <w:sz w:val="24"/>
        </w:rPr>
      </w:pPr>
      <w:r>
        <w:rPr>
          <w:sz w:val="24"/>
        </w:rPr>
        <w:t xml:space="preserve">1.7 </w:t>
      </w:r>
      <w:r w:rsidR="00194C55">
        <w:rPr>
          <w:sz w:val="24"/>
        </w:rPr>
        <w:t>Recipient</w:t>
      </w:r>
      <w:r>
        <w:rPr>
          <w:sz w:val="24"/>
        </w:rPr>
        <w:t xml:space="preserve"> trustees have the proven expertise to encumber private lands with permanent conservation easements</w:t>
      </w:r>
      <w:r w:rsidR="006051DD">
        <w:rPr>
          <w:sz w:val="24"/>
        </w:rPr>
        <w:t xml:space="preserve"> or other means</w:t>
      </w:r>
      <w:r>
        <w:rPr>
          <w:sz w:val="24"/>
        </w:rPr>
        <w:t>, and to collaborat</w:t>
      </w:r>
      <w:r w:rsidR="00946888">
        <w:rPr>
          <w:sz w:val="24"/>
        </w:rPr>
        <w:t>e</w:t>
      </w:r>
      <w:r>
        <w:rPr>
          <w:sz w:val="24"/>
        </w:rPr>
        <w:t xml:space="preserve"> with private landowners and public agencies to develop land use plans that provide for land uses that are c</w:t>
      </w:r>
      <w:r w:rsidR="00821342">
        <w:rPr>
          <w:sz w:val="24"/>
        </w:rPr>
        <w:t xml:space="preserve">onsistent with such easements. </w:t>
      </w:r>
    </w:p>
    <w:p w14:paraId="3ED275E4" w14:textId="720B186D" w:rsidR="007050E5" w:rsidRDefault="00FD31EF" w:rsidP="007050E5">
      <w:pPr>
        <w:autoSpaceDE/>
        <w:spacing w:after="200" w:line="276" w:lineRule="auto"/>
        <w:rPr>
          <w:sz w:val="24"/>
        </w:rPr>
      </w:pPr>
      <w:r>
        <w:rPr>
          <w:sz w:val="24"/>
        </w:rPr>
        <w:t>2</w:t>
      </w:r>
      <w:r w:rsidR="007050E5">
        <w:rPr>
          <w:sz w:val="24"/>
        </w:rPr>
        <w:t>.</w:t>
      </w:r>
      <w:r>
        <w:rPr>
          <w:sz w:val="24"/>
        </w:rPr>
        <w:t>0</w:t>
      </w:r>
      <w:r w:rsidR="007050E5">
        <w:rPr>
          <w:sz w:val="24"/>
        </w:rPr>
        <w:t xml:space="preserve"> </w:t>
      </w:r>
      <w:r w:rsidR="007050E5">
        <w:rPr>
          <w:b/>
          <w:bCs/>
          <w:sz w:val="24"/>
        </w:rPr>
        <w:t xml:space="preserve">BACKGROUND </w:t>
      </w:r>
    </w:p>
    <w:p w14:paraId="2B017B07" w14:textId="1978ACF8" w:rsidR="007050E5" w:rsidRDefault="00FD31EF" w:rsidP="007050E5">
      <w:pPr>
        <w:autoSpaceDE/>
        <w:spacing w:after="200" w:line="276" w:lineRule="auto"/>
        <w:rPr>
          <w:sz w:val="24"/>
        </w:rPr>
      </w:pPr>
      <w:r>
        <w:rPr>
          <w:sz w:val="24"/>
        </w:rPr>
        <w:lastRenderedPageBreak/>
        <w:t>2</w:t>
      </w:r>
      <w:r w:rsidR="007050E5">
        <w:rPr>
          <w:sz w:val="24"/>
        </w:rPr>
        <w:t xml:space="preserve">.1 Intensive uses of lands adjacent to </w:t>
      </w:r>
      <w:r w:rsidR="000834C2">
        <w:rPr>
          <w:sz w:val="24"/>
        </w:rPr>
        <w:t>Fort Huachuca</w:t>
      </w:r>
      <w:r w:rsidR="00174856">
        <w:rPr>
          <w:sz w:val="24"/>
        </w:rPr>
        <w:t xml:space="preserve"> </w:t>
      </w:r>
      <w:r w:rsidR="007050E5">
        <w:rPr>
          <w:sz w:val="24"/>
        </w:rPr>
        <w:t>and other military installations have resulted in a threat of curtailment of significant t</w:t>
      </w:r>
      <w:r w:rsidR="00B14B25">
        <w:rPr>
          <w:sz w:val="24"/>
        </w:rPr>
        <w:t>esting and t</w:t>
      </w:r>
      <w:r w:rsidR="007050E5">
        <w:rPr>
          <w:sz w:val="24"/>
        </w:rPr>
        <w:t>raining functions or other mission activities at</w:t>
      </w:r>
      <w:r w:rsidR="00174856">
        <w:rPr>
          <w:sz w:val="24"/>
        </w:rPr>
        <w:t xml:space="preserve"> </w:t>
      </w:r>
      <w:r w:rsidR="000834C2">
        <w:rPr>
          <w:sz w:val="24"/>
        </w:rPr>
        <w:t>Fort Huachuca</w:t>
      </w:r>
      <w:r w:rsidR="00174856">
        <w:rPr>
          <w:sz w:val="24"/>
        </w:rPr>
        <w:t xml:space="preserve"> </w:t>
      </w:r>
      <w:r w:rsidR="007050E5">
        <w:rPr>
          <w:sz w:val="24"/>
        </w:rPr>
        <w:t>and elsewhere. The scope of this CA allows for the acquisition of land or an interest in land and/or water rights</w:t>
      </w:r>
      <w:r w:rsidR="002B7B71">
        <w:rPr>
          <w:sz w:val="24"/>
        </w:rPr>
        <w:t xml:space="preserve">, by </w:t>
      </w:r>
      <w:r w:rsidR="00194C55">
        <w:rPr>
          <w:sz w:val="24"/>
        </w:rPr>
        <w:t>Recipient</w:t>
      </w:r>
      <w:r w:rsidR="002B7B71">
        <w:rPr>
          <w:sz w:val="24"/>
        </w:rPr>
        <w:t xml:space="preserve">, in order to protect those </w:t>
      </w:r>
      <w:r w:rsidR="00194C55">
        <w:rPr>
          <w:sz w:val="24"/>
        </w:rPr>
        <w:t xml:space="preserve">testing, </w:t>
      </w:r>
      <w:r w:rsidR="002B7B71">
        <w:rPr>
          <w:sz w:val="24"/>
        </w:rPr>
        <w:t>training and mission activities</w:t>
      </w:r>
      <w:r w:rsidR="007050E5">
        <w:rPr>
          <w:sz w:val="24"/>
        </w:rPr>
        <w:t xml:space="preserve">. </w:t>
      </w:r>
    </w:p>
    <w:p w14:paraId="72D99528" w14:textId="30E7687D" w:rsidR="007050E5" w:rsidRDefault="00FD31EF" w:rsidP="007050E5">
      <w:pPr>
        <w:autoSpaceDE/>
        <w:spacing w:after="200" w:line="276" w:lineRule="auto"/>
        <w:rPr>
          <w:sz w:val="24"/>
        </w:rPr>
      </w:pPr>
      <w:r>
        <w:rPr>
          <w:sz w:val="24"/>
        </w:rPr>
        <w:t>2</w:t>
      </w:r>
      <w:r w:rsidR="007050E5">
        <w:rPr>
          <w:sz w:val="24"/>
        </w:rPr>
        <w:t xml:space="preserve">.2 Many promising concepts and strategies for development of ACUBs have been developed by the Department of the Army and private conservation organizations. They include the purchase of </w:t>
      </w:r>
      <w:r w:rsidR="00DE734B">
        <w:rPr>
          <w:sz w:val="24"/>
        </w:rPr>
        <w:t>interests in real property</w:t>
      </w:r>
      <w:r w:rsidR="007050E5">
        <w:rPr>
          <w:sz w:val="24"/>
        </w:rPr>
        <w:t xml:space="preserve"> restricting inappropriate land uses, providing for compatible open space land uses, and engaging local communities in land use planning efforts. Any funding of these efforts is subject to the availability of funding. </w:t>
      </w:r>
    </w:p>
    <w:p w14:paraId="0D7A2DD6" w14:textId="4E6B51DB" w:rsidR="00702C28" w:rsidRDefault="00FD31EF" w:rsidP="004A1FD8">
      <w:pPr>
        <w:adjustRightInd w:val="0"/>
        <w:rPr>
          <w:sz w:val="24"/>
        </w:rPr>
      </w:pPr>
      <w:r>
        <w:rPr>
          <w:sz w:val="24"/>
        </w:rPr>
        <w:t>2</w:t>
      </w:r>
      <w:r w:rsidR="00DE734B">
        <w:rPr>
          <w:sz w:val="24"/>
        </w:rPr>
        <w:t>.3</w:t>
      </w:r>
      <w:r w:rsidR="007050E5">
        <w:rPr>
          <w:sz w:val="24"/>
        </w:rPr>
        <w:t xml:space="preserve"> There is continuing urgency in implementing an ACUB at </w:t>
      </w:r>
      <w:r w:rsidR="000834C2">
        <w:rPr>
          <w:sz w:val="24"/>
        </w:rPr>
        <w:t>Fort Huachuca</w:t>
      </w:r>
      <w:r w:rsidR="00174856">
        <w:rPr>
          <w:sz w:val="24"/>
        </w:rPr>
        <w:t xml:space="preserve"> </w:t>
      </w:r>
      <w:r w:rsidR="007050E5">
        <w:rPr>
          <w:sz w:val="24"/>
        </w:rPr>
        <w:t xml:space="preserve">that is underscored by the rapid development of residential and commercial land uses on properties adjacent to </w:t>
      </w:r>
      <w:r w:rsidR="000834C2">
        <w:rPr>
          <w:sz w:val="24"/>
        </w:rPr>
        <w:t>Fort Huachuca</w:t>
      </w:r>
      <w:r w:rsidR="007050E5">
        <w:rPr>
          <w:sz w:val="24"/>
        </w:rPr>
        <w:t xml:space="preserve">. </w:t>
      </w:r>
      <w:r w:rsidR="00702C28">
        <w:rPr>
          <w:sz w:val="24"/>
        </w:rPr>
        <w:t>Limiting development on t</w:t>
      </w:r>
      <w:r w:rsidR="007050E5">
        <w:rPr>
          <w:sz w:val="24"/>
        </w:rPr>
        <w:t xml:space="preserve">he private parcels of land along the boundaries </w:t>
      </w:r>
      <w:r w:rsidR="00870655">
        <w:rPr>
          <w:sz w:val="24"/>
        </w:rPr>
        <w:t xml:space="preserve">and in the vicinity </w:t>
      </w:r>
      <w:r w:rsidR="007050E5">
        <w:rPr>
          <w:sz w:val="24"/>
        </w:rPr>
        <w:t xml:space="preserve">of </w:t>
      </w:r>
      <w:r w:rsidR="000834C2">
        <w:rPr>
          <w:sz w:val="24"/>
        </w:rPr>
        <w:t>Fort Huachuca</w:t>
      </w:r>
      <w:r w:rsidR="00174856">
        <w:rPr>
          <w:sz w:val="24"/>
        </w:rPr>
        <w:t xml:space="preserve"> </w:t>
      </w:r>
      <w:r w:rsidR="007050E5">
        <w:rPr>
          <w:sz w:val="24"/>
        </w:rPr>
        <w:t>would serve to buffer the installation</w:t>
      </w:r>
      <w:r w:rsidR="001F7CF0">
        <w:rPr>
          <w:sz w:val="24"/>
        </w:rPr>
        <w:t xml:space="preserve"> and mission </w:t>
      </w:r>
      <w:r w:rsidR="00C60433">
        <w:rPr>
          <w:sz w:val="24"/>
        </w:rPr>
        <w:t>activities</w:t>
      </w:r>
      <w:r w:rsidR="007050E5">
        <w:rPr>
          <w:sz w:val="24"/>
        </w:rPr>
        <w:t xml:space="preserve"> from rapidly expanding incompatible land uses. </w:t>
      </w:r>
      <w:r w:rsidR="00946888">
        <w:rPr>
          <w:sz w:val="24"/>
        </w:rPr>
        <w:t>The</w:t>
      </w:r>
      <w:r w:rsidR="007050E5">
        <w:rPr>
          <w:sz w:val="24"/>
        </w:rPr>
        <w:t xml:space="preserve"> </w:t>
      </w:r>
      <w:r w:rsidR="00194C55">
        <w:rPr>
          <w:sz w:val="24"/>
        </w:rPr>
        <w:t>Recipient</w:t>
      </w:r>
      <w:r w:rsidR="00702C28" w:rsidRPr="00C64526">
        <w:rPr>
          <w:sz w:val="24"/>
        </w:rPr>
        <w:t xml:space="preserve"> must </w:t>
      </w:r>
      <w:r w:rsidR="00702C28" w:rsidRPr="00C64526">
        <w:rPr>
          <w:rFonts w:eastAsiaTheme="minorHAnsi"/>
          <w:sz w:val="24"/>
        </w:rPr>
        <w:t>have as its stated principal</w:t>
      </w:r>
      <w:r w:rsidR="00D0292E">
        <w:rPr>
          <w:rFonts w:eastAsiaTheme="minorHAnsi"/>
          <w:sz w:val="24"/>
        </w:rPr>
        <w:t>,</w:t>
      </w:r>
      <w:r w:rsidR="00702C28" w:rsidRPr="00C64526">
        <w:rPr>
          <w:rFonts w:eastAsiaTheme="minorHAnsi"/>
          <w:sz w:val="24"/>
        </w:rPr>
        <w:t xml:space="preserve"> organizational purpose or goal the conservation, restoration, or preservation of land and natural resources.</w:t>
      </w:r>
      <w:r w:rsidR="007050E5">
        <w:rPr>
          <w:sz w:val="24"/>
        </w:rPr>
        <w:t xml:space="preserve"> </w:t>
      </w:r>
      <w:r w:rsidR="00702C28">
        <w:rPr>
          <w:sz w:val="24"/>
        </w:rPr>
        <w:t xml:space="preserve"> </w:t>
      </w:r>
      <w:r w:rsidR="000834C2">
        <w:rPr>
          <w:sz w:val="24"/>
        </w:rPr>
        <w:t>Fort Huachuca</w:t>
      </w:r>
      <w:r w:rsidR="00174856">
        <w:rPr>
          <w:sz w:val="24"/>
        </w:rPr>
        <w:t xml:space="preserve"> </w:t>
      </w:r>
      <w:r w:rsidR="00702C28">
        <w:rPr>
          <w:sz w:val="24"/>
        </w:rPr>
        <w:t>will</w:t>
      </w:r>
      <w:r w:rsidR="007050E5">
        <w:rPr>
          <w:sz w:val="24"/>
        </w:rPr>
        <w:t xml:space="preserve"> determine that each encumbrance will b</w:t>
      </w:r>
      <w:r w:rsidR="00E02E8E">
        <w:rPr>
          <w:sz w:val="24"/>
        </w:rPr>
        <w:t xml:space="preserve">e consistent with </w:t>
      </w:r>
      <w:r w:rsidR="00702C28">
        <w:rPr>
          <w:sz w:val="24"/>
        </w:rPr>
        <w:t>its</w:t>
      </w:r>
      <w:r w:rsidR="00E02E8E">
        <w:rPr>
          <w:sz w:val="24"/>
        </w:rPr>
        <w:t xml:space="preserve"> mission </w:t>
      </w:r>
      <w:r w:rsidR="007050E5">
        <w:rPr>
          <w:sz w:val="24"/>
        </w:rPr>
        <w:t>objectives</w:t>
      </w:r>
      <w:r w:rsidR="009B77BB">
        <w:rPr>
          <w:sz w:val="24"/>
        </w:rPr>
        <w:t xml:space="preserve"> as stated in 1.2</w:t>
      </w:r>
      <w:r w:rsidR="007050E5">
        <w:rPr>
          <w:sz w:val="24"/>
        </w:rPr>
        <w:t xml:space="preserve">. </w:t>
      </w:r>
    </w:p>
    <w:p w14:paraId="3519E895" w14:textId="0CBFEAB8" w:rsidR="007050E5" w:rsidRPr="004A1FD8" w:rsidRDefault="007050E5" w:rsidP="004A1FD8">
      <w:pPr>
        <w:adjustRightInd w:val="0"/>
        <w:rPr>
          <w:rFonts w:ascii="MIonic" w:eastAsiaTheme="minorHAnsi" w:hAnsi="MIonic" w:cs="MIonic"/>
          <w:sz w:val="16"/>
          <w:szCs w:val="16"/>
        </w:rPr>
      </w:pPr>
    </w:p>
    <w:p w14:paraId="3DFC75F8" w14:textId="4F543800" w:rsidR="007050E5" w:rsidRDefault="00FD31EF" w:rsidP="007050E5">
      <w:pPr>
        <w:autoSpaceDE/>
        <w:spacing w:after="200" w:line="276" w:lineRule="auto"/>
        <w:rPr>
          <w:sz w:val="24"/>
        </w:rPr>
      </w:pPr>
      <w:r>
        <w:rPr>
          <w:sz w:val="24"/>
        </w:rPr>
        <w:t>3.0</w:t>
      </w:r>
      <w:r w:rsidR="007050E5">
        <w:rPr>
          <w:sz w:val="24"/>
        </w:rPr>
        <w:t xml:space="preserve"> </w:t>
      </w:r>
      <w:r w:rsidR="007050E5">
        <w:rPr>
          <w:b/>
          <w:bCs/>
          <w:sz w:val="24"/>
        </w:rPr>
        <w:t>OBJECTIVES</w:t>
      </w:r>
    </w:p>
    <w:p w14:paraId="49A2EF8E" w14:textId="0C4B12D8" w:rsidR="00133C9B" w:rsidRDefault="00FD31EF" w:rsidP="007050E5">
      <w:pPr>
        <w:autoSpaceDE/>
        <w:spacing w:after="200" w:line="276" w:lineRule="auto"/>
        <w:rPr>
          <w:sz w:val="24"/>
        </w:rPr>
      </w:pPr>
      <w:r>
        <w:rPr>
          <w:sz w:val="24"/>
        </w:rPr>
        <w:t>3.1</w:t>
      </w:r>
      <w:r w:rsidR="007050E5">
        <w:rPr>
          <w:sz w:val="24"/>
        </w:rPr>
        <w:t xml:space="preserve"> </w:t>
      </w:r>
      <w:r w:rsidR="006E1369">
        <w:rPr>
          <w:sz w:val="24"/>
        </w:rPr>
        <w:t>This CA’s primary purpose is to s</w:t>
      </w:r>
      <w:r w:rsidR="007050E5">
        <w:rPr>
          <w:sz w:val="24"/>
        </w:rPr>
        <w:t xml:space="preserve">upport and sustain the military mission </w:t>
      </w:r>
      <w:r w:rsidR="00333FAB">
        <w:rPr>
          <w:sz w:val="24"/>
        </w:rPr>
        <w:t>and help facilitate future t</w:t>
      </w:r>
      <w:r w:rsidR="00B14B25">
        <w:rPr>
          <w:sz w:val="24"/>
        </w:rPr>
        <w:t>esting and t</w:t>
      </w:r>
      <w:r w:rsidR="00333FAB">
        <w:rPr>
          <w:sz w:val="24"/>
        </w:rPr>
        <w:t xml:space="preserve">raining requirements at </w:t>
      </w:r>
      <w:r w:rsidR="000834C2">
        <w:rPr>
          <w:sz w:val="24"/>
        </w:rPr>
        <w:t>Fort Huachuca</w:t>
      </w:r>
      <w:r w:rsidR="00174856">
        <w:rPr>
          <w:sz w:val="24"/>
        </w:rPr>
        <w:t xml:space="preserve"> </w:t>
      </w:r>
      <w:r w:rsidR="007050E5">
        <w:rPr>
          <w:sz w:val="24"/>
        </w:rPr>
        <w:t xml:space="preserve">through </w:t>
      </w:r>
      <w:r w:rsidR="00870655">
        <w:rPr>
          <w:sz w:val="24"/>
        </w:rPr>
        <w:t xml:space="preserve">prevention, reduction, or </w:t>
      </w:r>
      <w:r w:rsidR="007050E5">
        <w:rPr>
          <w:sz w:val="24"/>
        </w:rPr>
        <w:t xml:space="preserve">elimination of incompatible land uses on properties adjacent to </w:t>
      </w:r>
      <w:r w:rsidR="00DE734B">
        <w:rPr>
          <w:sz w:val="24"/>
        </w:rPr>
        <w:t>and/or</w:t>
      </w:r>
      <w:r w:rsidR="00870655">
        <w:rPr>
          <w:sz w:val="24"/>
        </w:rPr>
        <w:t xml:space="preserve"> in the vicinity of </w:t>
      </w:r>
      <w:r w:rsidR="000834C2">
        <w:rPr>
          <w:sz w:val="24"/>
        </w:rPr>
        <w:t>Fort Huachuca</w:t>
      </w:r>
      <w:r w:rsidR="00D93D58">
        <w:rPr>
          <w:sz w:val="24"/>
        </w:rPr>
        <w:t xml:space="preserve"> and their mission activities</w:t>
      </w:r>
      <w:r w:rsidR="006E1369">
        <w:rPr>
          <w:sz w:val="24"/>
        </w:rPr>
        <w:t xml:space="preserve">. This is </w:t>
      </w:r>
      <w:r w:rsidR="006E1369" w:rsidRPr="006E1369">
        <w:rPr>
          <w:sz w:val="24"/>
        </w:rPr>
        <w:t>achieved by encumbering private property with permanent</w:t>
      </w:r>
      <w:r w:rsidR="00333FAB" w:rsidRPr="006E1369">
        <w:rPr>
          <w:sz w:val="24"/>
        </w:rPr>
        <w:t xml:space="preserve"> easements or similar permanent land use restrictions. </w:t>
      </w:r>
    </w:p>
    <w:p w14:paraId="4A5E866F" w14:textId="77777777" w:rsidR="000B2766" w:rsidRDefault="003165AC" w:rsidP="007050E5">
      <w:pPr>
        <w:autoSpaceDE/>
        <w:spacing w:after="200" w:line="276" w:lineRule="auto"/>
        <w:rPr>
          <w:sz w:val="24"/>
        </w:rPr>
      </w:pPr>
      <w:r w:rsidRPr="003165AC">
        <w:rPr>
          <w:sz w:val="24"/>
        </w:rPr>
        <w:t>3.2 By limiting incompatible land uses near Fort Huachuca, this CA will indirectly serve to conserve significant sections of open lands near Fort Huachuca to allow for continued land uses such as ranching and grazing.  Limiting incompatible land uses will also serve to protect water quality and watersheds, stabilize the regional water table, and allow for low impact outdoor recreation opportunities on these lands.</w:t>
      </w:r>
    </w:p>
    <w:p w14:paraId="03E6A39D" w14:textId="4DF14BC9" w:rsidR="00821342" w:rsidRDefault="00AD4449" w:rsidP="007050E5">
      <w:pPr>
        <w:autoSpaceDE/>
        <w:spacing w:after="200" w:line="276" w:lineRule="auto"/>
        <w:rPr>
          <w:sz w:val="24"/>
        </w:rPr>
      </w:pPr>
      <w:r w:rsidRPr="00725F86">
        <w:rPr>
          <w:sz w:val="24"/>
        </w:rPr>
        <w:t>3</w:t>
      </w:r>
      <w:r w:rsidR="00821342" w:rsidRPr="00725F86">
        <w:rPr>
          <w:sz w:val="24"/>
        </w:rPr>
        <w:t xml:space="preserve">.3 </w:t>
      </w:r>
      <w:r w:rsidR="00761406" w:rsidRPr="00725F86">
        <w:rPr>
          <w:sz w:val="24"/>
        </w:rPr>
        <w:t xml:space="preserve">This CA will also help Fort Huachuca meet the requirements in its </w:t>
      </w:r>
      <w:r w:rsidR="00761406" w:rsidRPr="00CB11C8">
        <w:rPr>
          <w:sz w:val="24"/>
          <w:highlight w:val="yellow"/>
        </w:rPr>
        <w:t>2014 Biological Opinion</w:t>
      </w:r>
      <w:r w:rsidR="00761406" w:rsidRPr="00725F86">
        <w:rPr>
          <w:sz w:val="24"/>
        </w:rPr>
        <w:t xml:space="preserve"> (BO).  </w:t>
      </w:r>
      <w:r w:rsidR="006B101A" w:rsidRPr="00725F86">
        <w:rPr>
          <w:sz w:val="24"/>
        </w:rPr>
        <w:t>Requirements in the BO include but are not limited to the Fort continuing integrated natural resource management, water-related mitigation measures (including reduction of groundwater withdrawals, and effluent and storm water reuse or recharge), endangered species conservation measures, and other associated conservation and mitigation actions such as conservation acquisitions (through purchase of fee-title or conservation easements).</w:t>
      </w:r>
      <w:r w:rsidR="00761406" w:rsidRPr="00725F86">
        <w:rPr>
          <w:sz w:val="24"/>
        </w:rPr>
        <w:t xml:space="preserve">  </w:t>
      </w:r>
    </w:p>
    <w:p w14:paraId="432C0D77" w14:textId="07258806" w:rsidR="007050E5" w:rsidRDefault="00FD31EF" w:rsidP="007050E5">
      <w:pPr>
        <w:autoSpaceDE/>
        <w:spacing w:after="200" w:line="276" w:lineRule="auto"/>
        <w:rPr>
          <w:sz w:val="24"/>
        </w:rPr>
      </w:pPr>
      <w:r>
        <w:rPr>
          <w:sz w:val="24"/>
        </w:rPr>
        <w:t>4.0</w:t>
      </w:r>
      <w:r w:rsidR="007050E5">
        <w:rPr>
          <w:sz w:val="24"/>
        </w:rPr>
        <w:t xml:space="preserve"> </w:t>
      </w:r>
      <w:r w:rsidR="00DE4244">
        <w:rPr>
          <w:b/>
          <w:bCs/>
          <w:sz w:val="24"/>
        </w:rPr>
        <w:t>RECIPIENT</w:t>
      </w:r>
      <w:r w:rsidR="007050E5">
        <w:rPr>
          <w:b/>
          <w:bCs/>
          <w:sz w:val="24"/>
        </w:rPr>
        <w:t xml:space="preserve"> PROJECT TASKS </w:t>
      </w:r>
    </w:p>
    <w:p w14:paraId="66FF69A5" w14:textId="753464C6" w:rsidR="005855AB" w:rsidRDefault="005855AB" w:rsidP="00826FAA">
      <w:pPr>
        <w:autoSpaceDE/>
        <w:spacing w:after="200" w:line="276" w:lineRule="auto"/>
        <w:rPr>
          <w:sz w:val="24"/>
        </w:rPr>
      </w:pPr>
      <w:r w:rsidRPr="005855AB">
        <w:rPr>
          <w:sz w:val="24"/>
        </w:rPr>
        <w:lastRenderedPageBreak/>
        <w:t>4.1 Recipient will work with Fort Huachuca to set priorities and develop an ACUB acquisition strategy that is appropriate for the long-term goal of meeting the purpose of the CA. Priorities may be re-evaluated upon development of other compelling relevant information. Such acquisition must be supported by concurrence of Fort Huachuca to ensure that the terms support the military mission while (i) sustaining the military mission by preventing or limiting development that will negatively impact training realism and capability; or (ii) providing for ecological protection of off-post habitat for threatened, endangered, and at-risk species while preventing or reducing environmental restrictions on-</w:t>
      </w:r>
      <w:r>
        <w:rPr>
          <w:sz w:val="24"/>
        </w:rPr>
        <w:t>post; or (iii) maintaining or improving</w:t>
      </w:r>
      <w:r w:rsidRPr="005855AB">
        <w:rPr>
          <w:sz w:val="24"/>
        </w:rPr>
        <w:t xml:space="preserve"> military installation resilience (as defined in 10 USC § 101(e)(8)).</w:t>
      </w:r>
    </w:p>
    <w:p w14:paraId="6280D4E4" w14:textId="6396DE05" w:rsidR="001D1602" w:rsidRDefault="00FD31EF" w:rsidP="007050E5">
      <w:pPr>
        <w:autoSpaceDE/>
        <w:spacing w:after="200" w:line="276" w:lineRule="auto"/>
        <w:rPr>
          <w:sz w:val="24"/>
        </w:rPr>
      </w:pPr>
      <w:r>
        <w:rPr>
          <w:sz w:val="24"/>
        </w:rPr>
        <w:t>4</w:t>
      </w:r>
      <w:r w:rsidR="009A368B">
        <w:rPr>
          <w:sz w:val="24"/>
        </w:rPr>
        <w:t>.</w:t>
      </w:r>
      <w:r w:rsidR="00FE3A9C">
        <w:rPr>
          <w:sz w:val="24"/>
        </w:rPr>
        <w:t>2</w:t>
      </w:r>
      <w:r w:rsidR="009A368B">
        <w:rPr>
          <w:sz w:val="24"/>
        </w:rPr>
        <w:t xml:space="preserve"> After approval from the</w:t>
      </w:r>
      <w:r w:rsidR="007050E5">
        <w:rPr>
          <w:sz w:val="24"/>
        </w:rPr>
        <w:t xml:space="preserve"> </w:t>
      </w:r>
      <w:r w:rsidR="001C1340">
        <w:rPr>
          <w:sz w:val="24"/>
        </w:rPr>
        <w:t>Technical Cooperative Agreement Manager (</w:t>
      </w:r>
      <w:r w:rsidR="007050E5">
        <w:rPr>
          <w:sz w:val="24"/>
        </w:rPr>
        <w:t>TCAM</w:t>
      </w:r>
      <w:r w:rsidR="001C1340">
        <w:rPr>
          <w:sz w:val="24"/>
        </w:rPr>
        <w:t>)</w:t>
      </w:r>
      <w:r w:rsidR="007050E5">
        <w:rPr>
          <w:sz w:val="24"/>
        </w:rPr>
        <w:t xml:space="preserve">, </w:t>
      </w:r>
      <w:r w:rsidR="00194C55">
        <w:rPr>
          <w:sz w:val="24"/>
        </w:rPr>
        <w:t>Recipient</w:t>
      </w:r>
      <w:r w:rsidR="007050E5">
        <w:rPr>
          <w:sz w:val="24"/>
        </w:rPr>
        <w:t xml:space="preserve"> will establish contact with the owners of priority parcels </w:t>
      </w:r>
      <w:r w:rsidR="00DE4244">
        <w:rPr>
          <w:sz w:val="24"/>
        </w:rPr>
        <w:t xml:space="preserve">in priority areas </w:t>
      </w:r>
      <w:r w:rsidR="007050E5">
        <w:rPr>
          <w:sz w:val="24"/>
        </w:rPr>
        <w:t xml:space="preserve">designated by the CA or as otherwise contained in an approved ACUB proposal. </w:t>
      </w:r>
    </w:p>
    <w:p w14:paraId="720074F4" w14:textId="4E850950" w:rsidR="00DE4244" w:rsidRDefault="00FD31EF" w:rsidP="0051316F">
      <w:pPr>
        <w:autoSpaceDE/>
        <w:spacing w:after="200" w:line="276" w:lineRule="auto"/>
        <w:rPr>
          <w:sz w:val="24"/>
        </w:rPr>
      </w:pPr>
      <w:r>
        <w:rPr>
          <w:sz w:val="24"/>
        </w:rPr>
        <w:t>4</w:t>
      </w:r>
      <w:r w:rsidR="00B76602">
        <w:rPr>
          <w:sz w:val="24"/>
        </w:rPr>
        <w:t>.3</w:t>
      </w:r>
      <w:r w:rsidR="0051316F" w:rsidRPr="00A47423">
        <w:rPr>
          <w:sz w:val="24"/>
        </w:rPr>
        <w:t xml:space="preserve"> </w:t>
      </w:r>
      <w:r w:rsidR="0051316F">
        <w:rPr>
          <w:sz w:val="24"/>
        </w:rPr>
        <w:t xml:space="preserve">If </w:t>
      </w:r>
      <w:r w:rsidR="00194C55">
        <w:rPr>
          <w:sz w:val="24"/>
        </w:rPr>
        <w:t>Recipient</w:t>
      </w:r>
      <w:r w:rsidR="0051316F">
        <w:rPr>
          <w:sz w:val="24"/>
        </w:rPr>
        <w:t xml:space="preserve"> reach</w:t>
      </w:r>
      <w:r w:rsidR="00B76602">
        <w:rPr>
          <w:sz w:val="24"/>
        </w:rPr>
        <w:t>es</w:t>
      </w:r>
      <w:r w:rsidR="0051316F">
        <w:rPr>
          <w:sz w:val="24"/>
        </w:rPr>
        <w:t xml:space="preserve"> an agreement in principle for the purchase of a real property interest</w:t>
      </w:r>
      <w:r w:rsidR="00DE4244">
        <w:rPr>
          <w:sz w:val="24"/>
        </w:rPr>
        <w:t xml:space="preserve">, Recipient will submit a written Request to Proceed with due diligence on the property to the </w:t>
      </w:r>
      <w:r w:rsidR="000834C2">
        <w:rPr>
          <w:sz w:val="24"/>
        </w:rPr>
        <w:t>Fort Huachuca</w:t>
      </w:r>
      <w:r w:rsidR="00DE4244">
        <w:rPr>
          <w:sz w:val="24"/>
        </w:rPr>
        <w:t xml:space="preserve"> TCAM. If </w:t>
      </w:r>
      <w:r w:rsidR="000834C2">
        <w:rPr>
          <w:sz w:val="24"/>
        </w:rPr>
        <w:t xml:space="preserve">Fort Huachuca </w:t>
      </w:r>
      <w:r w:rsidR="00DE4244">
        <w:rPr>
          <w:sz w:val="24"/>
        </w:rPr>
        <w:t xml:space="preserve">concurs and funding is </w:t>
      </w:r>
      <w:r w:rsidR="00DE4244" w:rsidRPr="00883E34">
        <w:rPr>
          <w:sz w:val="24"/>
        </w:rPr>
        <w:t xml:space="preserve">available, a formal Notice to Proceed </w:t>
      </w:r>
      <w:r w:rsidR="008F3688">
        <w:rPr>
          <w:sz w:val="24"/>
        </w:rPr>
        <w:t xml:space="preserve">(NTP) </w:t>
      </w:r>
      <w:r w:rsidR="00DE4244" w:rsidRPr="00883E34">
        <w:rPr>
          <w:sz w:val="24"/>
        </w:rPr>
        <w:t>will be issued, to include the costs to</w:t>
      </w:r>
      <w:r w:rsidR="006C4A66" w:rsidRPr="00883E34">
        <w:rPr>
          <w:sz w:val="24"/>
        </w:rPr>
        <w:t xml:space="preserve"> the</w:t>
      </w:r>
      <w:r w:rsidR="007C2A0E" w:rsidRPr="00883E34">
        <w:rPr>
          <w:sz w:val="24"/>
        </w:rPr>
        <w:t xml:space="preserve"> military and Recipient.  Notwithstanding anything contained herein, the Recipient may enter into an option or other purchase agreement with landowners within the project area of this CA prior to receiving a written NTP, provided such agreements do not contain or imply any commitments by the Government.</w:t>
      </w:r>
      <w:r w:rsidR="007C2A0E" w:rsidRPr="00E46741">
        <w:rPr>
          <w:sz w:val="24"/>
        </w:rPr>
        <w:t xml:space="preserve"> </w:t>
      </w:r>
      <w:r w:rsidR="007C2A0E">
        <w:rPr>
          <w:sz w:val="24"/>
        </w:rPr>
        <w:t xml:space="preserve"> </w:t>
      </w:r>
      <w:r w:rsidR="00DE4244">
        <w:rPr>
          <w:sz w:val="24"/>
        </w:rPr>
        <w:t xml:space="preserve"> </w:t>
      </w:r>
    </w:p>
    <w:p w14:paraId="1D870BF6" w14:textId="74538BC7" w:rsidR="00811789" w:rsidRDefault="00FD31EF" w:rsidP="00811789">
      <w:pPr>
        <w:autoSpaceDE/>
        <w:spacing w:after="200" w:line="276" w:lineRule="auto"/>
        <w:rPr>
          <w:sz w:val="24"/>
        </w:rPr>
      </w:pPr>
      <w:r>
        <w:rPr>
          <w:sz w:val="24"/>
        </w:rPr>
        <w:t>4</w:t>
      </w:r>
      <w:r w:rsidR="00811789">
        <w:rPr>
          <w:sz w:val="24"/>
        </w:rPr>
        <w:t xml:space="preserve">.4 After receiving a Notice to Proceed, Recipient will perform due diligence and confer as set forth below prior to final negotiations for the acquisition and execution of a purchase contract. This will include, at a minimum: </w:t>
      </w:r>
    </w:p>
    <w:p w14:paraId="60E29A8E" w14:textId="0BE93422" w:rsidR="00811789" w:rsidRDefault="00FD31EF" w:rsidP="00811789">
      <w:pPr>
        <w:autoSpaceDE/>
        <w:spacing w:after="200" w:line="276" w:lineRule="auto"/>
        <w:rPr>
          <w:sz w:val="24"/>
        </w:rPr>
      </w:pPr>
      <w:r>
        <w:rPr>
          <w:sz w:val="24"/>
        </w:rPr>
        <w:t>4</w:t>
      </w:r>
      <w:r w:rsidR="00811789">
        <w:rPr>
          <w:sz w:val="24"/>
        </w:rPr>
        <w:t xml:space="preserve">.4.1 Appraisal of the interest being acquired to establish Fair Market Value using methods and standards substantially equivalent to 42 U.S.C. § 4651. </w:t>
      </w:r>
    </w:p>
    <w:p w14:paraId="705030A5" w14:textId="63EFA4BE" w:rsidR="00811789" w:rsidRDefault="00FD31EF" w:rsidP="00811789">
      <w:pPr>
        <w:autoSpaceDE/>
        <w:spacing w:after="200" w:line="276" w:lineRule="auto"/>
        <w:rPr>
          <w:sz w:val="24"/>
        </w:rPr>
      </w:pPr>
      <w:r>
        <w:rPr>
          <w:sz w:val="24"/>
        </w:rPr>
        <w:t>4</w:t>
      </w:r>
      <w:r w:rsidR="00811789">
        <w:rPr>
          <w:sz w:val="24"/>
        </w:rPr>
        <w:t xml:space="preserve">.4.2 An environmental site assessment (ESA) that complies with the requirements of 42 U.S.C. § 9601(35)(B)(i) and uses methodologies consistent with the latest American Society for Testing and Materials (ASTM) Standard E-1527 or some lesser documented environmental assessment provided Recipient and the Army agree that a more thorough level of due diligence is not necessary. Based on this assessment, Recipient and </w:t>
      </w:r>
      <w:r w:rsidR="000834C2">
        <w:rPr>
          <w:sz w:val="24"/>
        </w:rPr>
        <w:t xml:space="preserve">Fort Huachuca </w:t>
      </w:r>
      <w:r w:rsidR="00811789">
        <w:rPr>
          <w:sz w:val="24"/>
        </w:rPr>
        <w:t xml:space="preserve">will determine whether additional field investigations of soil, sediment, surface water, and other environmental media are warranted. </w:t>
      </w:r>
    </w:p>
    <w:p w14:paraId="4F671BD5" w14:textId="2E802298" w:rsidR="00811789" w:rsidRDefault="00FD31EF" w:rsidP="00811789">
      <w:pPr>
        <w:autoSpaceDE/>
        <w:spacing w:after="200" w:line="276" w:lineRule="auto"/>
        <w:rPr>
          <w:sz w:val="24"/>
        </w:rPr>
      </w:pPr>
      <w:r>
        <w:rPr>
          <w:sz w:val="24"/>
        </w:rPr>
        <w:t>4</w:t>
      </w:r>
      <w:r w:rsidR="00811789">
        <w:rPr>
          <w:sz w:val="24"/>
        </w:rPr>
        <w:t xml:space="preserve">.4.3 A boundary survey of the property interest being acquired, as necessary. </w:t>
      </w:r>
    </w:p>
    <w:p w14:paraId="41A397D1" w14:textId="60C31C0D" w:rsidR="00811789" w:rsidRDefault="00FD31EF" w:rsidP="00811789">
      <w:pPr>
        <w:autoSpaceDE/>
        <w:spacing w:after="200" w:line="276" w:lineRule="auto"/>
        <w:rPr>
          <w:sz w:val="24"/>
        </w:rPr>
      </w:pPr>
      <w:r>
        <w:rPr>
          <w:sz w:val="24"/>
        </w:rPr>
        <w:t>4</w:t>
      </w:r>
      <w:r w:rsidR="00811789">
        <w:rPr>
          <w:sz w:val="24"/>
        </w:rPr>
        <w:t xml:space="preserve">.4.4 A title search of the property to determine </w:t>
      </w:r>
      <w:r w:rsidR="008F3688">
        <w:rPr>
          <w:sz w:val="24"/>
        </w:rPr>
        <w:t xml:space="preserve">if </w:t>
      </w:r>
      <w:r w:rsidR="00811789">
        <w:rPr>
          <w:sz w:val="24"/>
        </w:rPr>
        <w:t>any possible flaws in title require correction by the owner prior to acquiring the property interest</w:t>
      </w:r>
      <w:r w:rsidR="00811789" w:rsidRPr="00883E34">
        <w:rPr>
          <w:sz w:val="24"/>
        </w:rPr>
        <w:t>.</w:t>
      </w:r>
      <w:r w:rsidR="007C2A0E" w:rsidRPr="00883E34">
        <w:rPr>
          <w:sz w:val="24"/>
        </w:rPr>
        <w:t xml:space="preserve">  The title search should include a review of property ownership that is sufficient to allow the TCAM to determine that no Army or Department of Defense official who is personally and substantially involved in the ACUB program will benefit financially from the transaction.</w:t>
      </w:r>
      <w:r w:rsidR="007C2A0E" w:rsidRPr="007C2A0E">
        <w:rPr>
          <w:sz w:val="24"/>
        </w:rPr>
        <w:t xml:space="preserve"> </w:t>
      </w:r>
      <w:r w:rsidR="007012F8">
        <w:rPr>
          <w:sz w:val="24"/>
        </w:rPr>
        <w:t xml:space="preserve"> </w:t>
      </w:r>
    </w:p>
    <w:p w14:paraId="7AD7B8AF" w14:textId="66D66796" w:rsidR="00014746" w:rsidRDefault="00FD31EF" w:rsidP="0051316F">
      <w:pPr>
        <w:autoSpaceDE/>
        <w:spacing w:after="200" w:line="276" w:lineRule="auto"/>
        <w:rPr>
          <w:sz w:val="24"/>
        </w:rPr>
      </w:pPr>
      <w:r>
        <w:rPr>
          <w:sz w:val="24"/>
        </w:rPr>
        <w:t>4</w:t>
      </w:r>
      <w:r w:rsidR="00014746">
        <w:rPr>
          <w:sz w:val="24"/>
        </w:rPr>
        <w:t>.5</w:t>
      </w:r>
      <w:r w:rsidR="00DE4244">
        <w:rPr>
          <w:sz w:val="24"/>
        </w:rPr>
        <w:t xml:space="preserve"> </w:t>
      </w:r>
      <w:r w:rsidR="00811789">
        <w:rPr>
          <w:sz w:val="24"/>
        </w:rPr>
        <w:t xml:space="preserve">Once due diligence is complete and Recipient is satisfied: (i) that the acquisition can occur within a reasonable range of the appraised Fair Market Value, (ii) that no environmental hazards requiring remediation have been discovered by an environmental assessment on the site, and (iii) that from the title due diligence there are no encroachments or other issues that must be cleared in order to obtain title insurance, </w:t>
      </w:r>
      <w:r w:rsidR="00811789" w:rsidRPr="00023D36">
        <w:rPr>
          <w:sz w:val="24"/>
        </w:rPr>
        <w:t xml:space="preserve">Recipient and </w:t>
      </w:r>
      <w:r w:rsidR="000834C2">
        <w:rPr>
          <w:sz w:val="24"/>
        </w:rPr>
        <w:t>Fort Huachuca</w:t>
      </w:r>
      <w:r w:rsidR="000834C2" w:rsidRPr="00023D36">
        <w:rPr>
          <w:sz w:val="24"/>
        </w:rPr>
        <w:t xml:space="preserve"> </w:t>
      </w:r>
      <w:r w:rsidR="00811789" w:rsidRPr="00023D36">
        <w:rPr>
          <w:sz w:val="24"/>
        </w:rPr>
        <w:t xml:space="preserve">will informally confer to develop a negotiation strategy and establish the cost for purchase of the subject property interest and determine the relative share of direct and indirect acquisition costs and/or post-acquisition management and stewardship costs. Recipient will then </w:t>
      </w:r>
      <w:r w:rsidR="0051316F" w:rsidRPr="00023D36">
        <w:rPr>
          <w:sz w:val="24"/>
        </w:rPr>
        <w:t xml:space="preserve">submit a </w:t>
      </w:r>
      <w:r w:rsidR="00811789" w:rsidRPr="00023D36">
        <w:rPr>
          <w:sz w:val="24"/>
        </w:rPr>
        <w:t xml:space="preserve">formal </w:t>
      </w:r>
      <w:r w:rsidR="0051316F" w:rsidRPr="00023D36">
        <w:rPr>
          <w:sz w:val="24"/>
        </w:rPr>
        <w:t xml:space="preserve">written Request to Proceed with the </w:t>
      </w:r>
      <w:r w:rsidR="00DE4244" w:rsidRPr="00023D36">
        <w:rPr>
          <w:sz w:val="24"/>
        </w:rPr>
        <w:t xml:space="preserve">acquisition of the property </w:t>
      </w:r>
      <w:r w:rsidR="0051316F" w:rsidRPr="00023D36">
        <w:rPr>
          <w:sz w:val="24"/>
        </w:rPr>
        <w:t xml:space="preserve">to the </w:t>
      </w:r>
      <w:r w:rsidR="000834C2">
        <w:rPr>
          <w:sz w:val="24"/>
        </w:rPr>
        <w:t>Fort Huachuca</w:t>
      </w:r>
      <w:r w:rsidR="000834C2" w:rsidRPr="00023D36">
        <w:rPr>
          <w:sz w:val="24"/>
        </w:rPr>
        <w:t xml:space="preserve"> </w:t>
      </w:r>
      <w:r w:rsidR="00DE4244" w:rsidRPr="00023D36">
        <w:rPr>
          <w:sz w:val="24"/>
        </w:rPr>
        <w:t>TCAM</w:t>
      </w:r>
      <w:r w:rsidR="00811789" w:rsidRPr="00023D36">
        <w:rPr>
          <w:sz w:val="24"/>
        </w:rPr>
        <w:t>, detailing the</w:t>
      </w:r>
      <w:r w:rsidR="00014746" w:rsidRPr="00023D36">
        <w:rPr>
          <w:sz w:val="24"/>
        </w:rPr>
        <w:t xml:space="preserve"> agreed to relative share of direct and indirect acquisition costs and/or post-acquisition management and stewardship costs</w:t>
      </w:r>
      <w:r w:rsidR="0051316F" w:rsidRPr="00023D36">
        <w:rPr>
          <w:sz w:val="24"/>
        </w:rPr>
        <w:t xml:space="preserve">. </w:t>
      </w:r>
      <w:r w:rsidR="00014746" w:rsidRPr="00023D36">
        <w:rPr>
          <w:sz w:val="24"/>
        </w:rPr>
        <w:t>Any problems identified t</w:t>
      </w:r>
      <w:r w:rsidR="00014746">
        <w:rPr>
          <w:sz w:val="24"/>
        </w:rPr>
        <w:t xml:space="preserve">hrough the due diligence process should be remedied before closing or be deemed acceptable by Recipient and </w:t>
      </w:r>
      <w:r w:rsidR="000834C2">
        <w:rPr>
          <w:sz w:val="24"/>
        </w:rPr>
        <w:t xml:space="preserve">Fort </w:t>
      </w:r>
      <w:r w:rsidR="004A1FD8">
        <w:rPr>
          <w:sz w:val="24"/>
        </w:rPr>
        <w:t>Huachuca;</w:t>
      </w:r>
      <w:r w:rsidR="00014746">
        <w:rPr>
          <w:sz w:val="24"/>
        </w:rPr>
        <w:t xml:space="preserve"> otherwise the transaction will be terminated.</w:t>
      </w:r>
    </w:p>
    <w:p w14:paraId="7D9331E9" w14:textId="6121C36B" w:rsidR="00A47423" w:rsidRPr="00A47423" w:rsidRDefault="00FD31EF" w:rsidP="00A47423">
      <w:pPr>
        <w:autoSpaceDE/>
        <w:spacing w:after="200" w:line="276" w:lineRule="auto"/>
        <w:rPr>
          <w:sz w:val="24"/>
        </w:rPr>
      </w:pPr>
      <w:r>
        <w:rPr>
          <w:sz w:val="24"/>
        </w:rPr>
        <w:t>4</w:t>
      </w:r>
      <w:r w:rsidR="005F09DE">
        <w:rPr>
          <w:sz w:val="24"/>
        </w:rPr>
        <w:t>.</w:t>
      </w:r>
      <w:r w:rsidR="00014746">
        <w:rPr>
          <w:sz w:val="24"/>
        </w:rPr>
        <w:t>6</w:t>
      </w:r>
      <w:r w:rsidR="00A47423" w:rsidRPr="00A47423">
        <w:rPr>
          <w:sz w:val="24"/>
        </w:rPr>
        <w:t xml:space="preserve"> If </w:t>
      </w:r>
      <w:r w:rsidR="000834C2">
        <w:rPr>
          <w:sz w:val="24"/>
        </w:rPr>
        <w:t>Fort Huachuca</w:t>
      </w:r>
      <w:r w:rsidR="000834C2" w:rsidRPr="00A47423">
        <w:rPr>
          <w:sz w:val="24"/>
        </w:rPr>
        <w:t xml:space="preserve"> </w:t>
      </w:r>
      <w:r w:rsidR="00A47423" w:rsidRPr="00A47423">
        <w:rPr>
          <w:sz w:val="24"/>
        </w:rPr>
        <w:t xml:space="preserve">agrees with the terms of the purchase and sale agreement or option </w:t>
      </w:r>
      <w:r w:rsidR="00014746">
        <w:rPr>
          <w:sz w:val="24"/>
        </w:rPr>
        <w:t>and sufficient funds are obligated to the cooperative agreement</w:t>
      </w:r>
      <w:r w:rsidR="0096766D">
        <w:rPr>
          <w:sz w:val="24"/>
        </w:rPr>
        <w:t xml:space="preserve"> for the military’s portion of the transaction</w:t>
      </w:r>
      <w:r w:rsidR="00A47423" w:rsidRPr="00A47423">
        <w:rPr>
          <w:sz w:val="24"/>
        </w:rPr>
        <w:t xml:space="preserve">, it will authorize </w:t>
      </w:r>
      <w:r w:rsidR="00194C55">
        <w:rPr>
          <w:sz w:val="24"/>
        </w:rPr>
        <w:t>Recipient</w:t>
      </w:r>
      <w:r w:rsidR="00014746">
        <w:rPr>
          <w:sz w:val="24"/>
        </w:rPr>
        <w:t>, through a formal Notice to Proceed,</w:t>
      </w:r>
      <w:r w:rsidR="00A47423" w:rsidRPr="00A47423">
        <w:rPr>
          <w:sz w:val="24"/>
        </w:rPr>
        <w:t xml:space="preserve"> to finalize a purchase and sale agreement or secure an option</w:t>
      </w:r>
      <w:r w:rsidR="0096766D">
        <w:rPr>
          <w:sz w:val="24"/>
        </w:rPr>
        <w:t xml:space="preserve"> </w:t>
      </w:r>
      <w:r w:rsidR="00A47423" w:rsidRPr="00A47423">
        <w:rPr>
          <w:sz w:val="24"/>
        </w:rPr>
        <w:t xml:space="preserve">in accordance with the terms agreed upon with </w:t>
      </w:r>
      <w:r w:rsidR="000834C2">
        <w:rPr>
          <w:sz w:val="24"/>
        </w:rPr>
        <w:t>Fort Huachuca</w:t>
      </w:r>
      <w:r w:rsidR="00A47423" w:rsidRPr="00A47423">
        <w:rPr>
          <w:sz w:val="24"/>
        </w:rPr>
        <w:t xml:space="preserve">. </w:t>
      </w:r>
      <w:r w:rsidR="00194C55">
        <w:rPr>
          <w:sz w:val="24"/>
        </w:rPr>
        <w:t>Recipient</w:t>
      </w:r>
      <w:r w:rsidR="00A47423" w:rsidRPr="00A47423">
        <w:rPr>
          <w:sz w:val="24"/>
        </w:rPr>
        <w:t xml:space="preserve"> will proceed to negotiate a final agreement with the landowner. </w:t>
      </w:r>
      <w:r w:rsidR="00194C55">
        <w:rPr>
          <w:sz w:val="24"/>
        </w:rPr>
        <w:t>Recipient</w:t>
      </w:r>
      <w:r w:rsidR="00A47423" w:rsidRPr="00A47423">
        <w:rPr>
          <w:sz w:val="24"/>
        </w:rPr>
        <w:t xml:space="preserve"> will be authorized to indicate the Army’s contribution of available funding, up to the agre</w:t>
      </w:r>
      <w:r w:rsidR="006C4A66">
        <w:rPr>
          <w:sz w:val="24"/>
        </w:rPr>
        <w:t xml:space="preserve">ed-upon share of acquisition </w:t>
      </w:r>
      <w:r w:rsidR="00A47423" w:rsidRPr="00A47423">
        <w:rPr>
          <w:sz w:val="24"/>
        </w:rPr>
        <w:t xml:space="preserve">costs, in order to demonstrate good faith.  </w:t>
      </w:r>
      <w:r w:rsidR="00194C55">
        <w:rPr>
          <w:sz w:val="24"/>
        </w:rPr>
        <w:t>Recipient</w:t>
      </w:r>
      <w:r w:rsidR="00A47423" w:rsidRPr="00A47423">
        <w:rPr>
          <w:sz w:val="24"/>
        </w:rPr>
        <w:t xml:space="preserve"> shall include in any purchase and sale contract a condition that closing is subject to the property being in suitable condition for transfer and the title being clear of any defects. </w:t>
      </w:r>
    </w:p>
    <w:p w14:paraId="12EEA006" w14:textId="20E91327" w:rsidR="007050E5" w:rsidRDefault="00FD31EF" w:rsidP="007050E5">
      <w:pPr>
        <w:autoSpaceDE/>
        <w:spacing w:after="200" w:line="276" w:lineRule="auto"/>
        <w:rPr>
          <w:sz w:val="24"/>
        </w:rPr>
      </w:pPr>
      <w:r w:rsidRPr="00E95DAE">
        <w:rPr>
          <w:sz w:val="24"/>
        </w:rPr>
        <w:t>4</w:t>
      </w:r>
      <w:r w:rsidR="005F09DE" w:rsidRPr="00E95DAE">
        <w:rPr>
          <w:sz w:val="24"/>
        </w:rPr>
        <w:t>.7</w:t>
      </w:r>
      <w:r w:rsidR="007050E5" w:rsidRPr="00E95DAE">
        <w:rPr>
          <w:sz w:val="24"/>
        </w:rPr>
        <w:t xml:space="preserve"> Once </w:t>
      </w:r>
      <w:r w:rsidR="00194C55" w:rsidRPr="00E95DAE">
        <w:rPr>
          <w:sz w:val="24"/>
        </w:rPr>
        <w:t>Recipient</w:t>
      </w:r>
      <w:r w:rsidR="007050E5" w:rsidRPr="00E95DAE">
        <w:rPr>
          <w:sz w:val="24"/>
        </w:rPr>
        <w:t xml:space="preserve"> and the landowner agree on a price </w:t>
      </w:r>
      <w:r w:rsidR="00E746A6" w:rsidRPr="00E95DAE">
        <w:rPr>
          <w:sz w:val="24"/>
        </w:rPr>
        <w:t xml:space="preserve">that does not commit the </w:t>
      </w:r>
      <w:r w:rsidR="00E95DAE" w:rsidRPr="00E95DAE">
        <w:rPr>
          <w:sz w:val="24"/>
        </w:rPr>
        <w:t>Government</w:t>
      </w:r>
      <w:r w:rsidR="00E746A6" w:rsidRPr="00E95DAE">
        <w:rPr>
          <w:sz w:val="24"/>
        </w:rPr>
        <w:t xml:space="preserve"> to more than </w:t>
      </w:r>
      <w:r w:rsidR="007050E5" w:rsidRPr="00E95DAE">
        <w:rPr>
          <w:sz w:val="24"/>
        </w:rPr>
        <w:t xml:space="preserve">the Fair Market Value </w:t>
      </w:r>
      <w:r w:rsidR="00E746A6" w:rsidRPr="00E95DAE">
        <w:rPr>
          <w:sz w:val="24"/>
        </w:rPr>
        <w:t xml:space="preserve">in acquisition costs </w:t>
      </w:r>
      <w:r w:rsidR="007050E5" w:rsidRPr="00E95DAE">
        <w:rPr>
          <w:sz w:val="24"/>
        </w:rPr>
        <w:t>of the real</w:t>
      </w:r>
      <w:r w:rsidR="007050E5">
        <w:rPr>
          <w:sz w:val="24"/>
        </w:rPr>
        <w:t xml:space="preserve"> property interest to be acquired, </w:t>
      </w:r>
      <w:r w:rsidR="00194C55">
        <w:rPr>
          <w:sz w:val="24"/>
        </w:rPr>
        <w:t>Recipient</w:t>
      </w:r>
      <w:r w:rsidR="007050E5">
        <w:rPr>
          <w:sz w:val="24"/>
        </w:rPr>
        <w:t xml:space="preserve"> shall</w:t>
      </w:r>
      <w:r w:rsidR="00B76602">
        <w:rPr>
          <w:sz w:val="24"/>
        </w:rPr>
        <w:t xml:space="preserve">: a) </w:t>
      </w:r>
      <w:r w:rsidR="004E0AE5">
        <w:rPr>
          <w:sz w:val="24"/>
          <w:szCs w:val="16"/>
        </w:rPr>
        <w:t>invoice the Army for reimbursement of the agreed-upon Army share after real property transaction is finalized</w:t>
      </w:r>
      <w:r w:rsidR="006B66DD">
        <w:rPr>
          <w:sz w:val="24"/>
          <w:szCs w:val="16"/>
        </w:rPr>
        <w:t>; or,</w:t>
      </w:r>
      <w:r w:rsidR="00B76602">
        <w:rPr>
          <w:sz w:val="24"/>
          <w:szCs w:val="16"/>
        </w:rPr>
        <w:t xml:space="preserve"> b</w:t>
      </w:r>
      <w:r w:rsidR="006B66DD">
        <w:rPr>
          <w:sz w:val="24"/>
          <w:szCs w:val="16"/>
        </w:rPr>
        <w:t>)</w:t>
      </w:r>
      <w:r w:rsidR="00AD4449">
        <w:rPr>
          <w:sz w:val="24"/>
          <w:szCs w:val="16"/>
        </w:rPr>
        <w:t xml:space="preserve"> </w:t>
      </w:r>
      <w:r w:rsidR="004E0AE5">
        <w:rPr>
          <w:sz w:val="24"/>
        </w:rPr>
        <w:t>invoice the</w:t>
      </w:r>
      <w:r w:rsidR="004E0AE5">
        <w:rPr>
          <w:color w:val="FF0000"/>
          <w:sz w:val="24"/>
        </w:rPr>
        <w:t xml:space="preserve"> </w:t>
      </w:r>
      <w:r w:rsidR="004E0AE5">
        <w:rPr>
          <w:sz w:val="24"/>
          <w:szCs w:val="16"/>
        </w:rPr>
        <w:t>Army in advance of executing any final binding real property transaction for the Army share and, when funds are received, promptly finalize the transaction</w:t>
      </w:r>
      <w:r w:rsidR="004E0AE5" w:rsidDel="004E0AE5">
        <w:rPr>
          <w:sz w:val="24"/>
          <w:szCs w:val="16"/>
        </w:rPr>
        <w:t xml:space="preserve"> </w:t>
      </w:r>
      <w:r w:rsidR="004E0AE5">
        <w:rPr>
          <w:sz w:val="24"/>
          <w:szCs w:val="16"/>
        </w:rPr>
        <w:t xml:space="preserve"> (See Article 8 of the CA for details regarding advance payments).  </w:t>
      </w:r>
      <w:r w:rsidR="006B66DD">
        <w:rPr>
          <w:sz w:val="24"/>
          <w:szCs w:val="16"/>
        </w:rPr>
        <w:t>In either case, t</w:t>
      </w:r>
      <w:r w:rsidR="007050E5">
        <w:rPr>
          <w:sz w:val="24"/>
          <w:szCs w:val="16"/>
        </w:rPr>
        <w:t xml:space="preserve">his invoice shall indicate all costs incurred by </w:t>
      </w:r>
      <w:r w:rsidR="00194C55">
        <w:rPr>
          <w:sz w:val="24"/>
          <w:szCs w:val="16"/>
        </w:rPr>
        <w:t>Recipient</w:t>
      </w:r>
      <w:r w:rsidR="007050E5">
        <w:rPr>
          <w:sz w:val="24"/>
          <w:szCs w:val="16"/>
        </w:rPr>
        <w:t xml:space="preserve"> in execution of the transaction and any matching funds or in-kind services provided by </w:t>
      </w:r>
      <w:r w:rsidR="00194C55">
        <w:rPr>
          <w:sz w:val="24"/>
          <w:szCs w:val="16"/>
        </w:rPr>
        <w:t>Recipient</w:t>
      </w:r>
      <w:r w:rsidR="006C4A66">
        <w:rPr>
          <w:sz w:val="24"/>
          <w:szCs w:val="16"/>
        </w:rPr>
        <w:t xml:space="preserve"> </w:t>
      </w:r>
      <w:r w:rsidR="006C4A66" w:rsidRPr="00AC1E4C">
        <w:rPr>
          <w:sz w:val="24"/>
          <w:szCs w:val="16"/>
        </w:rPr>
        <w:t xml:space="preserve">in accordance with the allowable </w:t>
      </w:r>
      <w:r w:rsidR="00AC1E4C">
        <w:rPr>
          <w:sz w:val="24"/>
          <w:szCs w:val="16"/>
        </w:rPr>
        <w:t xml:space="preserve">and authorized </w:t>
      </w:r>
      <w:r w:rsidR="006C4A66" w:rsidRPr="00AC1E4C">
        <w:rPr>
          <w:sz w:val="24"/>
          <w:szCs w:val="16"/>
        </w:rPr>
        <w:t xml:space="preserve">cost table in </w:t>
      </w:r>
      <w:r w:rsidR="00747754">
        <w:rPr>
          <w:sz w:val="24"/>
          <w:szCs w:val="16"/>
        </w:rPr>
        <w:t>Section 8.0 of this Statement of Work</w:t>
      </w:r>
      <w:r w:rsidR="007050E5" w:rsidRPr="005C73CE">
        <w:rPr>
          <w:sz w:val="24"/>
          <w:szCs w:val="16"/>
        </w:rPr>
        <w:t xml:space="preserve">. </w:t>
      </w:r>
      <w:r w:rsidR="006E6C15" w:rsidRPr="005C73CE">
        <w:rPr>
          <w:sz w:val="24"/>
          <w:szCs w:val="16"/>
        </w:rPr>
        <w:t>Any</w:t>
      </w:r>
      <w:r w:rsidR="006E6C15">
        <w:rPr>
          <w:sz w:val="24"/>
          <w:szCs w:val="16"/>
        </w:rPr>
        <w:t xml:space="preserve"> additional costs related to the administration of the ACUB project </w:t>
      </w:r>
      <w:r w:rsidR="00AC1E4C">
        <w:rPr>
          <w:sz w:val="24"/>
          <w:szCs w:val="16"/>
        </w:rPr>
        <w:t xml:space="preserve">invoiced or claimed as partner share </w:t>
      </w:r>
      <w:r w:rsidR="006E6C15">
        <w:rPr>
          <w:sz w:val="24"/>
          <w:szCs w:val="16"/>
        </w:rPr>
        <w:t xml:space="preserve">must also be consistent with the allowable and authorized cost table in </w:t>
      </w:r>
      <w:r w:rsidR="00747754">
        <w:rPr>
          <w:sz w:val="24"/>
          <w:szCs w:val="16"/>
        </w:rPr>
        <w:t>Section 8.0 of this Statement of Work</w:t>
      </w:r>
      <w:r w:rsidR="006E6C15">
        <w:rPr>
          <w:sz w:val="24"/>
          <w:szCs w:val="16"/>
        </w:rPr>
        <w:t xml:space="preserve">. </w:t>
      </w:r>
    </w:p>
    <w:p w14:paraId="7F57F830" w14:textId="348189DD" w:rsidR="006A12A9" w:rsidRDefault="00FD31EF" w:rsidP="007050E5">
      <w:pPr>
        <w:autoSpaceDE/>
        <w:spacing w:after="200" w:line="276" w:lineRule="auto"/>
        <w:rPr>
          <w:sz w:val="24"/>
        </w:rPr>
      </w:pPr>
      <w:r>
        <w:rPr>
          <w:sz w:val="24"/>
        </w:rPr>
        <w:t>4</w:t>
      </w:r>
      <w:r w:rsidR="005F09DE">
        <w:rPr>
          <w:sz w:val="24"/>
        </w:rPr>
        <w:t>.</w:t>
      </w:r>
      <w:r w:rsidR="00EA4054">
        <w:rPr>
          <w:sz w:val="24"/>
        </w:rPr>
        <w:t>8</w:t>
      </w:r>
      <w:r w:rsidR="007050E5">
        <w:rPr>
          <w:sz w:val="24"/>
        </w:rPr>
        <w:t xml:space="preserve"> Any parcel either encumbered through a</w:t>
      </w:r>
      <w:r w:rsidR="00F56DD4">
        <w:rPr>
          <w:sz w:val="24"/>
        </w:rPr>
        <w:t>n</w:t>
      </w:r>
      <w:r w:rsidR="007050E5">
        <w:rPr>
          <w:sz w:val="24"/>
        </w:rPr>
        <w:t xml:space="preserve"> easement, other permanent real property </w:t>
      </w:r>
      <w:r w:rsidR="007050E5" w:rsidRPr="000E6BB5">
        <w:rPr>
          <w:sz w:val="24"/>
        </w:rPr>
        <w:t xml:space="preserve">restriction, or purchased in fee simple pursuant to this CA shall be monitored and enforced by </w:t>
      </w:r>
      <w:r w:rsidR="00F76F03" w:rsidRPr="000E6BB5">
        <w:rPr>
          <w:sz w:val="24"/>
        </w:rPr>
        <w:t>or on behalf of Recipient, or another Eligible Entity approved in writing by the Army, for the purposes set forth in this CA, and implemented according to the terms of the real property documents. The specific monitoring and enforcement obligations of the holder of the conservation easement or other restrictive document shall be set forth in such instrument, and shall be assumed by Recipient or the other Eligible Entity accepting the real property interest.  The acceptance at closing by Recipient or other Eligible Entity of such instrument, and the recording of such instrument shall, without more, be deemed to constitute an assumption of such obligations</w:t>
      </w:r>
      <w:r w:rsidR="006A12A9" w:rsidRPr="000E6BB5">
        <w:rPr>
          <w:sz w:val="24"/>
        </w:rPr>
        <w:t>.</w:t>
      </w:r>
    </w:p>
    <w:p w14:paraId="1E1D6C84" w14:textId="1C208351" w:rsidR="006A12A9" w:rsidRDefault="00FD31EF" w:rsidP="007050E5">
      <w:pPr>
        <w:autoSpaceDE/>
        <w:spacing w:after="200" w:line="276" w:lineRule="auto"/>
        <w:rPr>
          <w:sz w:val="24"/>
        </w:rPr>
      </w:pPr>
      <w:r>
        <w:rPr>
          <w:sz w:val="24"/>
        </w:rPr>
        <w:t>4</w:t>
      </w:r>
      <w:r w:rsidR="006A12A9">
        <w:rPr>
          <w:sz w:val="24"/>
        </w:rPr>
        <w:t xml:space="preserve">.8.1 </w:t>
      </w:r>
      <w:r w:rsidR="000834C2">
        <w:rPr>
          <w:sz w:val="24"/>
        </w:rPr>
        <w:t>Fort Huachuca</w:t>
      </w:r>
      <w:r w:rsidR="006A12A9" w:rsidRPr="00B145F5">
        <w:rPr>
          <w:sz w:val="24"/>
        </w:rPr>
        <w:t xml:space="preserve"> and the Army will not be responsible for monitoring of any property, or interest therein, acquired under this agreement for compliance with conservation purposes. </w:t>
      </w:r>
      <w:r w:rsidR="00386E79" w:rsidRPr="00B145F5">
        <w:rPr>
          <w:sz w:val="24"/>
        </w:rPr>
        <w:t xml:space="preserve">Monitoring </w:t>
      </w:r>
      <w:r w:rsidR="006A12A9">
        <w:rPr>
          <w:sz w:val="24"/>
        </w:rPr>
        <w:t xml:space="preserve">by Recipient </w:t>
      </w:r>
      <w:r w:rsidR="00386E79" w:rsidRPr="00B145F5">
        <w:rPr>
          <w:sz w:val="24"/>
        </w:rPr>
        <w:t xml:space="preserve">shall be done at least annually, in a manner appropriate to the size and restrictions of each property, and documentation (including reports, updated photographs, and maps) shall be kept of each monitoring activity. </w:t>
      </w:r>
    </w:p>
    <w:p w14:paraId="6D659EB8" w14:textId="15EE7835" w:rsidR="006A12A9" w:rsidRDefault="00FD31EF" w:rsidP="007050E5">
      <w:pPr>
        <w:autoSpaceDE/>
        <w:spacing w:after="200" w:line="276" w:lineRule="auto"/>
        <w:rPr>
          <w:sz w:val="24"/>
        </w:rPr>
      </w:pPr>
      <w:r>
        <w:rPr>
          <w:sz w:val="24"/>
        </w:rPr>
        <w:t>4</w:t>
      </w:r>
      <w:r w:rsidR="006A12A9">
        <w:rPr>
          <w:sz w:val="24"/>
        </w:rPr>
        <w:t xml:space="preserve">.8.2 </w:t>
      </w:r>
      <w:r w:rsidR="00014746" w:rsidRPr="00B145F5">
        <w:rPr>
          <w:sz w:val="24"/>
        </w:rPr>
        <w:t xml:space="preserve">Monitoring, at a minimum, </w:t>
      </w:r>
      <w:r w:rsidR="00C11108">
        <w:rPr>
          <w:sz w:val="24"/>
        </w:rPr>
        <w:t>shall</w:t>
      </w:r>
      <w:r w:rsidR="00014746" w:rsidRPr="00B145F5">
        <w:rPr>
          <w:sz w:val="24"/>
        </w:rPr>
        <w:t xml:space="preserve"> include</w:t>
      </w:r>
      <w:r w:rsidR="007C5418" w:rsidRPr="00B145F5">
        <w:rPr>
          <w:sz w:val="24"/>
        </w:rPr>
        <w:t>:</w:t>
      </w:r>
      <w:r w:rsidR="00014746" w:rsidRPr="00B145F5">
        <w:rPr>
          <w:sz w:val="24"/>
        </w:rPr>
        <w:t xml:space="preserve"> </w:t>
      </w:r>
      <w:r w:rsidR="007B4C3D" w:rsidRPr="00B145F5">
        <w:rPr>
          <w:sz w:val="24"/>
        </w:rPr>
        <w:t>annual site monitoring visits</w:t>
      </w:r>
      <w:r w:rsidR="006C4A66" w:rsidRPr="00B145F5">
        <w:rPr>
          <w:sz w:val="24"/>
        </w:rPr>
        <w:t xml:space="preserve"> where </w:t>
      </w:r>
      <w:r w:rsidR="007C5418" w:rsidRPr="00B145F5">
        <w:rPr>
          <w:sz w:val="24"/>
        </w:rPr>
        <w:t xml:space="preserve">the </w:t>
      </w:r>
      <w:r w:rsidR="006C4A66" w:rsidRPr="00B145F5">
        <w:rPr>
          <w:sz w:val="24"/>
        </w:rPr>
        <w:t xml:space="preserve">condition of the property is </w:t>
      </w:r>
      <w:r w:rsidR="007C5418" w:rsidRPr="00B145F5">
        <w:rPr>
          <w:sz w:val="24"/>
        </w:rPr>
        <w:t>compared</w:t>
      </w:r>
      <w:r w:rsidR="006C4A66" w:rsidRPr="00B145F5">
        <w:rPr>
          <w:sz w:val="24"/>
        </w:rPr>
        <w:t xml:space="preserve"> to baseline</w:t>
      </w:r>
      <w:r w:rsidR="00386E79" w:rsidRPr="00B145F5">
        <w:rPr>
          <w:sz w:val="24"/>
        </w:rPr>
        <w:t xml:space="preserve"> (including photographs</w:t>
      </w:r>
      <w:r w:rsidR="007C5418" w:rsidRPr="00B145F5">
        <w:rPr>
          <w:sz w:val="24"/>
        </w:rPr>
        <w:t>)</w:t>
      </w:r>
      <w:r w:rsidR="006C4A66" w:rsidRPr="00B145F5">
        <w:rPr>
          <w:sz w:val="24"/>
        </w:rPr>
        <w:t xml:space="preserve"> and </w:t>
      </w:r>
      <w:r w:rsidR="007C5418" w:rsidRPr="00B145F5">
        <w:rPr>
          <w:sz w:val="24"/>
        </w:rPr>
        <w:t xml:space="preserve">the </w:t>
      </w:r>
      <w:r w:rsidR="006C4A66" w:rsidRPr="00B145F5">
        <w:rPr>
          <w:sz w:val="24"/>
        </w:rPr>
        <w:t xml:space="preserve">property is monitored for compliance with any deed restrictions; </w:t>
      </w:r>
      <w:r w:rsidR="007C5418" w:rsidRPr="00B145F5">
        <w:rPr>
          <w:sz w:val="24"/>
        </w:rPr>
        <w:t xml:space="preserve">site visit reports (including </w:t>
      </w:r>
      <w:r w:rsidR="00386E79" w:rsidRPr="00B145F5">
        <w:rPr>
          <w:sz w:val="24"/>
        </w:rPr>
        <w:t>photographs</w:t>
      </w:r>
      <w:r w:rsidR="007C5418" w:rsidRPr="00B145F5">
        <w:rPr>
          <w:sz w:val="24"/>
        </w:rPr>
        <w:t xml:space="preserve">) </w:t>
      </w:r>
      <w:r w:rsidR="00A34475" w:rsidRPr="00B145F5">
        <w:rPr>
          <w:sz w:val="24"/>
        </w:rPr>
        <w:t>that are</w:t>
      </w:r>
      <w:r w:rsidR="007C5418" w:rsidRPr="00B145F5">
        <w:rPr>
          <w:sz w:val="24"/>
        </w:rPr>
        <w:t xml:space="preserve"> maintained in a central repository</w:t>
      </w:r>
      <w:r w:rsidR="00A34475" w:rsidRPr="00B145F5">
        <w:rPr>
          <w:sz w:val="24"/>
        </w:rPr>
        <w:t xml:space="preserve">; regular </w:t>
      </w:r>
      <w:r w:rsidR="007C5418" w:rsidRPr="00B145F5">
        <w:rPr>
          <w:sz w:val="24"/>
        </w:rPr>
        <w:t>contact with landowners;</w:t>
      </w:r>
      <w:r w:rsidR="00BE2FDC" w:rsidRPr="00B145F5">
        <w:rPr>
          <w:sz w:val="24"/>
        </w:rPr>
        <w:t xml:space="preserve"> </w:t>
      </w:r>
      <w:r w:rsidR="0096766D" w:rsidRPr="00B145F5">
        <w:rPr>
          <w:sz w:val="24"/>
        </w:rPr>
        <w:t xml:space="preserve">and </w:t>
      </w:r>
      <w:r w:rsidR="00A34475" w:rsidRPr="00B145F5">
        <w:rPr>
          <w:sz w:val="24"/>
        </w:rPr>
        <w:t xml:space="preserve">education of </w:t>
      </w:r>
      <w:r w:rsidR="00BE2FDC" w:rsidRPr="00B145F5">
        <w:rPr>
          <w:sz w:val="24"/>
        </w:rPr>
        <w:t xml:space="preserve">new landowners on terms and conditions of easements. </w:t>
      </w:r>
    </w:p>
    <w:p w14:paraId="5D7071E4" w14:textId="1E350605" w:rsidR="007050E5" w:rsidRPr="00B145F5" w:rsidRDefault="00FD31EF" w:rsidP="007050E5">
      <w:pPr>
        <w:autoSpaceDE/>
        <w:spacing w:after="200" w:line="276" w:lineRule="auto"/>
        <w:rPr>
          <w:sz w:val="24"/>
        </w:rPr>
      </w:pPr>
      <w:r>
        <w:rPr>
          <w:sz w:val="24"/>
        </w:rPr>
        <w:t>4</w:t>
      </w:r>
      <w:r w:rsidR="006A12A9">
        <w:rPr>
          <w:sz w:val="24"/>
        </w:rPr>
        <w:t xml:space="preserve">.8.3 </w:t>
      </w:r>
      <w:r w:rsidR="00BE2FDC" w:rsidRPr="00B145F5">
        <w:rPr>
          <w:sz w:val="24"/>
        </w:rPr>
        <w:t>Funds invoiced</w:t>
      </w:r>
      <w:r w:rsidR="006A12A9">
        <w:rPr>
          <w:sz w:val="24"/>
        </w:rPr>
        <w:t xml:space="preserve"> for monitoring </w:t>
      </w:r>
      <w:r w:rsidR="00BE2FDC" w:rsidRPr="00B145F5">
        <w:rPr>
          <w:sz w:val="24"/>
        </w:rPr>
        <w:t>or claimed as partner share for</w:t>
      </w:r>
      <w:r w:rsidR="00C11108">
        <w:rPr>
          <w:sz w:val="24"/>
        </w:rPr>
        <w:t xml:space="preserve"> monitoring or enforcement shall</w:t>
      </w:r>
      <w:r w:rsidR="00BE2FDC" w:rsidRPr="00B145F5">
        <w:rPr>
          <w:sz w:val="24"/>
        </w:rPr>
        <w:t xml:space="preserve"> be used for said purpose. </w:t>
      </w:r>
    </w:p>
    <w:p w14:paraId="2B4278F5" w14:textId="6A7CB20F" w:rsidR="00BA7EB1" w:rsidRDefault="00FD31EF" w:rsidP="007050E5">
      <w:pPr>
        <w:autoSpaceDE/>
        <w:spacing w:after="200" w:line="276" w:lineRule="auto"/>
        <w:rPr>
          <w:sz w:val="24"/>
        </w:rPr>
      </w:pPr>
      <w:r>
        <w:rPr>
          <w:sz w:val="24"/>
        </w:rPr>
        <w:t>4</w:t>
      </w:r>
      <w:r w:rsidR="00BA7EB1" w:rsidRPr="00B145F5">
        <w:rPr>
          <w:sz w:val="24"/>
        </w:rPr>
        <w:t xml:space="preserve">.9 In the event a parcel is to be purchased for protecting habitat (e.g. for threatened and endangered species) in order to prevent or relieve a regulatory restriction on-post, steps </w:t>
      </w:r>
      <w:r w:rsidR="00BF1792">
        <w:rPr>
          <w:sz w:val="24"/>
        </w:rPr>
        <w:t>4</w:t>
      </w:r>
      <w:r w:rsidR="00BA7EB1" w:rsidRPr="00B145F5">
        <w:rPr>
          <w:sz w:val="24"/>
        </w:rPr>
        <w:t xml:space="preserve">.2 through </w:t>
      </w:r>
      <w:r w:rsidR="00BF1792">
        <w:rPr>
          <w:sz w:val="24"/>
        </w:rPr>
        <w:t>4</w:t>
      </w:r>
      <w:r w:rsidR="00BA7EB1" w:rsidRPr="00B145F5">
        <w:rPr>
          <w:sz w:val="24"/>
        </w:rPr>
        <w:t>.8</w:t>
      </w:r>
      <w:r w:rsidR="001377E7" w:rsidRPr="00B145F5">
        <w:rPr>
          <w:sz w:val="24"/>
        </w:rPr>
        <w:t xml:space="preserve"> above</w:t>
      </w:r>
      <w:r w:rsidR="00BA7EB1" w:rsidRPr="00B145F5">
        <w:rPr>
          <w:sz w:val="24"/>
        </w:rPr>
        <w:t xml:space="preserve"> shall be followed, but with the Notice to Proceed approval level at Headquarters, Installation Management Command-G4</w:t>
      </w:r>
      <w:r w:rsidR="001377E7" w:rsidRPr="00B145F5">
        <w:rPr>
          <w:sz w:val="24"/>
        </w:rPr>
        <w:t xml:space="preserve"> (HQ IMCOM-G4)</w:t>
      </w:r>
      <w:r w:rsidR="00BA7EB1" w:rsidRPr="00B145F5">
        <w:rPr>
          <w:sz w:val="24"/>
        </w:rPr>
        <w:t xml:space="preserve">. If applicable, this will also include additional </w:t>
      </w:r>
      <w:r w:rsidR="001377E7" w:rsidRPr="00B145F5">
        <w:rPr>
          <w:sz w:val="24"/>
        </w:rPr>
        <w:t xml:space="preserve">HQ IMCOM-G4 </w:t>
      </w:r>
      <w:r w:rsidR="00BA7EB1" w:rsidRPr="00B145F5">
        <w:rPr>
          <w:sz w:val="24"/>
        </w:rPr>
        <w:t xml:space="preserve">approval </w:t>
      </w:r>
      <w:r w:rsidR="001377E7" w:rsidRPr="00B145F5">
        <w:rPr>
          <w:sz w:val="24"/>
        </w:rPr>
        <w:t xml:space="preserve">of a Notice to Proceed </w:t>
      </w:r>
      <w:r w:rsidR="00BA7EB1" w:rsidRPr="00B145F5">
        <w:rPr>
          <w:sz w:val="24"/>
        </w:rPr>
        <w:t>for land management a</w:t>
      </w:r>
      <w:r w:rsidR="001377E7" w:rsidRPr="00B145F5">
        <w:rPr>
          <w:sz w:val="24"/>
        </w:rPr>
        <w:t xml:space="preserve">ctivities in a management plan. </w:t>
      </w:r>
      <w:r w:rsidR="007C5418" w:rsidRPr="00B145F5">
        <w:rPr>
          <w:sz w:val="24"/>
        </w:rPr>
        <w:t xml:space="preserve">Recipient will send a Request to Proceed to the TCAM, who will then </w:t>
      </w:r>
      <w:r w:rsidR="001377E7" w:rsidRPr="00B145F5">
        <w:rPr>
          <w:sz w:val="24"/>
        </w:rPr>
        <w:t xml:space="preserve">coordinate with the </w:t>
      </w:r>
      <w:r w:rsidR="007C5418" w:rsidRPr="00B145F5">
        <w:rPr>
          <w:sz w:val="24"/>
        </w:rPr>
        <w:t>US</w:t>
      </w:r>
      <w:r w:rsidR="006E6C15" w:rsidRPr="00B145F5">
        <w:rPr>
          <w:sz w:val="24"/>
        </w:rPr>
        <w:t xml:space="preserve"> Army Environmental Command (US</w:t>
      </w:r>
      <w:r w:rsidR="007C5418" w:rsidRPr="00B145F5">
        <w:rPr>
          <w:sz w:val="24"/>
        </w:rPr>
        <w:t>AEC</w:t>
      </w:r>
      <w:r w:rsidR="006E6C15" w:rsidRPr="00B145F5">
        <w:rPr>
          <w:sz w:val="24"/>
        </w:rPr>
        <w:t>) Cooperative Agreement Manager (CAM)</w:t>
      </w:r>
      <w:r w:rsidR="001377E7" w:rsidRPr="00B145F5">
        <w:rPr>
          <w:sz w:val="24"/>
        </w:rPr>
        <w:t xml:space="preserve"> on seeking HQ IMCOM-G4 approvals.</w:t>
      </w:r>
      <w:r w:rsidR="001377E7">
        <w:rPr>
          <w:sz w:val="24"/>
        </w:rPr>
        <w:t xml:space="preserve"> </w:t>
      </w:r>
    </w:p>
    <w:p w14:paraId="3DCE2440" w14:textId="7B83984C" w:rsidR="007050E5" w:rsidRDefault="00FD31EF" w:rsidP="007050E5">
      <w:pPr>
        <w:autoSpaceDE/>
        <w:spacing w:after="200" w:line="276" w:lineRule="auto"/>
        <w:rPr>
          <w:sz w:val="24"/>
        </w:rPr>
      </w:pPr>
      <w:r>
        <w:rPr>
          <w:sz w:val="24"/>
        </w:rPr>
        <w:t>4</w:t>
      </w:r>
      <w:r w:rsidR="005F09DE">
        <w:rPr>
          <w:sz w:val="24"/>
        </w:rPr>
        <w:t>.10</w:t>
      </w:r>
      <w:r w:rsidR="007050E5">
        <w:rPr>
          <w:sz w:val="24"/>
        </w:rPr>
        <w:t xml:space="preserve"> </w:t>
      </w:r>
      <w:r w:rsidR="00194C55">
        <w:rPr>
          <w:sz w:val="24"/>
        </w:rPr>
        <w:t>Recipient</w:t>
      </w:r>
      <w:r w:rsidR="007050E5">
        <w:rPr>
          <w:sz w:val="24"/>
        </w:rPr>
        <w:t xml:space="preserve"> will conduct any and all negotiations with owners of all parcels proposed for acquisition or encumbrance. </w:t>
      </w:r>
      <w:r w:rsidR="00194C55">
        <w:rPr>
          <w:sz w:val="24"/>
        </w:rPr>
        <w:t>Recipient</w:t>
      </w:r>
      <w:r w:rsidR="007050E5">
        <w:rPr>
          <w:sz w:val="24"/>
        </w:rPr>
        <w:t xml:space="preserve"> shall involve </w:t>
      </w:r>
      <w:r w:rsidR="001377E7">
        <w:rPr>
          <w:sz w:val="24"/>
        </w:rPr>
        <w:t>T</w:t>
      </w:r>
      <w:r w:rsidR="003926B1">
        <w:rPr>
          <w:sz w:val="24"/>
        </w:rPr>
        <w:t>CA</w:t>
      </w:r>
      <w:r w:rsidR="001377E7">
        <w:rPr>
          <w:sz w:val="24"/>
        </w:rPr>
        <w:t>M</w:t>
      </w:r>
      <w:r w:rsidR="007050E5">
        <w:rPr>
          <w:sz w:val="24"/>
        </w:rPr>
        <w:t xml:space="preserve"> in development of any easement, deed provision</w:t>
      </w:r>
      <w:r w:rsidR="000D32A7">
        <w:rPr>
          <w:sz w:val="24"/>
        </w:rPr>
        <w:t>,</w:t>
      </w:r>
      <w:r w:rsidR="007050E5">
        <w:rPr>
          <w:sz w:val="24"/>
        </w:rPr>
        <w:t xml:space="preserve"> or other propert</w:t>
      </w:r>
      <w:r w:rsidR="000D32A7">
        <w:rPr>
          <w:sz w:val="24"/>
        </w:rPr>
        <w:t>y transfer document and obtain</w:t>
      </w:r>
      <w:r w:rsidR="007050E5">
        <w:rPr>
          <w:sz w:val="24"/>
        </w:rPr>
        <w:t xml:space="preserve"> such parties concurrence before finalizing any transaction. </w:t>
      </w:r>
    </w:p>
    <w:p w14:paraId="28517EB9" w14:textId="03C0C5C2" w:rsidR="007050E5" w:rsidRDefault="00FD31EF" w:rsidP="007050E5">
      <w:pPr>
        <w:autoSpaceDE/>
        <w:spacing w:after="200" w:line="276" w:lineRule="auto"/>
        <w:rPr>
          <w:sz w:val="24"/>
        </w:rPr>
      </w:pPr>
      <w:r>
        <w:rPr>
          <w:sz w:val="24"/>
        </w:rPr>
        <w:t>4</w:t>
      </w:r>
      <w:r w:rsidR="00F56DD4">
        <w:rPr>
          <w:sz w:val="24"/>
        </w:rPr>
        <w:t>.11</w:t>
      </w:r>
      <w:r w:rsidR="007050E5">
        <w:rPr>
          <w:sz w:val="24"/>
        </w:rPr>
        <w:t xml:space="preserve"> </w:t>
      </w:r>
      <w:r w:rsidR="00F56DD4">
        <w:rPr>
          <w:sz w:val="24"/>
        </w:rPr>
        <w:t>Prior</w:t>
      </w:r>
      <w:r w:rsidR="007050E5">
        <w:rPr>
          <w:sz w:val="24"/>
        </w:rPr>
        <w:t xml:space="preserve"> to making an offer to the</w:t>
      </w:r>
      <w:r w:rsidR="005975DA">
        <w:rPr>
          <w:sz w:val="24"/>
        </w:rPr>
        <w:t xml:space="preserve"> landowner, </w:t>
      </w:r>
      <w:r w:rsidR="00194C55">
        <w:rPr>
          <w:sz w:val="24"/>
        </w:rPr>
        <w:t>Recipient</w:t>
      </w:r>
      <w:r w:rsidR="005975DA">
        <w:rPr>
          <w:sz w:val="24"/>
        </w:rPr>
        <w:t xml:space="preserve"> </w:t>
      </w:r>
      <w:r w:rsidR="007050E5">
        <w:rPr>
          <w:sz w:val="24"/>
        </w:rPr>
        <w:t xml:space="preserve">shall provide the landowner/seller with the appropriate notifications in accordance with the Uniform Relocation Assistance and Real Property </w:t>
      </w:r>
      <w:r w:rsidR="007050E5" w:rsidRPr="000E6BB5">
        <w:rPr>
          <w:sz w:val="24"/>
        </w:rPr>
        <w:t>Acquisition Policies Act of</w:t>
      </w:r>
      <w:r w:rsidR="00F76F03" w:rsidRPr="000E6BB5">
        <w:rPr>
          <w:sz w:val="24"/>
        </w:rPr>
        <w:t xml:space="preserve"> 1970 to the extent applicable.  Recipient shall notify the owner in writing that it will not acquire the property if negotiations fail to result in an amicable agreement. Recipient shall also inform the owner in writing of what it believes to be the market value of the property.</w:t>
      </w:r>
    </w:p>
    <w:p w14:paraId="5CED4988" w14:textId="324C46C1" w:rsidR="00F56DD4" w:rsidRDefault="00FD31EF" w:rsidP="007050E5">
      <w:pPr>
        <w:autoSpaceDE/>
        <w:spacing w:after="200" w:line="276" w:lineRule="auto"/>
        <w:rPr>
          <w:sz w:val="24"/>
        </w:rPr>
      </w:pPr>
      <w:r>
        <w:rPr>
          <w:sz w:val="24"/>
        </w:rPr>
        <w:t>4</w:t>
      </w:r>
      <w:r w:rsidR="00F56DD4">
        <w:rPr>
          <w:sz w:val="24"/>
        </w:rPr>
        <w:t xml:space="preserve">.12 </w:t>
      </w:r>
      <w:r w:rsidR="00F56DD4">
        <w:rPr>
          <w:color w:val="000000"/>
          <w:spacing w:val="-1"/>
          <w:sz w:val="24"/>
        </w:rPr>
        <w:t>Upon</w:t>
      </w:r>
      <w:r w:rsidR="00F56DD4" w:rsidRPr="00E519E0">
        <w:rPr>
          <w:color w:val="000000"/>
          <w:spacing w:val="-1"/>
          <w:sz w:val="24"/>
        </w:rPr>
        <w:t xml:space="preserve"> closing, </w:t>
      </w:r>
      <w:r w:rsidR="00194C55">
        <w:rPr>
          <w:color w:val="000000"/>
          <w:spacing w:val="-1"/>
          <w:sz w:val="24"/>
        </w:rPr>
        <w:t>Recipient</w:t>
      </w:r>
      <w:r w:rsidR="00F56DD4" w:rsidRPr="00E519E0">
        <w:rPr>
          <w:color w:val="000000"/>
          <w:spacing w:val="-1"/>
          <w:sz w:val="24"/>
        </w:rPr>
        <w:t xml:space="preserve"> shall record all deeds of transfer</w:t>
      </w:r>
      <w:r w:rsidR="00F56DD4">
        <w:rPr>
          <w:color w:val="000000"/>
          <w:spacing w:val="-1"/>
          <w:sz w:val="24"/>
        </w:rPr>
        <w:t>,</w:t>
      </w:r>
      <w:r w:rsidR="00F56DD4" w:rsidRPr="00E519E0">
        <w:rPr>
          <w:color w:val="000000"/>
          <w:spacing w:val="-1"/>
          <w:sz w:val="24"/>
        </w:rPr>
        <w:t xml:space="preserve"> including conservation servitude</w:t>
      </w:r>
      <w:r w:rsidR="00F56DD4">
        <w:rPr>
          <w:color w:val="000000"/>
          <w:spacing w:val="-1"/>
          <w:sz w:val="24"/>
        </w:rPr>
        <w:t>,</w:t>
      </w:r>
      <w:r w:rsidR="00F56DD4" w:rsidRPr="00E519E0">
        <w:rPr>
          <w:color w:val="000000"/>
          <w:spacing w:val="-1"/>
          <w:sz w:val="24"/>
        </w:rPr>
        <w:t xml:space="preserve"> and</w:t>
      </w:r>
      <w:r w:rsidR="00F56DD4">
        <w:rPr>
          <w:color w:val="000000"/>
          <w:spacing w:val="-1"/>
          <w:sz w:val="24"/>
        </w:rPr>
        <w:t xml:space="preserve"> </w:t>
      </w:r>
      <w:r w:rsidR="00F56DD4" w:rsidRPr="00E519E0">
        <w:rPr>
          <w:color w:val="000000"/>
          <w:spacing w:val="-1"/>
          <w:sz w:val="24"/>
        </w:rPr>
        <w:t>all other agreed-upon notices in the local land records in accordance with the requirements of the law</w:t>
      </w:r>
      <w:r w:rsidR="00F56DD4">
        <w:rPr>
          <w:color w:val="000000"/>
          <w:spacing w:val="-1"/>
          <w:sz w:val="24"/>
        </w:rPr>
        <w:t xml:space="preserve"> </w:t>
      </w:r>
      <w:r w:rsidR="00F56DD4" w:rsidRPr="00E519E0">
        <w:rPr>
          <w:color w:val="000000"/>
          <w:sz w:val="24"/>
        </w:rPr>
        <w:t>of the state in which the land is located</w:t>
      </w:r>
      <w:r w:rsidR="009070C2">
        <w:rPr>
          <w:color w:val="000000"/>
          <w:sz w:val="24"/>
        </w:rPr>
        <w:t>.</w:t>
      </w:r>
    </w:p>
    <w:p w14:paraId="3DF30DB4" w14:textId="72A036F3" w:rsidR="00FE3A9C" w:rsidRDefault="00FD31EF" w:rsidP="00FE3A9C">
      <w:pPr>
        <w:autoSpaceDE/>
        <w:spacing w:after="200" w:line="276" w:lineRule="auto"/>
        <w:rPr>
          <w:sz w:val="24"/>
        </w:rPr>
      </w:pPr>
      <w:r>
        <w:rPr>
          <w:sz w:val="24"/>
        </w:rPr>
        <w:t>4</w:t>
      </w:r>
      <w:r w:rsidR="00F56DD4">
        <w:rPr>
          <w:sz w:val="24"/>
        </w:rPr>
        <w:t>.13</w:t>
      </w:r>
      <w:r w:rsidR="00FE3A9C">
        <w:rPr>
          <w:sz w:val="24"/>
        </w:rPr>
        <w:t xml:space="preserve"> </w:t>
      </w:r>
      <w:r w:rsidR="00194C55">
        <w:rPr>
          <w:sz w:val="24"/>
        </w:rPr>
        <w:t>Recipient</w:t>
      </w:r>
      <w:r w:rsidR="00FE3A9C">
        <w:rPr>
          <w:sz w:val="24"/>
        </w:rPr>
        <w:t xml:space="preserve"> agrees to provide to </w:t>
      </w:r>
      <w:r w:rsidR="000834C2">
        <w:rPr>
          <w:sz w:val="24"/>
        </w:rPr>
        <w:t xml:space="preserve">Fort Huachuca </w:t>
      </w:r>
      <w:r w:rsidR="00FE3A9C">
        <w:rPr>
          <w:sz w:val="24"/>
        </w:rPr>
        <w:t>all data, reports, investigations</w:t>
      </w:r>
      <w:r w:rsidR="00F56DD4">
        <w:rPr>
          <w:sz w:val="24"/>
        </w:rPr>
        <w:t>,</w:t>
      </w:r>
      <w:r w:rsidR="00FE3A9C">
        <w:rPr>
          <w:sz w:val="24"/>
        </w:rPr>
        <w:t xml:space="preserve"> or determinations relevant to the property. This documentation shall be free of any disclosure restriction unless required by the real property owner to be held in confidence in order to gain access to the property and then only to the extent necessary to prote</w:t>
      </w:r>
      <w:r w:rsidR="00686C4E">
        <w:rPr>
          <w:sz w:val="24"/>
        </w:rPr>
        <w:t>c</w:t>
      </w:r>
      <w:r w:rsidR="00FE3A9C">
        <w:rPr>
          <w:sz w:val="24"/>
        </w:rPr>
        <w:t xml:space="preserve">t data and information only obtainable on the real property itself. The confidential nature of any information shall not prevent its delivery to </w:t>
      </w:r>
      <w:r w:rsidR="000834C2">
        <w:rPr>
          <w:sz w:val="24"/>
        </w:rPr>
        <w:t xml:space="preserve">Fort Huachuca </w:t>
      </w:r>
      <w:r w:rsidR="00FE3A9C">
        <w:rPr>
          <w:sz w:val="24"/>
        </w:rPr>
        <w:t xml:space="preserve">for use within the U.S. </w:t>
      </w:r>
      <w:r w:rsidR="00A675E8">
        <w:rPr>
          <w:sz w:val="24"/>
        </w:rPr>
        <w:t>G</w:t>
      </w:r>
      <w:r w:rsidR="00FE3A9C">
        <w:rPr>
          <w:sz w:val="24"/>
        </w:rPr>
        <w:t xml:space="preserve">overnment. Such confidential information shall be deemed to be subject to the Trade Secrets Act, 18 USC 1905, which makes its improper release by a Government employee a criminal offense. Confidential information will be free of any restriction if the owner sells a fee simple interest pursuant to the goals of this CA. </w:t>
      </w:r>
    </w:p>
    <w:p w14:paraId="59774005" w14:textId="531DE16C" w:rsidR="007050E5" w:rsidRDefault="00FD31EF" w:rsidP="007050E5">
      <w:pPr>
        <w:autoSpaceDE/>
        <w:spacing w:after="200" w:line="276" w:lineRule="auto"/>
        <w:rPr>
          <w:sz w:val="24"/>
        </w:rPr>
      </w:pPr>
      <w:r>
        <w:rPr>
          <w:sz w:val="24"/>
        </w:rPr>
        <w:t>5</w:t>
      </w:r>
      <w:r w:rsidR="007050E5">
        <w:rPr>
          <w:sz w:val="24"/>
        </w:rPr>
        <w:t>.</w:t>
      </w:r>
      <w:r>
        <w:rPr>
          <w:sz w:val="24"/>
        </w:rPr>
        <w:t>0</w:t>
      </w:r>
      <w:r w:rsidR="007050E5">
        <w:rPr>
          <w:sz w:val="24"/>
        </w:rPr>
        <w:t xml:space="preserve"> </w:t>
      </w:r>
      <w:r w:rsidR="007050E5">
        <w:rPr>
          <w:b/>
          <w:bCs/>
          <w:sz w:val="24"/>
        </w:rPr>
        <w:t xml:space="preserve">DELIVERABLES </w:t>
      </w:r>
    </w:p>
    <w:p w14:paraId="4EDFDE3A" w14:textId="56FEDB21" w:rsidR="007050E5" w:rsidRPr="000E6BB5" w:rsidRDefault="00FD31EF" w:rsidP="007050E5">
      <w:pPr>
        <w:autoSpaceDE/>
        <w:spacing w:after="200" w:line="276" w:lineRule="auto"/>
        <w:rPr>
          <w:sz w:val="24"/>
        </w:rPr>
      </w:pPr>
      <w:r>
        <w:rPr>
          <w:sz w:val="24"/>
        </w:rPr>
        <w:t>5</w:t>
      </w:r>
      <w:r w:rsidR="007050E5">
        <w:rPr>
          <w:sz w:val="24"/>
        </w:rPr>
        <w:t>.1 Annual reports of the progress made towar</w:t>
      </w:r>
      <w:r w:rsidR="00A675E8">
        <w:rPr>
          <w:sz w:val="24"/>
        </w:rPr>
        <w:t>d project tasks in paragraph 4.0</w:t>
      </w:r>
      <w:r w:rsidR="007050E5">
        <w:rPr>
          <w:sz w:val="24"/>
        </w:rPr>
        <w:t xml:space="preserve"> above shall be submitted to </w:t>
      </w:r>
      <w:r w:rsidR="00A47423">
        <w:rPr>
          <w:sz w:val="24"/>
        </w:rPr>
        <w:t>the</w:t>
      </w:r>
      <w:r w:rsidR="006E6C15">
        <w:rPr>
          <w:sz w:val="24"/>
        </w:rPr>
        <w:t xml:space="preserve"> </w:t>
      </w:r>
      <w:r w:rsidR="00A47423">
        <w:rPr>
          <w:sz w:val="24"/>
        </w:rPr>
        <w:t xml:space="preserve">USAEC in coordination with </w:t>
      </w:r>
      <w:r w:rsidR="000834C2">
        <w:rPr>
          <w:sz w:val="24"/>
        </w:rPr>
        <w:t xml:space="preserve">Fort Huachuca </w:t>
      </w:r>
      <w:r w:rsidR="00A47423">
        <w:rPr>
          <w:sz w:val="24"/>
        </w:rPr>
        <w:t xml:space="preserve">by </w:t>
      </w:r>
      <w:r w:rsidR="000D32A7">
        <w:rPr>
          <w:sz w:val="24"/>
        </w:rPr>
        <w:t xml:space="preserve">USAEC’s </w:t>
      </w:r>
      <w:r w:rsidR="00A47423">
        <w:rPr>
          <w:sz w:val="24"/>
        </w:rPr>
        <w:t>established due date</w:t>
      </w:r>
      <w:r w:rsidR="00A34475">
        <w:rPr>
          <w:sz w:val="24"/>
        </w:rPr>
        <w:t xml:space="preserve"> (generally 31 October)</w:t>
      </w:r>
      <w:r w:rsidR="00A47423">
        <w:rPr>
          <w:sz w:val="24"/>
        </w:rPr>
        <w:t xml:space="preserve"> after the close of </w:t>
      </w:r>
      <w:r w:rsidR="007050E5">
        <w:rPr>
          <w:sz w:val="24"/>
        </w:rPr>
        <w:t xml:space="preserve">each </w:t>
      </w:r>
      <w:r w:rsidR="008C36EE">
        <w:rPr>
          <w:sz w:val="24"/>
        </w:rPr>
        <w:t xml:space="preserve">federal </w:t>
      </w:r>
      <w:r w:rsidR="00A47423">
        <w:rPr>
          <w:sz w:val="24"/>
        </w:rPr>
        <w:t xml:space="preserve">fiscal </w:t>
      </w:r>
      <w:r w:rsidR="007050E5">
        <w:rPr>
          <w:sz w:val="24"/>
        </w:rPr>
        <w:t xml:space="preserve">year. The report shall provide information on how funds have been expended during the reporting period and include information that </w:t>
      </w:r>
      <w:r w:rsidR="000834C2">
        <w:rPr>
          <w:sz w:val="24"/>
        </w:rPr>
        <w:t xml:space="preserve">Fort Huachuca </w:t>
      </w:r>
      <w:r w:rsidR="00A34475">
        <w:rPr>
          <w:sz w:val="24"/>
        </w:rPr>
        <w:t>and USAEC need</w:t>
      </w:r>
      <w:r w:rsidR="007050E5">
        <w:rPr>
          <w:sz w:val="24"/>
        </w:rPr>
        <w:t xml:space="preserve"> to properly promote and manage the project. Such information </w:t>
      </w:r>
      <w:r w:rsidR="00A34475">
        <w:rPr>
          <w:sz w:val="24"/>
        </w:rPr>
        <w:t>shall</w:t>
      </w:r>
      <w:r w:rsidR="007050E5">
        <w:rPr>
          <w:sz w:val="24"/>
        </w:rPr>
        <w:t xml:space="preserve"> include a map with the parcels acquired or proposed for acquisition under this agreement</w:t>
      </w:r>
      <w:r w:rsidR="00753FAB">
        <w:rPr>
          <w:sz w:val="24"/>
        </w:rPr>
        <w:t xml:space="preserve">, </w:t>
      </w:r>
      <w:r w:rsidR="001F7CF0">
        <w:rPr>
          <w:sz w:val="24"/>
        </w:rPr>
        <w:t>corresponding g</w:t>
      </w:r>
      <w:r w:rsidR="00A34475">
        <w:rPr>
          <w:sz w:val="24"/>
        </w:rPr>
        <w:t>eospatial data,</w:t>
      </w:r>
      <w:r w:rsidR="007050E5">
        <w:rPr>
          <w:sz w:val="24"/>
        </w:rPr>
        <w:t xml:space="preserve"> and a table that lists: the acquisition name; nature of realty interest acquired, </w:t>
      </w:r>
      <w:r w:rsidR="00753FAB">
        <w:rPr>
          <w:sz w:val="24"/>
        </w:rPr>
        <w:t xml:space="preserve">ACUB priority area, </w:t>
      </w:r>
      <w:r w:rsidR="007050E5">
        <w:rPr>
          <w:sz w:val="24"/>
        </w:rPr>
        <w:t>acreage, costs, source of funds, land uses (current or intended), and a list of any agreements or m</w:t>
      </w:r>
      <w:r w:rsidR="006A4EF8">
        <w:rPr>
          <w:sz w:val="24"/>
        </w:rPr>
        <w:t xml:space="preserve">anagement plans for the parcel. Any differences between advanced invoice requests and actual expenditures must be addressed within the report. Any ACUB land sales or transfers and any program income must also be </w:t>
      </w:r>
      <w:r w:rsidR="00753FAB">
        <w:rPr>
          <w:sz w:val="24"/>
        </w:rPr>
        <w:t>addressed</w:t>
      </w:r>
      <w:r w:rsidR="006A4EF8">
        <w:rPr>
          <w:sz w:val="24"/>
        </w:rPr>
        <w:t xml:space="preserve"> </w:t>
      </w:r>
      <w:r w:rsidR="00753FAB">
        <w:rPr>
          <w:sz w:val="24"/>
        </w:rPr>
        <w:t xml:space="preserve">in </w:t>
      </w:r>
      <w:r w:rsidR="006A4EF8">
        <w:rPr>
          <w:sz w:val="24"/>
        </w:rPr>
        <w:t>the report.</w:t>
      </w:r>
      <w:r w:rsidR="00B654DA">
        <w:rPr>
          <w:sz w:val="24"/>
        </w:rPr>
        <w:t xml:space="preserve">  Geospatial data attributes must include, at a minimum:  parcel name, parcel owner, interest acquired, easement holder (as applicable), date closed (or target date), parcel acres, acres </w:t>
      </w:r>
      <w:r w:rsidR="00B654DA" w:rsidRPr="000E6BB5">
        <w:rPr>
          <w:sz w:val="24"/>
        </w:rPr>
        <w:t xml:space="preserve">under conservation, </w:t>
      </w:r>
      <w:r w:rsidR="00293E51" w:rsidRPr="000E6BB5">
        <w:rPr>
          <w:sz w:val="24"/>
        </w:rPr>
        <w:t xml:space="preserve">and ACUB </w:t>
      </w:r>
      <w:r w:rsidR="00B654DA" w:rsidRPr="000E6BB5">
        <w:rPr>
          <w:sz w:val="24"/>
        </w:rPr>
        <w:t>priority area</w:t>
      </w:r>
      <w:r w:rsidR="00293E51" w:rsidRPr="000E6BB5">
        <w:rPr>
          <w:sz w:val="24"/>
        </w:rPr>
        <w:t>.</w:t>
      </w:r>
      <w:r w:rsidR="006A4EF8" w:rsidRPr="000E6BB5">
        <w:rPr>
          <w:sz w:val="24"/>
        </w:rPr>
        <w:t xml:space="preserve"> </w:t>
      </w:r>
    </w:p>
    <w:p w14:paraId="7D5D2BD0" w14:textId="73D2A4CC" w:rsidR="007050E5" w:rsidRPr="00B145F5" w:rsidRDefault="00FD31EF" w:rsidP="007050E5">
      <w:pPr>
        <w:autoSpaceDE/>
        <w:spacing w:after="200" w:line="276" w:lineRule="auto"/>
        <w:rPr>
          <w:sz w:val="24"/>
        </w:rPr>
      </w:pPr>
      <w:r w:rsidRPr="000E6BB5">
        <w:rPr>
          <w:sz w:val="24"/>
        </w:rPr>
        <w:t>5</w:t>
      </w:r>
      <w:r w:rsidR="007050E5" w:rsidRPr="000E6BB5">
        <w:rPr>
          <w:sz w:val="24"/>
        </w:rPr>
        <w:t xml:space="preserve">.2 </w:t>
      </w:r>
      <w:r w:rsidR="00F76F03" w:rsidRPr="000E6BB5">
        <w:rPr>
          <w:sz w:val="24"/>
        </w:rPr>
        <w:t xml:space="preserve">Due diligence and recorded </w:t>
      </w:r>
      <w:r w:rsidR="007050E5" w:rsidRPr="000E6BB5">
        <w:rPr>
          <w:sz w:val="24"/>
        </w:rPr>
        <w:t>transactional</w:t>
      </w:r>
      <w:r w:rsidR="007050E5">
        <w:rPr>
          <w:sz w:val="24"/>
        </w:rPr>
        <w:t xml:space="preserve"> documents developed to carry out the tasks performed under this agreement</w:t>
      </w:r>
      <w:r w:rsidR="00A34475" w:rsidRPr="00A34475">
        <w:rPr>
          <w:sz w:val="24"/>
        </w:rPr>
        <w:t xml:space="preserve"> </w:t>
      </w:r>
      <w:r w:rsidR="00A34475">
        <w:rPr>
          <w:sz w:val="24"/>
        </w:rPr>
        <w:t xml:space="preserve">shall be provided to both USAEC and </w:t>
      </w:r>
      <w:r w:rsidR="000834C2">
        <w:rPr>
          <w:sz w:val="24"/>
        </w:rPr>
        <w:t>Fort Huachuca</w:t>
      </w:r>
      <w:r w:rsidR="000834C2" w:rsidRPr="00B145F5">
        <w:rPr>
          <w:sz w:val="24"/>
        </w:rPr>
        <w:t xml:space="preserve"> </w:t>
      </w:r>
      <w:r w:rsidR="00A34475" w:rsidRPr="00B145F5">
        <w:rPr>
          <w:sz w:val="24"/>
        </w:rPr>
        <w:t>as they are available or at least annually with th</w:t>
      </w:r>
      <w:r w:rsidR="00421902">
        <w:rPr>
          <w:sz w:val="24"/>
        </w:rPr>
        <w:t>e annual report mentioned in 5</w:t>
      </w:r>
      <w:r w:rsidR="00A34475" w:rsidRPr="00B145F5">
        <w:rPr>
          <w:sz w:val="24"/>
        </w:rPr>
        <w:t>.1</w:t>
      </w:r>
      <w:r w:rsidR="007050E5" w:rsidRPr="00B145F5">
        <w:rPr>
          <w:sz w:val="24"/>
        </w:rPr>
        <w:t>. Such documents include, but are not limited to, contracts for purchase and sale</w:t>
      </w:r>
      <w:r w:rsidR="000D32A7" w:rsidRPr="00B145F5">
        <w:rPr>
          <w:sz w:val="24"/>
        </w:rPr>
        <w:t>,</w:t>
      </w:r>
      <w:r w:rsidR="007050E5" w:rsidRPr="00B145F5">
        <w:rPr>
          <w:sz w:val="24"/>
        </w:rPr>
        <w:t xml:space="preserve"> option agreements, inspections or investigations, appraisals, title searches or insurance, deeds, and final copies of all documents afte</w:t>
      </w:r>
      <w:r w:rsidR="00A34475" w:rsidRPr="00B145F5">
        <w:rPr>
          <w:sz w:val="24"/>
        </w:rPr>
        <w:t>r they have been recorded.</w:t>
      </w:r>
      <w:r w:rsidR="007050E5" w:rsidRPr="00B145F5">
        <w:rPr>
          <w:sz w:val="24"/>
        </w:rPr>
        <w:t xml:space="preserve"> </w:t>
      </w:r>
    </w:p>
    <w:p w14:paraId="7A66B51B" w14:textId="3E246E8C" w:rsidR="007050E5" w:rsidRPr="00B145F5" w:rsidRDefault="00FD31EF" w:rsidP="007050E5">
      <w:pPr>
        <w:autoSpaceDE/>
        <w:spacing w:after="200" w:line="276" w:lineRule="auto"/>
        <w:rPr>
          <w:sz w:val="24"/>
        </w:rPr>
      </w:pPr>
      <w:r>
        <w:rPr>
          <w:sz w:val="24"/>
        </w:rPr>
        <w:t>5</w:t>
      </w:r>
      <w:r w:rsidR="007050E5" w:rsidRPr="00B145F5">
        <w:rPr>
          <w:sz w:val="24"/>
        </w:rPr>
        <w:t xml:space="preserve">.3 Baseline </w:t>
      </w:r>
      <w:r w:rsidR="00E639DA" w:rsidRPr="00B145F5">
        <w:rPr>
          <w:sz w:val="24"/>
        </w:rPr>
        <w:t>documentation</w:t>
      </w:r>
      <w:r w:rsidR="007050E5" w:rsidRPr="00B145F5">
        <w:rPr>
          <w:sz w:val="24"/>
        </w:rPr>
        <w:t xml:space="preserve"> reports on all properties protected through this agreement</w:t>
      </w:r>
      <w:r w:rsidR="001377E7" w:rsidRPr="00B145F5">
        <w:rPr>
          <w:sz w:val="24"/>
        </w:rPr>
        <w:t xml:space="preserve"> shall be provided to both USAEC and </w:t>
      </w:r>
      <w:r w:rsidR="000834C2">
        <w:rPr>
          <w:sz w:val="24"/>
        </w:rPr>
        <w:t>Fort Huachuca</w:t>
      </w:r>
      <w:r w:rsidR="000834C2" w:rsidRPr="00B145F5">
        <w:rPr>
          <w:sz w:val="24"/>
        </w:rPr>
        <w:t xml:space="preserve"> </w:t>
      </w:r>
      <w:r w:rsidR="001377E7" w:rsidRPr="00B145F5">
        <w:rPr>
          <w:sz w:val="24"/>
        </w:rPr>
        <w:t xml:space="preserve">and </w:t>
      </w:r>
      <w:r w:rsidR="007050E5" w:rsidRPr="00B145F5">
        <w:rPr>
          <w:sz w:val="24"/>
        </w:rPr>
        <w:t xml:space="preserve">should conform to standards as established by </w:t>
      </w:r>
      <w:r w:rsidR="004070C3">
        <w:rPr>
          <w:sz w:val="24"/>
        </w:rPr>
        <w:t>the Land Trust Alliance (</w:t>
      </w:r>
      <w:r w:rsidR="00AC1E4C" w:rsidRPr="00B145F5">
        <w:rPr>
          <w:sz w:val="24"/>
        </w:rPr>
        <w:t>LTA</w:t>
      </w:r>
      <w:r w:rsidR="004070C3">
        <w:rPr>
          <w:sz w:val="24"/>
        </w:rPr>
        <w:t>)</w:t>
      </w:r>
      <w:r w:rsidR="007050E5" w:rsidRPr="00B145F5">
        <w:rPr>
          <w:sz w:val="24"/>
        </w:rPr>
        <w:t xml:space="preserve">. </w:t>
      </w:r>
    </w:p>
    <w:p w14:paraId="513ED866" w14:textId="2F7C8CE8" w:rsidR="007050E5" w:rsidRPr="000E6BB5" w:rsidRDefault="00FD31EF" w:rsidP="007050E5">
      <w:pPr>
        <w:autoSpaceDE/>
        <w:spacing w:after="200" w:line="276" w:lineRule="auto"/>
        <w:rPr>
          <w:sz w:val="24"/>
        </w:rPr>
      </w:pPr>
      <w:r>
        <w:rPr>
          <w:sz w:val="24"/>
        </w:rPr>
        <w:t>5</w:t>
      </w:r>
      <w:r w:rsidR="007050E5" w:rsidRPr="00B145F5">
        <w:rPr>
          <w:sz w:val="24"/>
        </w:rPr>
        <w:t>.4 Annual monitoring reports on all properties protected through this agreement</w:t>
      </w:r>
      <w:r w:rsidR="001377E7" w:rsidRPr="00B145F5">
        <w:rPr>
          <w:sz w:val="24"/>
        </w:rPr>
        <w:t xml:space="preserve"> shall be provided to both USAEC and </w:t>
      </w:r>
      <w:r w:rsidR="000834C2">
        <w:rPr>
          <w:sz w:val="24"/>
        </w:rPr>
        <w:t>Fort Huachuca</w:t>
      </w:r>
      <w:r w:rsidR="000834C2" w:rsidRPr="00B145F5">
        <w:rPr>
          <w:sz w:val="24"/>
        </w:rPr>
        <w:t xml:space="preserve"> </w:t>
      </w:r>
      <w:r w:rsidR="00A34475" w:rsidRPr="00B145F5">
        <w:rPr>
          <w:sz w:val="24"/>
        </w:rPr>
        <w:t>as they are available or at least annually</w:t>
      </w:r>
      <w:r w:rsidR="001F7CF0" w:rsidRPr="00B145F5">
        <w:rPr>
          <w:sz w:val="24"/>
        </w:rPr>
        <w:t xml:space="preserve"> with</w:t>
      </w:r>
      <w:r w:rsidR="00A34475" w:rsidRPr="00B145F5">
        <w:rPr>
          <w:sz w:val="24"/>
        </w:rPr>
        <w:t xml:space="preserve"> th</w:t>
      </w:r>
      <w:r w:rsidR="00421902">
        <w:rPr>
          <w:sz w:val="24"/>
        </w:rPr>
        <w:t>e annual report mentioned in 5</w:t>
      </w:r>
      <w:r w:rsidR="00A34475" w:rsidRPr="00B145F5">
        <w:rPr>
          <w:sz w:val="24"/>
        </w:rPr>
        <w:t>.1</w:t>
      </w:r>
      <w:r w:rsidR="007050E5" w:rsidRPr="00B145F5">
        <w:rPr>
          <w:sz w:val="24"/>
        </w:rPr>
        <w:t xml:space="preserve">. Said </w:t>
      </w:r>
      <w:r w:rsidR="00A34475" w:rsidRPr="00B145F5">
        <w:rPr>
          <w:sz w:val="24"/>
        </w:rPr>
        <w:t xml:space="preserve">monitoring </w:t>
      </w:r>
      <w:r w:rsidR="007050E5" w:rsidRPr="00B145F5">
        <w:rPr>
          <w:sz w:val="24"/>
        </w:rPr>
        <w:t>reports should conform to standards as</w:t>
      </w:r>
      <w:r w:rsidR="00BF1792">
        <w:rPr>
          <w:sz w:val="24"/>
        </w:rPr>
        <w:t xml:space="preserve"> </w:t>
      </w:r>
      <w:r w:rsidR="007050E5" w:rsidRPr="00B145F5">
        <w:rPr>
          <w:sz w:val="24"/>
        </w:rPr>
        <w:t>established by the LTA</w:t>
      </w:r>
      <w:r w:rsidR="00BF1792">
        <w:rPr>
          <w:sz w:val="24"/>
        </w:rPr>
        <w:t xml:space="preserve"> and</w:t>
      </w:r>
      <w:r w:rsidR="00BF1792" w:rsidRPr="00BF1792">
        <w:rPr>
          <w:sz w:val="24"/>
        </w:rPr>
        <w:t xml:space="preserve"> </w:t>
      </w:r>
      <w:r w:rsidR="00BF1792">
        <w:rPr>
          <w:sz w:val="24"/>
        </w:rPr>
        <w:t>described in section 4 above.</w:t>
      </w:r>
      <w:r w:rsidR="007050E5" w:rsidRPr="00B145F5">
        <w:rPr>
          <w:sz w:val="24"/>
        </w:rPr>
        <w:t xml:space="preserve"> </w:t>
      </w:r>
      <w:r w:rsidR="00834F7B" w:rsidRPr="00B145F5">
        <w:rPr>
          <w:sz w:val="24"/>
        </w:rPr>
        <w:t xml:space="preserve">This requirement shall survive </w:t>
      </w:r>
      <w:r w:rsidR="00541B56">
        <w:rPr>
          <w:sz w:val="24"/>
        </w:rPr>
        <w:t>expiration</w:t>
      </w:r>
      <w:r w:rsidR="00834F7B" w:rsidRPr="000E6BB5">
        <w:rPr>
          <w:sz w:val="24"/>
        </w:rPr>
        <w:t xml:space="preserve"> of this CA</w:t>
      </w:r>
      <w:r w:rsidR="00541B56">
        <w:rPr>
          <w:sz w:val="24"/>
        </w:rPr>
        <w:t xml:space="preserve"> </w:t>
      </w:r>
      <w:r w:rsidR="00CF1D4A">
        <w:rPr>
          <w:sz w:val="24"/>
        </w:rPr>
        <w:t>in accordance with (</w:t>
      </w:r>
      <w:r w:rsidR="00541B56">
        <w:rPr>
          <w:sz w:val="24"/>
        </w:rPr>
        <w:t>IAW</w:t>
      </w:r>
      <w:r w:rsidR="00CF1D4A">
        <w:rPr>
          <w:sz w:val="24"/>
        </w:rPr>
        <w:t>)</w:t>
      </w:r>
      <w:r w:rsidR="00541B56">
        <w:rPr>
          <w:sz w:val="24"/>
        </w:rPr>
        <w:t xml:space="preserve"> 2 CFR 200.344(</w:t>
      </w:r>
      <w:r w:rsidR="007A234F">
        <w:rPr>
          <w:sz w:val="24"/>
        </w:rPr>
        <w:t>b).</w:t>
      </w:r>
    </w:p>
    <w:p w14:paraId="0866DDEE" w14:textId="0F1572D6" w:rsidR="000D33DC" w:rsidRPr="00FC0F12" w:rsidRDefault="000D33DC" w:rsidP="000D33DC">
      <w:pPr>
        <w:autoSpaceDE/>
        <w:spacing w:after="200" w:line="276" w:lineRule="auto"/>
        <w:rPr>
          <w:color w:val="0D0D0D" w:themeColor="text1" w:themeTint="F2"/>
          <w:sz w:val="24"/>
        </w:rPr>
      </w:pPr>
      <w:r w:rsidRPr="000E6BB5">
        <w:rPr>
          <w:color w:val="0D0D0D" w:themeColor="text1" w:themeTint="F2"/>
          <w:sz w:val="24"/>
        </w:rPr>
        <w:t>5.4.1 While long term monitoring and reporting efforts may be transferred from the original Recipient to another eligible entity IAW 6.4 below, as the entity with whom this agreement is made, the original Recipient</w:t>
      </w:r>
      <w:r w:rsidR="004D4B26">
        <w:rPr>
          <w:color w:val="0D0D0D" w:themeColor="text1" w:themeTint="F2"/>
          <w:sz w:val="24"/>
        </w:rPr>
        <w:t xml:space="preserve">, as long as they retain ownership of the property or easement, </w:t>
      </w:r>
      <w:r w:rsidRPr="000E6BB5">
        <w:rPr>
          <w:color w:val="0D0D0D" w:themeColor="text1" w:themeTint="F2"/>
          <w:sz w:val="24"/>
        </w:rPr>
        <w:t xml:space="preserve">remains responsible for ensuring that monitoring actions are occurring in a manner </w:t>
      </w:r>
      <w:r w:rsidRPr="000E6BB5">
        <w:rPr>
          <w:color w:val="0D0D0D" w:themeColor="text1" w:themeTint="F2"/>
          <w:sz w:val="23"/>
          <w:szCs w:val="23"/>
        </w:rPr>
        <w:t xml:space="preserve">sufficient to ensure that the property is not used or developed for purposes inconsistent with the purposes of the CA, and that the entity conducting monitoring efforts is providing annual monitoring reports to both USAEC and Fort Huachuca IAW 5.4. </w:t>
      </w:r>
      <w:r w:rsidRPr="000E6BB5">
        <w:rPr>
          <w:color w:val="0D0D0D" w:themeColor="text1" w:themeTint="F2"/>
          <w:sz w:val="24"/>
        </w:rPr>
        <w:t xml:space="preserve">This requirement shall survive </w:t>
      </w:r>
      <w:r w:rsidR="00541B56">
        <w:rPr>
          <w:color w:val="0D0D0D" w:themeColor="text1" w:themeTint="F2"/>
          <w:sz w:val="24"/>
        </w:rPr>
        <w:t>expiration</w:t>
      </w:r>
      <w:r w:rsidRPr="000E6BB5">
        <w:rPr>
          <w:color w:val="0D0D0D" w:themeColor="text1" w:themeTint="F2"/>
          <w:sz w:val="24"/>
        </w:rPr>
        <w:t xml:space="preserve"> of this CA</w:t>
      </w:r>
      <w:r w:rsidR="00462706">
        <w:rPr>
          <w:color w:val="0D0D0D" w:themeColor="text1" w:themeTint="F2"/>
          <w:sz w:val="24"/>
        </w:rPr>
        <w:t xml:space="preserve"> IAW 2 CFR 200.344(b)</w:t>
      </w:r>
      <w:r w:rsidRPr="000E6BB5">
        <w:rPr>
          <w:color w:val="0D0D0D" w:themeColor="text1" w:themeTint="F2"/>
          <w:sz w:val="24"/>
        </w:rPr>
        <w:t>.</w:t>
      </w:r>
      <w:r w:rsidR="004D4B26">
        <w:rPr>
          <w:color w:val="0D0D0D" w:themeColor="text1" w:themeTint="F2"/>
          <w:sz w:val="24"/>
        </w:rPr>
        <w:t xml:space="preserve">  </w:t>
      </w:r>
    </w:p>
    <w:p w14:paraId="7300AA2D" w14:textId="2FABF822" w:rsidR="007050E5" w:rsidRDefault="00FD31EF" w:rsidP="007050E5">
      <w:pPr>
        <w:autoSpaceDE/>
        <w:spacing w:after="200" w:line="276" w:lineRule="auto"/>
        <w:rPr>
          <w:sz w:val="24"/>
        </w:rPr>
      </w:pPr>
      <w:r>
        <w:rPr>
          <w:sz w:val="24"/>
        </w:rPr>
        <w:t>5</w:t>
      </w:r>
      <w:r w:rsidR="007050E5">
        <w:rPr>
          <w:sz w:val="24"/>
        </w:rPr>
        <w:t>.5 Annual documentation of funds acquired from sources other than the Army or Department of Defense and the expenditure of these funds shall be submitted with the annual report.</w:t>
      </w:r>
    </w:p>
    <w:p w14:paraId="25C5E5EE" w14:textId="65BD5F84" w:rsidR="00C11108" w:rsidRDefault="00FD31EF" w:rsidP="007050E5">
      <w:pPr>
        <w:autoSpaceDE/>
        <w:spacing w:after="200" w:line="276" w:lineRule="auto"/>
        <w:rPr>
          <w:sz w:val="24"/>
        </w:rPr>
      </w:pPr>
      <w:r>
        <w:rPr>
          <w:sz w:val="24"/>
        </w:rPr>
        <w:t>5</w:t>
      </w:r>
      <w:r w:rsidR="00C11108">
        <w:rPr>
          <w:sz w:val="24"/>
        </w:rPr>
        <w:t>.6 Annual SF425 shall be submitted per the terms and conditions of the CA.</w:t>
      </w:r>
    </w:p>
    <w:p w14:paraId="7BE8EE01" w14:textId="77777777" w:rsidR="00CF1D4A" w:rsidRDefault="00CF1D4A" w:rsidP="00717506">
      <w:pPr>
        <w:autoSpaceDE/>
        <w:spacing w:after="200" w:line="276" w:lineRule="auto"/>
        <w:rPr>
          <w:sz w:val="24"/>
        </w:rPr>
      </w:pPr>
      <w:r w:rsidRPr="00CF1D4A">
        <w:rPr>
          <w:sz w:val="24"/>
        </w:rPr>
        <w:t>5.7 At the end of this CAs period of performance, the Recipient will assist the awarding agency in closing out the CA IAW 2 CFR 200.343.</w:t>
      </w:r>
    </w:p>
    <w:p w14:paraId="7B8D7A7A" w14:textId="61819D1D" w:rsidR="007050E5" w:rsidRDefault="00FD31EF" w:rsidP="007050E5">
      <w:pPr>
        <w:autoSpaceDE/>
        <w:spacing w:after="200" w:line="276" w:lineRule="auto"/>
        <w:rPr>
          <w:sz w:val="24"/>
        </w:rPr>
      </w:pPr>
      <w:r>
        <w:rPr>
          <w:sz w:val="24"/>
        </w:rPr>
        <w:t>6.0</w:t>
      </w:r>
      <w:r w:rsidR="007050E5">
        <w:rPr>
          <w:sz w:val="24"/>
        </w:rPr>
        <w:t xml:space="preserve"> </w:t>
      </w:r>
      <w:r w:rsidR="007050E5">
        <w:rPr>
          <w:b/>
          <w:bCs/>
          <w:sz w:val="24"/>
        </w:rPr>
        <w:t xml:space="preserve">SPECIAL CONDITIONS </w:t>
      </w:r>
    </w:p>
    <w:p w14:paraId="15C7D342" w14:textId="6FE0984C" w:rsidR="007050E5" w:rsidRDefault="00FD31EF" w:rsidP="007050E5">
      <w:pPr>
        <w:autoSpaceDE/>
        <w:spacing w:after="200" w:line="276" w:lineRule="auto"/>
        <w:rPr>
          <w:sz w:val="24"/>
        </w:rPr>
      </w:pPr>
      <w:r>
        <w:rPr>
          <w:sz w:val="24"/>
        </w:rPr>
        <w:t>6</w:t>
      </w:r>
      <w:r w:rsidR="007050E5">
        <w:rPr>
          <w:sz w:val="24"/>
        </w:rPr>
        <w:t>.</w:t>
      </w:r>
      <w:r w:rsidR="005F09DE">
        <w:rPr>
          <w:sz w:val="24"/>
        </w:rPr>
        <w:t>1</w:t>
      </w:r>
      <w:r w:rsidR="007050E5">
        <w:rPr>
          <w:sz w:val="24"/>
        </w:rPr>
        <w:t xml:space="preserve"> </w:t>
      </w:r>
      <w:r w:rsidR="00194C55">
        <w:rPr>
          <w:sz w:val="24"/>
        </w:rPr>
        <w:t>Recipient</w:t>
      </w:r>
      <w:r w:rsidR="007050E5">
        <w:rPr>
          <w:sz w:val="24"/>
        </w:rPr>
        <w:t xml:space="preserve"> shall afford any authorized representative of </w:t>
      </w:r>
      <w:r w:rsidR="000834C2">
        <w:rPr>
          <w:sz w:val="24"/>
        </w:rPr>
        <w:t>Fort Huachuca</w:t>
      </w:r>
      <w:r w:rsidR="007050E5">
        <w:rPr>
          <w:sz w:val="24"/>
        </w:rPr>
        <w:t xml:space="preserve">, the Army, the Department of Defense, or the U.S. Office of Comptroller General access to and the right to examine all records, books, papers, and documents that are within </w:t>
      </w:r>
      <w:r w:rsidR="00194C55">
        <w:rPr>
          <w:sz w:val="24"/>
        </w:rPr>
        <w:t>Recipient</w:t>
      </w:r>
      <w:r w:rsidR="007050E5">
        <w:rPr>
          <w:sz w:val="24"/>
        </w:rPr>
        <w:t xml:space="preserve">’s custody and control that relate to its performance under this CA. </w:t>
      </w:r>
    </w:p>
    <w:p w14:paraId="038106E5" w14:textId="61EBC3DB" w:rsidR="007050E5" w:rsidRDefault="00FD31EF" w:rsidP="007050E5">
      <w:pPr>
        <w:autoSpaceDE/>
        <w:spacing w:after="200" w:line="276" w:lineRule="auto"/>
        <w:rPr>
          <w:sz w:val="24"/>
        </w:rPr>
      </w:pPr>
      <w:r>
        <w:rPr>
          <w:sz w:val="24"/>
        </w:rPr>
        <w:t>6</w:t>
      </w:r>
      <w:r w:rsidR="005F09DE">
        <w:rPr>
          <w:sz w:val="24"/>
        </w:rPr>
        <w:t>.2</w:t>
      </w:r>
      <w:r w:rsidR="007050E5">
        <w:rPr>
          <w:sz w:val="24"/>
        </w:rPr>
        <w:t xml:space="preserve"> </w:t>
      </w:r>
      <w:r w:rsidR="00194C55">
        <w:rPr>
          <w:sz w:val="24"/>
        </w:rPr>
        <w:t>Recipient</w:t>
      </w:r>
      <w:r w:rsidR="007050E5">
        <w:rPr>
          <w:sz w:val="24"/>
        </w:rPr>
        <w:t xml:space="preserve"> shall not enter non-federal real property to collect information regarding the property unless the owner has: (a) Consented to the entry; </w:t>
      </w:r>
      <w:r w:rsidR="00AE3272">
        <w:rPr>
          <w:sz w:val="24"/>
        </w:rPr>
        <w:t xml:space="preserve"> </w:t>
      </w:r>
      <w:r w:rsidR="007050E5">
        <w:rPr>
          <w:sz w:val="24"/>
        </w:rPr>
        <w:t xml:space="preserve">(b) Been provided reasonable notice of the entry; and (c) Been notified that any raw data collected from the property must be made available at no cost, if requested by the landowner. </w:t>
      </w:r>
    </w:p>
    <w:p w14:paraId="07F21FCA" w14:textId="0D93FDE6" w:rsidR="007050E5" w:rsidRDefault="00FD31EF" w:rsidP="007050E5">
      <w:pPr>
        <w:autoSpaceDE/>
        <w:spacing w:after="200" w:line="276" w:lineRule="auto"/>
        <w:rPr>
          <w:sz w:val="24"/>
        </w:rPr>
      </w:pPr>
      <w:r>
        <w:rPr>
          <w:sz w:val="24"/>
        </w:rPr>
        <w:t>6</w:t>
      </w:r>
      <w:r w:rsidR="007050E5">
        <w:rPr>
          <w:sz w:val="24"/>
        </w:rPr>
        <w:t>.</w:t>
      </w:r>
      <w:r w:rsidR="005F09DE">
        <w:rPr>
          <w:sz w:val="24"/>
        </w:rPr>
        <w:t>3</w:t>
      </w:r>
      <w:r w:rsidR="007050E5">
        <w:rPr>
          <w:sz w:val="24"/>
        </w:rPr>
        <w:t xml:space="preserve"> Title to the real property interest acquired, whether fee simple, easement</w:t>
      </w:r>
      <w:r w:rsidR="0030543F">
        <w:rPr>
          <w:sz w:val="24"/>
        </w:rPr>
        <w:t>,</w:t>
      </w:r>
      <w:r w:rsidR="007050E5">
        <w:rPr>
          <w:sz w:val="24"/>
        </w:rPr>
        <w:t xml:space="preserve"> or other land use restriction, shall be held by </w:t>
      </w:r>
      <w:r w:rsidR="00194C55">
        <w:rPr>
          <w:sz w:val="24"/>
        </w:rPr>
        <w:t>Recipient</w:t>
      </w:r>
      <w:r w:rsidR="007050E5">
        <w:rPr>
          <w:sz w:val="24"/>
        </w:rPr>
        <w:t xml:space="preserve"> subject to the Army’s right to demand t</w:t>
      </w:r>
      <w:r w:rsidR="00A96C1F">
        <w:rPr>
          <w:sz w:val="24"/>
        </w:rPr>
        <w:t>ransfer under 10 U.S.C. § 2684a</w:t>
      </w:r>
      <w:r w:rsidR="007050E5">
        <w:rPr>
          <w:sz w:val="24"/>
        </w:rPr>
        <w:t xml:space="preserve">(d)(5) of that portion of the real estate property interest necessary to ensure the property is developed and used consistently with the purposes of this CA and 10 U.S.C. § 2684a. </w:t>
      </w:r>
      <w:r w:rsidR="00194C55">
        <w:rPr>
          <w:sz w:val="24"/>
        </w:rPr>
        <w:t>Recipient</w:t>
      </w:r>
      <w:r w:rsidR="00A857D1">
        <w:rPr>
          <w:sz w:val="24"/>
        </w:rPr>
        <w:t xml:space="preserve"> shall place a notice on record in the Register of Deeds office for the county where the property interest is located to inform any party examining title to the</w:t>
      </w:r>
      <w:r w:rsidR="00B178E6">
        <w:rPr>
          <w:sz w:val="24"/>
        </w:rPr>
        <w:t xml:space="preserve"> property of the Army’s </w:t>
      </w:r>
      <w:r w:rsidR="00B178E6" w:rsidRPr="000E6BB5">
        <w:rPr>
          <w:sz w:val="24"/>
        </w:rPr>
        <w:t>contingent right to demand transfer of the pro</w:t>
      </w:r>
      <w:r w:rsidR="00A857D1" w:rsidRPr="000E6BB5">
        <w:rPr>
          <w:sz w:val="24"/>
        </w:rPr>
        <w:t>perty</w:t>
      </w:r>
      <w:r w:rsidR="008C072A" w:rsidRPr="000E6BB5">
        <w:rPr>
          <w:sz w:val="24"/>
        </w:rPr>
        <w:t xml:space="preserve"> or property interest.  It shall be sufficient for such notice to be contained in the granting instrument by which Recipient or other eligible entity acquired the interest, and in such </w:t>
      </w:r>
      <w:r w:rsidR="00686C4E" w:rsidRPr="000E6BB5">
        <w:rPr>
          <w:sz w:val="24"/>
        </w:rPr>
        <w:t>case,</w:t>
      </w:r>
      <w:r w:rsidR="008C072A" w:rsidRPr="000E6BB5">
        <w:rPr>
          <w:sz w:val="24"/>
        </w:rPr>
        <w:t xml:space="preserve"> no separate notice instrument shall be required.</w:t>
      </w:r>
      <w:r w:rsidR="00A857D1">
        <w:rPr>
          <w:sz w:val="24"/>
        </w:rPr>
        <w:t xml:space="preserve"> </w:t>
      </w:r>
    </w:p>
    <w:p w14:paraId="4AEEC94A" w14:textId="661BA556" w:rsidR="009C591D" w:rsidRDefault="00FD31EF" w:rsidP="007050E5">
      <w:pPr>
        <w:autoSpaceDE/>
        <w:spacing w:after="200" w:line="276" w:lineRule="auto"/>
        <w:rPr>
          <w:sz w:val="24"/>
        </w:rPr>
      </w:pPr>
      <w:r>
        <w:rPr>
          <w:sz w:val="24"/>
        </w:rPr>
        <w:t>6</w:t>
      </w:r>
      <w:r w:rsidR="005F09DE">
        <w:rPr>
          <w:sz w:val="24"/>
        </w:rPr>
        <w:t>.4</w:t>
      </w:r>
      <w:r w:rsidR="007050E5">
        <w:rPr>
          <w:sz w:val="24"/>
        </w:rPr>
        <w:t xml:space="preserve"> No provision of this </w:t>
      </w:r>
      <w:r w:rsidR="008C36EE">
        <w:rPr>
          <w:sz w:val="24"/>
        </w:rPr>
        <w:t>CA</w:t>
      </w:r>
      <w:r w:rsidR="007050E5">
        <w:rPr>
          <w:sz w:val="24"/>
        </w:rPr>
        <w:t xml:space="preserve"> shall preclude </w:t>
      </w:r>
      <w:r w:rsidR="00194C55">
        <w:rPr>
          <w:sz w:val="24"/>
        </w:rPr>
        <w:t>Recipient</w:t>
      </w:r>
      <w:r w:rsidR="007050E5">
        <w:rPr>
          <w:sz w:val="24"/>
        </w:rPr>
        <w:t>, after consultation with and concurrence by the Army, from tran</w:t>
      </w:r>
      <w:r w:rsidR="007050E5" w:rsidRPr="000E6BB5">
        <w:rPr>
          <w:sz w:val="24"/>
        </w:rPr>
        <w:t>sferring the acquired real property interest to other eligible entities described in 10 U.S.C. § 2684a(b) (such as, state agencies, political subdivisions</w:t>
      </w:r>
      <w:r w:rsidR="00782ED2" w:rsidRPr="000E6BB5">
        <w:rPr>
          <w:sz w:val="24"/>
        </w:rPr>
        <w:t>,</w:t>
      </w:r>
      <w:r w:rsidR="007050E5" w:rsidRPr="000E6BB5">
        <w:rPr>
          <w:sz w:val="24"/>
        </w:rPr>
        <w:t xml:space="preserve"> and private conservation organizations) for purposes of this </w:t>
      </w:r>
      <w:r w:rsidR="008C36EE" w:rsidRPr="000E6BB5">
        <w:rPr>
          <w:sz w:val="24"/>
        </w:rPr>
        <w:t>CA</w:t>
      </w:r>
      <w:r w:rsidR="007050E5" w:rsidRPr="000E6BB5">
        <w:rPr>
          <w:sz w:val="24"/>
        </w:rPr>
        <w:t xml:space="preserve">. </w:t>
      </w:r>
      <w:r w:rsidR="009C591D" w:rsidRPr="000E6BB5">
        <w:rPr>
          <w:sz w:val="24"/>
        </w:rPr>
        <w:t>IAW 2 CFR 200.311(b)</w:t>
      </w:r>
      <w:r w:rsidR="009C591D" w:rsidRPr="000E6BB5">
        <w:rPr>
          <w:rStyle w:val="FootnoteReference"/>
          <w:sz w:val="24"/>
        </w:rPr>
        <w:footnoteReference w:id="1"/>
      </w:r>
      <w:r w:rsidR="009C591D" w:rsidRPr="000E6BB5">
        <w:rPr>
          <w:sz w:val="24"/>
        </w:rPr>
        <w:t xml:space="preserve"> , as the Federal awarding agency, the Army may waive the requirement that the “real property will be used for the originally authorized purpose as long as needed for that purpose” while the property itself is still in “use”.  </w:t>
      </w:r>
      <w:r w:rsidR="007050E5" w:rsidRPr="000E6BB5">
        <w:rPr>
          <w:sz w:val="24"/>
        </w:rPr>
        <w:t xml:space="preserve">If </w:t>
      </w:r>
      <w:r w:rsidR="00194C55" w:rsidRPr="000E6BB5">
        <w:rPr>
          <w:sz w:val="24"/>
        </w:rPr>
        <w:t>Recipient</w:t>
      </w:r>
      <w:r w:rsidR="007050E5" w:rsidRPr="000E6BB5">
        <w:rPr>
          <w:sz w:val="24"/>
        </w:rPr>
        <w:t xml:space="preserve"> or other eligible entity acquires fee interest or a</w:t>
      </w:r>
      <w:r w:rsidR="00B178E6" w:rsidRPr="000E6BB5">
        <w:rPr>
          <w:sz w:val="24"/>
        </w:rPr>
        <w:t>n</w:t>
      </w:r>
      <w:r w:rsidR="007050E5" w:rsidRPr="000E6BB5">
        <w:rPr>
          <w:sz w:val="24"/>
        </w:rPr>
        <w:t xml:space="preserve"> easement in a parcel and proposes to transfer that interest, it shall </w:t>
      </w:r>
      <w:r w:rsidR="00303A81" w:rsidRPr="000E6BB5">
        <w:rPr>
          <w:sz w:val="24"/>
        </w:rPr>
        <w:t>request disposition instructions (in the form of a NTP) from the TCAM</w:t>
      </w:r>
      <w:r w:rsidR="009C591D" w:rsidRPr="000E6BB5">
        <w:rPr>
          <w:sz w:val="24"/>
        </w:rPr>
        <w:t xml:space="preserve">, </w:t>
      </w:r>
      <w:r w:rsidR="009C591D" w:rsidRPr="000E6BB5">
        <w:rPr>
          <w:color w:val="0D0D0D" w:themeColor="text1" w:themeTint="F2"/>
          <w:sz w:val="24"/>
        </w:rPr>
        <w:t>who will coordinate the action with the Grants Officer (representing the “Federal awarding agency” under 2 CFR 200.311), the CAM, and Headquarters, Department of the Army (HQDA).  The Army will have the following options:</w:t>
      </w:r>
      <w:r w:rsidR="00303A81">
        <w:rPr>
          <w:sz w:val="24"/>
        </w:rPr>
        <w:t xml:space="preserve"> </w:t>
      </w:r>
    </w:p>
    <w:p w14:paraId="79AB57AF" w14:textId="45AD095A" w:rsidR="007050E5" w:rsidRDefault="00FD31EF" w:rsidP="007050E5">
      <w:pPr>
        <w:autoSpaceDE/>
        <w:spacing w:after="200" w:line="276" w:lineRule="auto"/>
        <w:rPr>
          <w:sz w:val="24"/>
        </w:rPr>
      </w:pPr>
      <w:r>
        <w:rPr>
          <w:sz w:val="24"/>
        </w:rPr>
        <w:t>6</w:t>
      </w:r>
      <w:r w:rsidR="005F09DE">
        <w:rPr>
          <w:sz w:val="24"/>
        </w:rPr>
        <w:t>.4</w:t>
      </w:r>
      <w:r w:rsidR="007050E5">
        <w:rPr>
          <w:sz w:val="24"/>
        </w:rPr>
        <w:t xml:space="preserve">.1 Approve of the transfer subject to </w:t>
      </w:r>
      <w:r w:rsidR="00194C55">
        <w:rPr>
          <w:sz w:val="24"/>
        </w:rPr>
        <w:t>Recipient</w:t>
      </w:r>
      <w:r w:rsidR="007050E5">
        <w:rPr>
          <w:sz w:val="24"/>
        </w:rPr>
        <w:t xml:space="preserve">’s commitment to transfer the interest subject to the Army’s rights under 10 U.S.C. § 2684a(d)(5); </w:t>
      </w:r>
    </w:p>
    <w:p w14:paraId="3D4FDDEB" w14:textId="450FD846" w:rsidR="007050E5" w:rsidRDefault="00FD31EF" w:rsidP="007050E5">
      <w:pPr>
        <w:autoSpaceDE/>
        <w:spacing w:after="200" w:line="276" w:lineRule="auto"/>
        <w:rPr>
          <w:sz w:val="24"/>
        </w:rPr>
      </w:pPr>
      <w:r>
        <w:rPr>
          <w:sz w:val="24"/>
        </w:rPr>
        <w:t>6</w:t>
      </w:r>
      <w:r w:rsidR="005F09DE">
        <w:rPr>
          <w:sz w:val="24"/>
        </w:rPr>
        <w:t>.4</w:t>
      </w:r>
      <w:r w:rsidR="007050E5">
        <w:rPr>
          <w:sz w:val="24"/>
        </w:rPr>
        <w:t>.2 Exercise it</w:t>
      </w:r>
      <w:r w:rsidR="00A96C1F">
        <w:rPr>
          <w:sz w:val="24"/>
        </w:rPr>
        <w:t>s rights under 10 U.S.C. § 2684a</w:t>
      </w:r>
      <w:r w:rsidR="007050E5">
        <w:rPr>
          <w:sz w:val="24"/>
        </w:rPr>
        <w:t xml:space="preserve">(d)(5) and direct </w:t>
      </w:r>
      <w:r w:rsidR="00194C55">
        <w:rPr>
          <w:sz w:val="24"/>
        </w:rPr>
        <w:t>Recipient</w:t>
      </w:r>
      <w:r w:rsidR="007050E5">
        <w:rPr>
          <w:sz w:val="24"/>
        </w:rPr>
        <w:t xml:space="preserve"> to convey to the Army an interest in real property sufficient to ensure that the property is not used or developed for purposes inconsistent with the purposes of the CA; </w:t>
      </w:r>
    </w:p>
    <w:p w14:paraId="3C015843" w14:textId="7CFFC043" w:rsidR="007050E5" w:rsidRPr="000E6BB5" w:rsidRDefault="00FD31EF" w:rsidP="007050E5">
      <w:pPr>
        <w:autoSpaceDE/>
        <w:spacing w:after="200" w:line="276" w:lineRule="auto"/>
        <w:rPr>
          <w:sz w:val="24"/>
        </w:rPr>
      </w:pPr>
      <w:r>
        <w:rPr>
          <w:sz w:val="24"/>
        </w:rPr>
        <w:t>6</w:t>
      </w:r>
      <w:r w:rsidR="005F09DE">
        <w:rPr>
          <w:sz w:val="24"/>
        </w:rPr>
        <w:t>.4</w:t>
      </w:r>
      <w:r w:rsidR="007050E5">
        <w:rPr>
          <w:sz w:val="24"/>
        </w:rPr>
        <w:t xml:space="preserve">.3 Direct </w:t>
      </w:r>
      <w:r w:rsidR="00194C55">
        <w:rPr>
          <w:sz w:val="24"/>
        </w:rPr>
        <w:t>Recipient</w:t>
      </w:r>
      <w:r w:rsidR="007050E5">
        <w:rPr>
          <w:sz w:val="24"/>
        </w:rPr>
        <w:t xml:space="preserve"> or other eligible entity to transfer to an</w:t>
      </w:r>
      <w:r w:rsidR="004C4CB6">
        <w:rPr>
          <w:sz w:val="24"/>
        </w:rPr>
        <w:t>other</w:t>
      </w:r>
      <w:r w:rsidR="007050E5">
        <w:rPr>
          <w:sz w:val="24"/>
        </w:rPr>
        <w:t xml:space="preserve"> eligible entity</w:t>
      </w:r>
      <w:r w:rsidR="004C4CB6">
        <w:rPr>
          <w:sz w:val="24"/>
        </w:rPr>
        <w:t>, as</w:t>
      </w:r>
      <w:r w:rsidR="007050E5">
        <w:rPr>
          <w:sz w:val="24"/>
        </w:rPr>
        <w:t xml:space="preserve"> </w:t>
      </w:r>
      <w:r w:rsidR="004C4CB6">
        <w:rPr>
          <w:sz w:val="24"/>
        </w:rPr>
        <w:t xml:space="preserve">determined by the Army, </w:t>
      </w:r>
      <w:r w:rsidR="007050E5">
        <w:rPr>
          <w:sz w:val="24"/>
        </w:rPr>
        <w:t xml:space="preserve">an interest in real property sufficient to ensure that the property is not used or </w:t>
      </w:r>
      <w:r w:rsidR="007050E5" w:rsidRPr="000E6BB5">
        <w:rPr>
          <w:sz w:val="24"/>
        </w:rPr>
        <w:t xml:space="preserve">developed for purposes inconsistent with the CA. </w:t>
      </w:r>
    </w:p>
    <w:p w14:paraId="3DF0F7E9" w14:textId="77777777" w:rsidR="006578FD" w:rsidRPr="000E6BB5" w:rsidRDefault="006578FD" w:rsidP="006578FD">
      <w:pPr>
        <w:autoSpaceDE/>
        <w:spacing w:after="200" w:line="276" w:lineRule="auto"/>
        <w:rPr>
          <w:sz w:val="24"/>
        </w:rPr>
      </w:pPr>
      <w:r>
        <w:rPr>
          <w:sz w:val="24"/>
        </w:rPr>
        <w:t xml:space="preserve">6.5 Should the Recipient allow real property acquired under this CA to be used or developed for purposes inconsistent with the purposes of this CA, the Army may exercise its rights under 10 U.S.C. § 2684a(d)(5) to require the Recipient to transfer to the United States, </w:t>
      </w:r>
      <w:r w:rsidRPr="000E05B0">
        <w:rPr>
          <w:sz w:val="24"/>
        </w:rPr>
        <w:t>all or a portion of the property or interest acquired under the agreement or a</w:t>
      </w:r>
      <w:r>
        <w:rPr>
          <w:sz w:val="24"/>
        </w:rPr>
        <w:t xml:space="preserve"> </w:t>
      </w:r>
      <w:r w:rsidRPr="000E05B0">
        <w:rPr>
          <w:sz w:val="24"/>
        </w:rPr>
        <w:t>lesser interest therein.</w:t>
      </w:r>
    </w:p>
    <w:p w14:paraId="7AD76864" w14:textId="44E33763" w:rsidR="0016500E" w:rsidRPr="00173652" w:rsidRDefault="00610286" w:rsidP="0016500E">
      <w:pPr>
        <w:pStyle w:val="PlainText"/>
        <w:spacing w:after="240" w:line="276" w:lineRule="auto"/>
        <w:rPr>
          <w:rFonts w:ascii="Times New Roman" w:hAnsi="Times New Roman"/>
          <w:sz w:val="24"/>
          <w:szCs w:val="24"/>
        </w:rPr>
      </w:pPr>
      <w:r w:rsidRPr="000E6BB5">
        <w:rPr>
          <w:rFonts w:ascii="Times New Roman" w:hAnsi="Times New Roman"/>
          <w:sz w:val="24"/>
          <w:szCs w:val="24"/>
        </w:rPr>
        <w:t>6.</w:t>
      </w:r>
      <w:r w:rsidR="006578FD">
        <w:rPr>
          <w:rFonts w:ascii="Times New Roman" w:hAnsi="Times New Roman"/>
          <w:sz w:val="24"/>
          <w:szCs w:val="24"/>
        </w:rPr>
        <w:t>6</w:t>
      </w:r>
      <w:r w:rsidRPr="000E6BB5">
        <w:rPr>
          <w:rFonts w:ascii="Times New Roman" w:hAnsi="Times New Roman"/>
          <w:sz w:val="24"/>
          <w:szCs w:val="24"/>
        </w:rPr>
        <w:t xml:space="preserve"> </w:t>
      </w:r>
      <w:r w:rsidR="00A85A7A" w:rsidRPr="000E6BB5">
        <w:rPr>
          <w:rFonts w:ascii="Times New Roman" w:hAnsi="Times New Roman"/>
          <w:sz w:val="24"/>
          <w:szCs w:val="24"/>
        </w:rPr>
        <w:t>When real property is no longer needed for the originally authorized purpose</w:t>
      </w:r>
      <w:r w:rsidR="009C591D" w:rsidRPr="000E6BB5">
        <w:rPr>
          <w:rFonts w:ascii="Times New Roman" w:hAnsi="Times New Roman"/>
          <w:sz w:val="24"/>
          <w:szCs w:val="24"/>
        </w:rPr>
        <w:t xml:space="preserve"> </w:t>
      </w:r>
      <w:r w:rsidR="009C591D" w:rsidRPr="000E6BB5">
        <w:rPr>
          <w:rFonts w:ascii="Times New Roman" w:hAnsi="Times New Roman"/>
          <w:color w:val="0D0D0D" w:themeColor="text1" w:themeTint="F2"/>
          <w:sz w:val="24"/>
          <w:szCs w:val="24"/>
        </w:rPr>
        <w:t>or other “use” (see 6.4 above)</w:t>
      </w:r>
      <w:r w:rsidR="00A85A7A" w:rsidRPr="000E6BB5">
        <w:rPr>
          <w:rFonts w:ascii="Times New Roman" w:hAnsi="Times New Roman"/>
          <w:sz w:val="24"/>
          <w:szCs w:val="24"/>
        </w:rPr>
        <w:t>, the non-Federal entity must obtain disposition instructions from the Federal awarding agency</w:t>
      </w:r>
      <w:r w:rsidR="00A85A7A" w:rsidRPr="00173652">
        <w:rPr>
          <w:rFonts w:ascii="Times New Roman" w:hAnsi="Times New Roman" w:cs="Times New Roman"/>
          <w:sz w:val="24"/>
          <w:szCs w:val="24"/>
        </w:rPr>
        <w:t>.</w:t>
      </w:r>
      <w:r w:rsidR="00A85A7A" w:rsidRPr="00173652">
        <w:rPr>
          <w:rFonts w:ascii="Times New Roman" w:hAnsi="Times New Roman"/>
          <w:sz w:val="24"/>
          <w:szCs w:val="24"/>
        </w:rPr>
        <w:t xml:space="preserve"> The instructions must provide for one</w:t>
      </w:r>
      <w:r w:rsidR="0016500E">
        <w:rPr>
          <w:rFonts w:ascii="Times New Roman" w:hAnsi="Times New Roman"/>
          <w:sz w:val="24"/>
          <w:szCs w:val="24"/>
        </w:rPr>
        <w:t xml:space="preserve"> of the following alternatives:</w:t>
      </w:r>
    </w:p>
    <w:p w14:paraId="29AE22DD" w14:textId="5BD09AEB" w:rsidR="00A85A7A" w:rsidRPr="00173652" w:rsidRDefault="00A85A7A" w:rsidP="00C35717">
      <w:pPr>
        <w:pStyle w:val="PlainText"/>
        <w:spacing w:line="276" w:lineRule="auto"/>
        <w:rPr>
          <w:rFonts w:ascii="Times New Roman" w:hAnsi="Times New Roman"/>
          <w:sz w:val="24"/>
          <w:szCs w:val="24"/>
        </w:rPr>
      </w:pPr>
      <w:r>
        <w:rPr>
          <w:rFonts w:ascii="Times New Roman" w:hAnsi="Times New Roman"/>
          <w:sz w:val="24"/>
          <w:szCs w:val="24"/>
        </w:rPr>
        <w:t>6.</w:t>
      </w:r>
      <w:r w:rsidR="006578FD">
        <w:rPr>
          <w:rFonts w:ascii="Times New Roman" w:hAnsi="Times New Roman"/>
          <w:sz w:val="24"/>
          <w:szCs w:val="24"/>
        </w:rPr>
        <w:t>6</w:t>
      </w:r>
      <w:r>
        <w:rPr>
          <w:rFonts w:ascii="Times New Roman" w:hAnsi="Times New Roman"/>
          <w:sz w:val="24"/>
          <w:szCs w:val="24"/>
        </w:rPr>
        <w:t>.1</w:t>
      </w:r>
      <w:r w:rsidRPr="00173652">
        <w:rPr>
          <w:rFonts w:ascii="Times New Roman" w:hAnsi="Times New Roman"/>
          <w:sz w:val="24"/>
          <w:szCs w:val="24"/>
        </w:rPr>
        <w:t xml:space="preserve"> Retain title after compensating the Federal awarding agency. The amount</w:t>
      </w:r>
      <w:r>
        <w:rPr>
          <w:rFonts w:ascii="Times New Roman" w:hAnsi="Times New Roman"/>
          <w:sz w:val="24"/>
          <w:szCs w:val="24"/>
        </w:rPr>
        <w:t xml:space="preserve"> </w:t>
      </w:r>
      <w:r w:rsidRPr="00173652">
        <w:rPr>
          <w:rFonts w:ascii="Times New Roman" w:hAnsi="Times New Roman"/>
          <w:sz w:val="24"/>
          <w:szCs w:val="24"/>
        </w:rPr>
        <w:t>paid to the Federal awarding agency will be computed by applying the Federal</w:t>
      </w:r>
      <w:r>
        <w:rPr>
          <w:rFonts w:ascii="Times New Roman" w:hAnsi="Times New Roman"/>
          <w:sz w:val="24"/>
          <w:szCs w:val="24"/>
        </w:rPr>
        <w:t xml:space="preserve"> </w:t>
      </w:r>
      <w:r w:rsidRPr="00173652">
        <w:rPr>
          <w:rFonts w:ascii="Times New Roman" w:hAnsi="Times New Roman"/>
          <w:sz w:val="24"/>
          <w:szCs w:val="24"/>
        </w:rPr>
        <w:t>awarding agency's percentage of participation in the cost of the original</w:t>
      </w:r>
      <w:r>
        <w:rPr>
          <w:rFonts w:ascii="Times New Roman" w:hAnsi="Times New Roman"/>
          <w:sz w:val="24"/>
          <w:szCs w:val="24"/>
        </w:rPr>
        <w:t xml:space="preserve"> </w:t>
      </w:r>
      <w:r w:rsidRPr="00173652">
        <w:rPr>
          <w:rFonts w:ascii="Times New Roman" w:hAnsi="Times New Roman"/>
          <w:sz w:val="24"/>
          <w:szCs w:val="24"/>
        </w:rPr>
        <w:t xml:space="preserve">purchase (and costs of any improvements) to the fair </w:t>
      </w:r>
      <w:r>
        <w:rPr>
          <w:rFonts w:ascii="Times New Roman" w:hAnsi="Times New Roman"/>
          <w:sz w:val="24"/>
          <w:szCs w:val="24"/>
        </w:rPr>
        <w:t>market</w:t>
      </w:r>
      <w:r w:rsidRPr="00173652">
        <w:rPr>
          <w:rFonts w:ascii="Times New Roman" w:hAnsi="Times New Roman"/>
          <w:sz w:val="24"/>
          <w:szCs w:val="24"/>
        </w:rPr>
        <w:t xml:space="preserve"> value of the</w:t>
      </w:r>
      <w:r>
        <w:rPr>
          <w:rFonts w:ascii="Times New Roman" w:hAnsi="Times New Roman"/>
          <w:sz w:val="24"/>
          <w:szCs w:val="24"/>
        </w:rPr>
        <w:t xml:space="preserve"> </w:t>
      </w:r>
      <w:r w:rsidRPr="00173652">
        <w:rPr>
          <w:rFonts w:ascii="Times New Roman" w:hAnsi="Times New Roman"/>
          <w:sz w:val="24"/>
          <w:szCs w:val="24"/>
        </w:rPr>
        <w:t>property. However, in those situations where the non-Federal entity is</w:t>
      </w:r>
      <w:r>
        <w:rPr>
          <w:rFonts w:ascii="Times New Roman" w:hAnsi="Times New Roman"/>
          <w:sz w:val="24"/>
          <w:szCs w:val="24"/>
        </w:rPr>
        <w:t xml:space="preserve"> </w:t>
      </w:r>
      <w:r w:rsidRPr="00173652">
        <w:rPr>
          <w:rFonts w:ascii="Times New Roman" w:hAnsi="Times New Roman"/>
          <w:sz w:val="24"/>
          <w:szCs w:val="24"/>
        </w:rPr>
        <w:t>disposing of real property acquired or improved with a Federal award and</w:t>
      </w:r>
      <w:r>
        <w:rPr>
          <w:rFonts w:ascii="Times New Roman" w:hAnsi="Times New Roman"/>
          <w:sz w:val="24"/>
          <w:szCs w:val="24"/>
        </w:rPr>
        <w:t xml:space="preserve"> </w:t>
      </w:r>
      <w:r w:rsidRPr="00173652">
        <w:rPr>
          <w:rFonts w:ascii="Times New Roman" w:hAnsi="Times New Roman"/>
          <w:sz w:val="24"/>
          <w:szCs w:val="24"/>
        </w:rPr>
        <w:t>acquiring replacement real property under the same Federal award, the net</w:t>
      </w:r>
      <w:r>
        <w:rPr>
          <w:rFonts w:ascii="Times New Roman" w:hAnsi="Times New Roman"/>
          <w:sz w:val="24"/>
          <w:szCs w:val="24"/>
        </w:rPr>
        <w:t xml:space="preserve"> </w:t>
      </w:r>
      <w:r w:rsidRPr="00173652">
        <w:rPr>
          <w:rFonts w:ascii="Times New Roman" w:hAnsi="Times New Roman"/>
          <w:sz w:val="24"/>
          <w:szCs w:val="24"/>
        </w:rPr>
        <w:t>proceeds from the disposition may be used as an offset to the cost of the</w:t>
      </w:r>
      <w:r>
        <w:rPr>
          <w:rFonts w:ascii="Times New Roman" w:hAnsi="Times New Roman"/>
          <w:sz w:val="24"/>
          <w:szCs w:val="24"/>
        </w:rPr>
        <w:t xml:space="preserve"> </w:t>
      </w:r>
      <w:r w:rsidRPr="00173652">
        <w:rPr>
          <w:rFonts w:ascii="Times New Roman" w:hAnsi="Times New Roman"/>
          <w:sz w:val="24"/>
          <w:szCs w:val="24"/>
        </w:rPr>
        <w:t>replacement property.</w:t>
      </w:r>
    </w:p>
    <w:p w14:paraId="187C4ADC" w14:textId="77777777" w:rsidR="00A85A7A" w:rsidRPr="00173652" w:rsidRDefault="00A85A7A" w:rsidP="00C35717">
      <w:pPr>
        <w:pStyle w:val="PlainText"/>
        <w:spacing w:line="276" w:lineRule="auto"/>
        <w:rPr>
          <w:rFonts w:ascii="Times New Roman" w:hAnsi="Times New Roman"/>
          <w:sz w:val="24"/>
          <w:szCs w:val="24"/>
        </w:rPr>
      </w:pPr>
    </w:p>
    <w:p w14:paraId="78B700E6" w14:textId="6CD40DEC" w:rsidR="00A85A7A" w:rsidRPr="00173652" w:rsidRDefault="00A85A7A" w:rsidP="0016500E">
      <w:pPr>
        <w:pStyle w:val="PlainText"/>
        <w:spacing w:after="240" w:line="276" w:lineRule="auto"/>
        <w:rPr>
          <w:rFonts w:ascii="Times New Roman" w:hAnsi="Times New Roman"/>
          <w:sz w:val="24"/>
          <w:szCs w:val="24"/>
        </w:rPr>
      </w:pPr>
      <w:r>
        <w:rPr>
          <w:rFonts w:ascii="Times New Roman" w:hAnsi="Times New Roman"/>
          <w:sz w:val="24"/>
          <w:szCs w:val="24"/>
        </w:rPr>
        <w:t>6.</w:t>
      </w:r>
      <w:r w:rsidR="006578FD">
        <w:rPr>
          <w:rFonts w:ascii="Times New Roman" w:hAnsi="Times New Roman"/>
          <w:sz w:val="24"/>
          <w:szCs w:val="24"/>
        </w:rPr>
        <w:t>6</w:t>
      </w:r>
      <w:r>
        <w:rPr>
          <w:rFonts w:ascii="Times New Roman" w:hAnsi="Times New Roman"/>
          <w:sz w:val="24"/>
          <w:szCs w:val="24"/>
        </w:rPr>
        <w:t xml:space="preserve">.2 </w:t>
      </w:r>
      <w:r w:rsidRPr="00173652">
        <w:rPr>
          <w:rFonts w:ascii="Times New Roman" w:hAnsi="Times New Roman"/>
          <w:sz w:val="24"/>
          <w:szCs w:val="24"/>
        </w:rPr>
        <w:t>Sell the property and compensate the Federal awarding agency. The amount</w:t>
      </w:r>
      <w:r>
        <w:rPr>
          <w:rFonts w:ascii="Times New Roman" w:hAnsi="Times New Roman"/>
          <w:sz w:val="24"/>
          <w:szCs w:val="24"/>
        </w:rPr>
        <w:t xml:space="preserve"> </w:t>
      </w:r>
      <w:r w:rsidRPr="00173652">
        <w:rPr>
          <w:rFonts w:ascii="Times New Roman" w:hAnsi="Times New Roman"/>
          <w:sz w:val="24"/>
          <w:szCs w:val="24"/>
        </w:rPr>
        <w:t>due to the Federal awarding agency will be calculated by applying the</w:t>
      </w:r>
      <w:r>
        <w:rPr>
          <w:rFonts w:ascii="Times New Roman" w:hAnsi="Times New Roman"/>
          <w:sz w:val="24"/>
          <w:szCs w:val="24"/>
        </w:rPr>
        <w:t xml:space="preserve"> </w:t>
      </w:r>
      <w:r w:rsidRPr="00173652">
        <w:rPr>
          <w:rFonts w:ascii="Times New Roman" w:hAnsi="Times New Roman"/>
          <w:sz w:val="24"/>
          <w:szCs w:val="24"/>
        </w:rPr>
        <w:t>Federal awarding agency's percentage of participation in the cost of the</w:t>
      </w:r>
      <w:r>
        <w:rPr>
          <w:rFonts w:ascii="Times New Roman" w:hAnsi="Times New Roman"/>
          <w:sz w:val="24"/>
          <w:szCs w:val="24"/>
        </w:rPr>
        <w:t xml:space="preserve"> </w:t>
      </w:r>
      <w:r w:rsidRPr="00173652">
        <w:rPr>
          <w:rFonts w:ascii="Times New Roman" w:hAnsi="Times New Roman"/>
          <w:sz w:val="24"/>
          <w:szCs w:val="24"/>
        </w:rPr>
        <w:t>original purchase (and cost of any improvements) to the proceeds of the sale</w:t>
      </w:r>
      <w:r>
        <w:rPr>
          <w:rFonts w:ascii="Times New Roman" w:hAnsi="Times New Roman"/>
          <w:sz w:val="24"/>
          <w:szCs w:val="24"/>
        </w:rPr>
        <w:t xml:space="preserve"> </w:t>
      </w:r>
      <w:r w:rsidRPr="00173652">
        <w:rPr>
          <w:rFonts w:ascii="Times New Roman" w:hAnsi="Times New Roman"/>
          <w:sz w:val="24"/>
          <w:szCs w:val="24"/>
        </w:rPr>
        <w:t>after deduction of any actual and reasonable selling and fixing-up expenses.</w:t>
      </w:r>
      <w:r>
        <w:rPr>
          <w:rFonts w:ascii="Times New Roman" w:hAnsi="Times New Roman"/>
          <w:sz w:val="24"/>
          <w:szCs w:val="24"/>
        </w:rPr>
        <w:t xml:space="preserve"> </w:t>
      </w:r>
      <w:r w:rsidRPr="00173652">
        <w:rPr>
          <w:rFonts w:ascii="Times New Roman" w:hAnsi="Times New Roman"/>
          <w:sz w:val="24"/>
          <w:szCs w:val="24"/>
        </w:rPr>
        <w:t>If the Federal award has not been closed out, the net proceeds from sale may</w:t>
      </w:r>
      <w:r>
        <w:rPr>
          <w:rFonts w:ascii="Times New Roman" w:hAnsi="Times New Roman"/>
          <w:sz w:val="24"/>
          <w:szCs w:val="24"/>
        </w:rPr>
        <w:t xml:space="preserve"> </w:t>
      </w:r>
      <w:r w:rsidRPr="00173652">
        <w:rPr>
          <w:rFonts w:ascii="Times New Roman" w:hAnsi="Times New Roman"/>
          <w:sz w:val="24"/>
          <w:szCs w:val="24"/>
        </w:rPr>
        <w:t>be offset against the original cost of the property. When the non-Federal</w:t>
      </w:r>
      <w:r>
        <w:rPr>
          <w:rFonts w:ascii="Times New Roman" w:hAnsi="Times New Roman"/>
          <w:sz w:val="24"/>
          <w:szCs w:val="24"/>
        </w:rPr>
        <w:t xml:space="preserve"> </w:t>
      </w:r>
      <w:r w:rsidRPr="00173652">
        <w:rPr>
          <w:rFonts w:ascii="Times New Roman" w:hAnsi="Times New Roman"/>
          <w:sz w:val="24"/>
          <w:szCs w:val="24"/>
        </w:rPr>
        <w:t>entity is directed to sell property, sales procedures must be followed that</w:t>
      </w:r>
      <w:r>
        <w:rPr>
          <w:rFonts w:ascii="Times New Roman" w:hAnsi="Times New Roman"/>
          <w:sz w:val="24"/>
          <w:szCs w:val="24"/>
        </w:rPr>
        <w:t xml:space="preserve"> </w:t>
      </w:r>
      <w:r w:rsidRPr="00173652">
        <w:rPr>
          <w:rFonts w:ascii="Times New Roman" w:hAnsi="Times New Roman"/>
          <w:sz w:val="24"/>
          <w:szCs w:val="24"/>
        </w:rPr>
        <w:t>provide for competition to the extent practicable and result in the highest</w:t>
      </w:r>
      <w:r>
        <w:rPr>
          <w:rFonts w:ascii="Times New Roman" w:hAnsi="Times New Roman"/>
          <w:sz w:val="24"/>
          <w:szCs w:val="24"/>
        </w:rPr>
        <w:t xml:space="preserve"> </w:t>
      </w:r>
      <w:r w:rsidRPr="00173652">
        <w:rPr>
          <w:rFonts w:ascii="Times New Roman" w:hAnsi="Times New Roman"/>
          <w:sz w:val="24"/>
          <w:szCs w:val="24"/>
        </w:rPr>
        <w:t>possible return.</w:t>
      </w:r>
    </w:p>
    <w:p w14:paraId="0E912DB6" w14:textId="1E270DCC" w:rsidR="006578FD" w:rsidRPr="000B2766" w:rsidRDefault="00A85A7A" w:rsidP="000B2766">
      <w:pPr>
        <w:pStyle w:val="PlainText"/>
        <w:spacing w:after="240" w:line="276" w:lineRule="auto"/>
        <w:rPr>
          <w:rFonts w:ascii="Times New Roman" w:hAnsi="Times New Roman" w:cs="Times New Roman"/>
          <w:sz w:val="24"/>
        </w:rPr>
      </w:pPr>
      <w:r>
        <w:rPr>
          <w:rFonts w:ascii="Times New Roman" w:hAnsi="Times New Roman"/>
          <w:sz w:val="24"/>
          <w:szCs w:val="24"/>
        </w:rPr>
        <w:t>6.</w:t>
      </w:r>
      <w:r w:rsidR="006578FD">
        <w:rPr>
          <w:rFonts w:ascii="Times New Roman" w:hAnsi="Times New Roman"/>
          <w:sz w:val="24"/>
          <w:szCs w:val="24"/>
        </w:rPr>
        <w:t>6</w:t>
      </w:r>
      <w:r>
        <w:rPr>
          <w:rFonts w:ascii="Times New Roman" w:hAnsi="Times New Roman"/>
          <w:sz w:val="24"/>
          <w:szCs w:val="24"/>
        </w:rPr>
        <w:t xml:space="preserve">.3 </w:t>
      </w:r>
      <w:r w:rsidRPr="00173652">
        <w:rPr>
          <w:rFonts w:ascii="Times New Roman" w:hAnsi="Times New Roman"/>
          <w:sz w:val="24"/>
          <w:szCs w:val="24"/>
        </w:rPr>
        <w:t>Transfer title to the Federal awarding agency or to a third party</w:t>
      </w:r>
      <w:r>
        <w:rPr>
          <w:rFonts w:ascii="Times New Roman" w:hAnsi="Times New Roman"/>
          <w:sz w:val="24"/>
          <w:szCs w:val="24"/>
        </w:rPr>
        <w:t xml:space="preserve"> </w:t>
      </w:r>
      <w:r w:rsidRPr="00173652">
        <w:rPr>
          <w:rFonts w:ascii="Times New Roman" w:hAnsi="Times New Roman"/>
          <w:sz w:val="24"/>
          <w:szCs w:val="24"/>
        </w:rPr>
        <w:t>designated/approved by the Federal awarding agency. The non-Federal entity</w:t>
      </w:r>
      <w:r>
        <w:rPr>
          <w:rFonts w:ascii="Times New Roman" w:hAnsi="Times New Roman"/>
          <w:sz w:val="24"/>
          <w:szCs w:val="24"/>
        </w:rPr>
        <w:t xml:space="preserve"> </w:t>
      </w:r>
      <w:r w:rsidRPr="00173652">
        <w:rPr>
          <w:rFonts w:ascii="Times New Roman" w:hAnsi="Times New Roman"/>
          <w:sz w:val="24"/>
          <w:szCs w:val="24"/>
        </w:rPr>
        <w:t>is entitled to be paid an amount calculated by applying the non-Federal</w:t>
      </w:r>
      <w:r>
        <w:rPr>
          <w:rFonts w:ascii="Times New Roman" w:hAnsi="Times New Roman"/>
          <w:sz w:val="24"/>
          <w:szCs w:val="24"/>
        </w:rPr>
        <w:t xml:space="preserve"> </w:t>
      </w:r>
      <w:r w:rsidRPr="00173652">
        <w:rPr>
          <w:rFonts w:ascii="Times New Roman" w:hAnsi="Times New Roman"/>
          <w:sz w:val="24"/>
          <w:szCs w:val="24"/>
        </w:rPr>
        <w:t>entity's percentage of participation in th</w:t>
      </w:r>
      <w:r w:rsidR="0016500E">
        <w:rPr>
          <w:rFonts w:ascii="Times New Roman" w:hAnsi="Times New Roman"/>
          <w:sz w:val="24"/>
          <w:szCs w:val="24"/>
        </w:rPr>
        <w:t xml:space="preserve">e purchase of the real property </w:t>
      </w:r>
      <w:r w:rsidRPr="0016500E">
        <w:rPr>
          <w:rFonts w:ascii="Times New Roman" w:hAnsi="Times New Roman" w:cs="Times New Roman"/>
          <w:sz w:val="24"/>
        </w:rPr>
        <w:t>(and cost of any improvements) to the current fair market value of the property.</w:t>
      </w:r>
      <w:r w:rsidR="006578FD">
        <w:rPr>
          <w:sz w:val="24"/>
        </w:rPr>
        <w:t xml:space="preserve"> </w:t>
      </w:r>
    </w:p>
    <w:p w14:paraId="1AA3DEA7" w14:textId="5B4916B6" w:rsidR="007050E5" w:rsidRDefault="00FD31EF" w:rsidP="00C35717">
      <w:pPr>
        <w:autoSpaceDE/>
        <w:spacing w:after="200" w:line="276" w:lineRule="auto"/>
        <w:rPr>
          <w:sz w:val="24"/>
        </w:rPr>
      </w:pPr>
      <w:r>
        <w:rPr>
          <w:sz w:val="24"/>
        </w:rPr>
        <w:t>6</w:t>
      </w:r>
      <w:r w:rsidR="005F09DE">
        <w:rPr>
          <w:sz w:val="24"/>
        </w:rPr>
        <w:t>.</w:t>
      </w:r>
      <w:r w:rsidR="006578FD">
        <w:rPr>
          <w:sz w:val="24"/>
        </w:rPr>
        <w:t>7</w:t>
      </w:r>
      <w:r w:rsidR="007050E5">
        <w:rPr>
          <w:sz w:val="24"/>
        </w:rPr>
        <w:t xml:space="preserve"> In the event the Secretary of the Army requires that real property interests be transferred to the </w:t>
      </w:r>
      <w:r w:rsidR="00C35717">
        <w:rPr>
          <w:sz w:val="24"/>
        </w:rPr>
        <w:t>Government</w:t>
      </w:r>
      <w:r w:rsidR="00D8217E">
        <w:rPr>
          <w:sz w:val="24"/>
        </w:rPr>
        <w:t xml:space="preserve">, </w:t>
      </w:r>
      <w:r w:rsidR="00194C55">
        <w:rPr>
          <w:sz w:val="24"/>
        </w:rPr>
        <w:t>Recipient</w:t>
      </w:r>
      <w:r w:rsidR="00D8217E">
        <w:rPr>
          <w:sz w:val="24"/>
        </w:rPr>
        <w:t xml:space="preserve"> </w:t>
      </w:r>
      <w:r w:rsidR="007050E5">
        <w:rPr>
          <w:sz w:val="24"/>
        </w:rPr>
        <w:t xml:space="preserve">will do so and will be reimbursed for only costs incidental to the transfer (recording fees, certified copies, etc.). </w:t>
      </w:r>
    </w:p>
    <w:p w14:paraId="3C49E289" w14:textId="1DF92886" w:rsidR="00610286" w:rsidRPr="00725F86" w:rsidRDefault="00610286" w:rsidP="00C35717">
      <w:pPr>
        <w:autoSpaceDE/>
        <w:spacing w:after="200" w:line="276" w:lineRule="auto"/>
        <w:rPr>
          <w:sz w:val="24"/>
        </w:rPr>
      </w:pPr>
      <w:r w:rsidRPr="00725F86">
        <w:rPr>
          <w:sz w:val="24"/>
        </w:rPr>
        <w:t>6.</w:t>
      </w:r>
      <w:r w:rsidR="006578FD">
        <w:rPr>
          <w:sz w:val="24"/>
        </w:rPr>
        <w:t>8</w:t>
      </w:r>
      <w:r w:rsidR="006578FD" w:rsidRPr="00725F86">
        <w:rPr>
          <w:sz w:val="24"/>
        </w:rPr>
        <w:t xml:space="preserve"> </w:t>
      </w:r>
      <w:r w:rsidR="006B101A" w:rsidRPr="0073357E">
        <w:rPr>
          <w:sz w:val="24"/>
          <w:highlight w:val="yellow"/>
        </w:rPr>
        <w:t xml:space="preserve">Indirect rate is determined by a Negotiated Indirect Cost Rate Agreement (NICRA). The NICRA is negotiated between </w:t>
      </w:r>
      <w:r w:rsidR="0073357E" w:rsidRPr="0073357E">
        <w:rPr>
          <w:sz w:val="24"/>
          <w:highlight w:val="yellow"/>
        </w:rPr>
        <w:t xml:space="preserve">[RECIPIENT] </w:t>
      </w:r>
      <w:r w:rsidR="006B101A" w:rsidRPr="0073357E">
        <w:rPr>
          <w:sz w:val="24"/>
          <w:highlight w:val="yellow"/>
        </w:rPr>
        <w:t xml:space="preserve">and the </w:t>
      </w:r>
      <w:r w:rsidR="0073357E" w:rsidRPr="0073357E">
        <w:rPr>
          <w:sz w:val="24"/>
          <w:highlight w:val="yellow"/>
        </w:rPr>
        <w:t>[</w:t>
      </w:r>
      <w:r w:rsidR="006B101A" w:rsidRPr="0073357E">
        <w:rPr>
          <w:sz w:val="24"/>
          <w:highlight w:val="yellow"/>
        </w:rPr>
        <w:t xml:space="preserve">U.S. Department of </w:t>
      </w:r>
      <w:r w:rsidR="0073357E" w:rsidRPr="0073357E">
        <w:rPr>
          <w:sz w:val="24"/>
          <w:highlight w:val="yellow"/>
        </w:rPr>
        <w:t>XXXXXX]</w:t>
      </w:r>
      <w:r w:rsidR="006B101A" w:rsidRPr="0073357E">
        <w:rPr>
          <w:sz w:val="24"/>
          <w:highlight w:val="yellow"/>
        </w:rPr>
        <w:t xml:space="preserve">, and is accepted by all other federal agencies. In fiscal year </w:t>
      </w:r>
      <w:r w:rsidR="0073357E" w:rsidRPr="0073357E">
        <w:rPr>
          <w:sz w:val="24"/>
          <w:highlight w:val="yellow"/>
        </w:rPr>
        <w:t>xxxx</w:t>
      </w:r>
      <w:r w:rsidR="006B101A" w:rsidRPr="0073357E">
        <w:rPr>
          <w:sz w:val="24"/>
          <w:highlight w:val="yellow"/>
        </w:rPr>
        <w:t xml:space="preserve"> this rate is </w:t>
      </w:r>
      <w:r w:rsidR="0073357E" w:rsidRPr="0073357E">
        <w:rPr>
          <w:sz w:val="24"/>
          <w:highlight w:val="yellow"/>
        </w:rPr>
        <w:t>xx.xx</w:t>
      </w:r>
      <w:r w:rsidR="006B101A" w:rsidRPr="0073357E">
        <w:rPr>
          <w:sz w:val="24"/>
          <w:highlight w:val="yellow"/>
        </w:rPr>
        <w:t>%.</w:t>
      </w:r>
    </w:p>
    <w:p w14:paraId="798486C5" w14:textId="7A945F70" w:rsidR="00610286" w:rsidRDefault="00A675E8" w:rsidP="00C35717">
      <w:pPr>
        <w:autoSpaceDE/>
        <w:spacing w:after="200" w:line="276" w:lineRule="auto"/>
        <w:rPr>
          <w:sz w:val="24"/>
        </w:rPr>
      </w:pPr>
      <w:r w:rsidRPr="00725F86">
        <w:rPr>
          <w:sz w:val="24"/>
        </w:rPr>
        <w:t>6.</w:t>
      </w:r>
      <w:r w:rsidR="006578FD">
        <w:rPr>
          <w:sz w:val="24"/>
        </w:rPr>
        <w:t>9</w:t>
      </w:r>
      <w:r w:rsidR="006578FD" w:rsidRPr="00725F86">
        <w:rPr>
          <w:sz w:val="24"/>
        </w:rPr>
        <w:t xml:space="preserve"> </w:t>
      </w:r>
      <w:r w:rsidRPr="00725F86">
        <w:rPr>
          <w:sz w:val="24"/>
        </w:rPr>
        <w:t>Partner s</w:t>
      </w:r>
      <w:r w:rsidR="00610286" w:rsidRPr="00725F86">
        <w:rPr>
          <w:sz w:val="24"/>
        </w:rPr>
        <w:t xml:space="preserve">hare minimum percentage: </w:t>
      </w:r>
      <w:r w:rsidR="003F5D13" w:rsidRPr="00725F86">
        <w:rPr>
          <w:sz w:val="24"/>
        </w:rPr>
        <w:t>20</w:t>
      </w:r>
      <w:r w:rsidR="00610286" w:rsidRPr="00725F86">
        <w:rPr>
          <w:sz w:val="24"/>
        </w:rPr>
        <w:t>%</w:t>
      </w:r>
    </w:p>
    <w:p w14:paraId="1BA17E1E" w14:textId="6B9C8539" w:rsidR="007050E5" w:rsidRDefault="007050E5" w:rsidP="00E6753D">
      <w:pPr>
        <w:autoSpaceDE/>
        <w:spacing w:after="200" w:line="276" w:lineRule="auto"/>
        <w:rPr>
          <w:b/>
          <w:bCs/>
          <w:sz w:val="24"/>
        </w:rPr>
      </w:pPr>
      <w:r>
        <w:rPr>
          <w:b/>
          <w:bCs/>
          <w:sz w:val="24"/>
        </w:rPr>
        <w:br w:type="page"/>
      </w:r>
    </w:p>
    <w:p w14:paraId="3AB9F97D" w14:textId="0BEF2E84" w:rsidR="007050E5" w:rsidRPr="00610286" w:rsidRDefault="00610286" w:rsidP="00610286">
      <w:pPr>
        <w:adjustRightInd w:val="0"/>
        <w:rPr>
          <w:b/>
          <w:bCs/>
          <w:color w:val="000000"/>
          <w:sz w:val="24"/>
        </w:rPr>
      </w:pPr>
      <w:r w:rsidRPr="00610286">
        <w:rPr>
          <w:b/>
          <w:bCs/>
          <w:color w:val="000000"/>
          <w:sz w:val="24"/>
        </w:rPr>
        <w:t>Section 7.0</w:t>
      </w:r>
      <w:r>
        <w:rPr>
          <w:b/>
          <w:bCs/>
          <w:color w:val="000000"/>
          <w:sz w:val="24"/>
        </w:rPr>
        <w:t xml:space="preserve"> MAP</w:t>
      </w:r>
    </w:p>
    <w:p w14:paraId="0BA50994" w14:textId="77777777" w:rsidR="007050E5" w:rsidRDefault="007050E5" w:rsidP="007050E5">
      <w:pPr>
        <w:rPr>
          <w:sz w:val="24"/>
        </w:rPr>
      </w:pPr>
    </w:p>
    <w:p w14:paraId="556D2C16" w14:textId="77777777" w:rsidR="007050E5" w:rsidRDefault="007050E5" w:rsidP="007050E5">
      <w:pPr>
        <w:jc w:val="center"/>
      </w:pPr>
    </w:p>
    <w:p w14:paraId="0495181A" w14:textId="77A613F1" w:rsidR="007050E5" w:rsidRDefault="007050E5" w:rsidP="003C1683"/>
    <w:p w14:paraId="246FC9AC" w14:textId="2EB779E6" w:rsidR="00A96C1F" w:rsidRDefault="004C1A5A" w:rsidP="00610286">
      <w:pPr>
        <w:autoSpaceDE/>
        <w:rPr>
          <w:b/>
          <w:sz w:val="24"/>
        </w:rPr>
      </w:pPr>
      <w:r w:rsidRPr="004C1A5A">
        <w:rPr>
          <w:noProof/>
        </w:rPr>
        <w:drawing>
          <wp:inline distT="0" distB="0" distL="0" distR="0" wp14:anchorId="0AB7FBDD" wp14:editId="4DEEBBAA">
            <wp:extent cx="5943600" cy="4592782"/>
            <wp:effectExtent l="0" t="0" r="0" b="0"/>
            <wp:docPr id="1" name="Picture 1" descr="C:\Users\dawn.rohr\AppData\Local\Microsoft\Windows\INetCache\Content.Outlook\OWI0JEI9\ACUB 2018 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rohr\AppData\Local\Microsoft\Windows\INetCache\Content.Outlook\OWI0JEI9\ACUB 2018 P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592782"/>
                    </a:xfrm>
                    <a:prstGeom prst="rect">
                      <a:avLst/>
                    </a:prstGeom>
                    <a:noFill/>
                    <a:ln>
                      <a:noFill/>
                    </a:ln>
                  </pic:spPr>
                </pic:pic>
              </a:graphicData>
            </a:graphic>
          </wp:inline>
        </w:drawing>
      </w:r>
      <w:r w:rsidR="00A96C1F">
        <w:br w:type="page"/>
      </w:r>
      <w:r w:rsidR="00610286">
        <w:rPr>
          <w:b/>
          <w:sz w:val="24"/>
        </w:rPr>
        <w:t>Section 8.0</w:t>
      </w:r>
      <w:r w:rsidR="00A96C1F">
        <w:rPr>
          <w:b/>
          <w:sz w:val="24"/>
        </w:rPr>
        <w:t xml:space="preserve"> </w:t>
      </w:r>
      <w:r w:rsidR="00610286">
        <w:rPr>
          <w:b/>
          <w:sz w:val="24"/>
        </w:rPr>
        <w:t>ALLOWABLE AND AUTHORIZED COSTS</w:t>
      </w:r>
    </w:p>
    <w:p w14:paraId="4E962FEF" w14:textId="1F3C3152" w:rsidR="00DC3DE8" w:rsidRDefault="00DC3DE8" w:rsidP="00DC3DE8">
      <w:pPr>
        <w:tabs>
          <w:tab w:val="left" w:pos="360"/>
        </w:tabs>
        <w:rPr>
          <w:rFonts w:ascii="Arial" w:hAnsi="Arial" w:cs="Arial"/>
          <w:color w:val="000000"/>
          <w:sz w:val="24"/>
          <w:szCs w:val="22"/>
        </w:rPr>
      </w:pPr>
      <w:r>
        <w:rPr>
          <w:rFonts w:ascii="Arial" w:hAnsi="Arial" w:cs="Arial"/>
          <w:color w:val="000000"/>
          <w:sz w:val="24"/>
          <w:szCs w:val="22"/>
        </w:rPr>
        <w:br w:type="page"/>
      </w:r>
    </w:p>
    <w:p w14:paraId="6D162395" w14:textId="77777777" w:rsidR="00DC3DE8" w:rsidRPr="00300BD2" w:rsidRDefault="00DC3DE8" w:rsidP="00DC3DE8">
      <w:pPr>
        <w:tabs>
          <w:tab w:val="left" w:pos="360"/>
        </w:tabs>
        <w:rPr>
          <w:rFonts w:ascii="Arial" w:hAnsi="Arial" w:cs="Arial"/>
          <w:color w:val="000000"/>
          <w:sz w:val="24"/>
          <w:szCs w:val="22"/>
        </w:rPr>
      </w:pPr>
      <w:r w:rsidRPr="00300BD2">
        <w:rPr>
          <w:rFonts w:ascii="Arial" w:hAnsi="Arial" w:cs="Arial"/>
          <w:color w:val="000000"/>
          <w:sz w:val="24"/>
          <w:szCs w:val="22"/>
        </w:rPr>
        <w:t>IMAE-EC</w:t>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r>
      <w:r w:rsidRPr="00300BD2">
        <w:rPr>
          <w:rFonts w:ascii="Arial" w:hAnsi="Arial" w:cs="Arial"/>
          <w:color w:val="000000"/>
          <w:sz w:val="24"/>
          <w:szCs w:val="22"/>
        </w:rPr>
        <w:tab/>
        <w:t xml:space="preserve">         08 JULY 2019</w:t>
      </w:r>
    </w:p>
    <w:p w14:paraId="055FFF46" w14:textId="77777777" w:rsidR="00DC3DE8" w:rsidRPr="00300BD2" w:rsidRDefault="00DC3DE8" w:rsidP="00DC3DE8">
      <w:pPr>
        <w:tabs>
          <w:tab w:val="left" w:pos="360"/>
        </w:tabs>
        <w:autoSpaceDE/>
        <w:autoSpaceDN/>
        <w:spacing w:after="120"/>
        <w:rPr>
          <w:rFonts w:ascii="Arial" w:hAnsi="Arial" w:cs="Arial"/>
          <w:color w:val="000000"/>
          <w:sz w:val="24"/>
          <w:szCs w:val="22"/>
        </w:rPr>
      </w:pPr>
    </w:p>
    <w:p w14:paraId="4ED0C286" w14:textId="77777777" w:rsidR="00DC3DE8" w:rsidRPr="00300BD2" w:rsidRDefault="00DC3DE8" w:rsidP="00DC3DE8">
      <w:pPr>
        <w:tabs>
          <w:tab w:val="left" w:pos="360"/>
        </w:tabs>
        <w:autoSpaceDE/>
        <w:autoSpaceDN/>
        <w:spacing w:after="120"/>
        <w:jc w:val="center"/>
        <w:rPr>
          <w:rFonts w:ascii="Arial" w:hAnsi="Arial" w:cs="Arial"/>
          <w:color w:val="000000"/>
          <w:sz w:val="24"/>
          <w:szCs w:val="22"/>
        </w:rPr>
      </w:pPr>
      <w:r w:rsidRPr="00300BD2">
        <w:rPr>
          <w:rFonts w:ascii="Arial" w:hAnsi="Arial" w:cs="Arial"/>
          <w:color w:val="000000"/>
          <w:sz w:val="24"/>
          <w:szCs w:val="22"/>
        </w:rPr>
        <w:t>Army Compatible Use Buffer Allowable and Authorized Costs Guide v2</w:t>
      </w:r>
    </w:p>
    <w:p w14:paraId="39C35AF5" w14:textId="77777777" w:rsidR="00DC3DE8" w:rsidRPr="00300BD2" w:rsidRDefault="00DC3DE8" w:rsidP="00DC3DE8">
      <w:pPr>
        <w:tabs>
          <w:tab w:val="left" w:pos="360"/>
        </w:tabs>
        <w:autoSpaceDE/>
        <w:autoSpaceDN/>
        <w:spacing w:after="120"/>
        <w:rPr>
          <w:rFonts w:ascii="Arial" w:hAnsi="Arial" w:cs="Arial"/>
          <w:color w:val="000000"/>
          <w:sz w:val="24"/>
          <w:szCs w:val="22"/>
        </w:rPr>
      </w:pPr>
    </w:p>
    <w:p w14:paraId="16853F66" w14:textId="77777777" w:rsidR="00DC3DE8" w:rsidRPr="00300BD2" w:rsidRDefault="00DC3DE8" w:rsidP="00DC3DE8">
      <w:pPr>
        <w:tabs>
          <w:tab w:val="left" w:pos="360"/>
        </w:tabs>
        <w:autoSpaceDE/>
        <w:autoSpaceDN/>
        <w:spacing w:after="120"/>
        <w:rPr>
          <w:rFonts w:ascii="Arial" w:hAnsi="Arial" w:cs="Arial"/>
          <w:color w:val="000000"/>
          <w:sz w:val="24"/>
          <w:szCs w:val="22"/>
        </w:rPr>
      </w:pPr>
    </w:p>
    <w:p w14:paraId="10DDF018" w14:textId="77777777" w:rsidR="00DC3DE8" w:rsidRPr="00300BD2" w:rsidRDefault="00DC3DE8" w:rsidP="00DC3DE8">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1.  This Allowable and Authorized Costs guide (AACG) provides the regulatory framework and program-level approval authorities for costs associated with Army Compatible Use Buffer (ACUB) cooperative agreements (CAs). To ensure that applicants to a new CA understand the existing funding parameters, the AACG will be included in the Notice of Potential Funding Opportunity (NOPFO) package. The AACG will also be retained in the resulting CA for ease of reference and to maintain proper governance of funds throughout the life of the agreement. This guide may also be incorporated into previously awarded CAs when their period of performance is extended, or as needed, pending the approval of all signatories of those agreements.  This document standardizes allowable and authorized costs for the ACUB program, with the intent of providing the maximum benefit to the Army while ensuring proper stewardship of taxpayer dollars. Though a cost may be listed as allowable and authorized herein, reimbursement or advance is not necessarily guaranteed, but rather dependent upon the amount and type of funding available, the necessity of the cost to the ACUB project, and overall benefit to the Army. Partners should follow the Request to Proceed (RTP) and Notice to Proceed (NTP) protocol outlined in the Headquarters Installation Management Command (IMCOM) Business Process Guide (BPG) before incurring any conditional costs, as detailed below in Table 2. The partner is expected to contribute to costs of the ACUB project, at least to the minimum specified by the cooperative agreement, but to the maximum amount possible.</w:t>
      </w:r>
    </w:p>
    <w:p w14:paraId="2D507980" w14:textId="77777777" w:rsidR="00DC3DE8" w:rsidRPr="00300BD2" w:rsidRDefault="00DC3DE8" w:rsidP="00DC3DE8">
      <w:pPr>
        <w:tabs>
          <w:tab w:val="left" w:pos="360"/>
        </w:tabs>
        <w:autoSpaceDE/>
        <w:autoSpaceDN/>
        <w:rPr>
          <w:rFonts w:ascii="Arial" w:hAnsi="Arial"/>
          <w:color w:val="000000"/>
          <w:sz w:val="24"/>
          <w:szCs w:val="22"/>
        </w:rPr>
      </w:pPr>
    </w:p>
    <w:p w14:paraId="0351E07F" w14:textId="77777777" w:rsidR="00DC3DE8" w:rsidRPr="00300BD2" w:rsidRDefault="00DC3DE8" w:rsidP="00DC3DE8">
      <w:pPr>
        <w:tabs>
          <w:tab w:val="left" w:pos="360"/>
        </w:tabs>
        <w:autoSpaceDE/>
        <w:autoSpaceDN/>
        <w:rPr>
          <w:rFonts w:ascii="Arial" w:hAnsi="Arial"/>
          <w:color w:val="000000"/>
          <w:sz w:val="24"/>
          <w:szCs w:val="22"/>
        </w:rPr>
      </w:pPr>
      <w:r w:rsidRPr="00300BD2">
        <w:rPr>
          <w:rFonts w:ascii="Arial" w:hAnsi="Arial"/>
          <w:color w:val="000000"/>
          <w:sz w:val="24"/>
        </w:rPr>
        <w:t xml:space="preserve">2.  The Office of the Secretary of Defense (OSD) places restrictions on the use of Readiness and Environmental Protection Integration (REPI) funding, which comprises the majority of ACUB funds. Specific restrictions should be verified based on current annual REPI guidance. If any cost is unauthorized to be paid for with REPI funds (Table 1), but is listed as allowable and authorized in this guide (Table 2), it may be eligible to be paid for by Service Funds, which, for the purposes of ACUB includes Operations and Maintenance (O&amp;M) funds or Research, Development, Testing, and Evaluation (RDT&amp;E) funds in the case where an installation is primarily funded with RDT&amp;E funds. Note that Service Funds are not guaranteed to be obligated to any given CA and must be requested at the installation level ($150,000 or less) or from </w:t>
      </w:r>
      <w:r w:rsidRPr="00300BD2">
        <w:rPr>
          <w:rFonts w:ascii="Arial" w:hAnsi="Arial"/>
          <w:color w:val="000000"/>
          <w:sz w:val="24"/>
          <w:szCs w:val="22"/>
        </w:rPr>
        <w:t>Headquarters Installation Management Command (</w:t>
      </w:r>
      <w:r w:rsidRPr="00300BD2">
        <w:rPr>
          <w:rFonts w:ascii="Arial" w:hAnsi="Arial"/>
          <w:color w:val="000000"/>
          <w:sz w:val="24"/>
        </w:rPr>
        <w:t>HQ IMCOM) G4 (more than $150,000). If Service Funds are not available, costs not eligible for REPI funding must be borne by the Partner, whether in the form of cash, in-kind services, or through program income. Some of the administrative and planning costs that are REPI funding ineligible may be counted as Partner match in the form of in-kind services (IAW Table 2). The current year REPI guidance will take precedence over the contents of this AACG and must be consulted regularly to ensure continued compliance. Based on the FY20 REPI guidance, REPI funding eligibility is listed below. Note: HQ IMCOM policy restricts the use of any military funds for natural resource management and management accounts as described in Table 2 footnotes.</w:t>
      </w:r>
    </w:p>
    <w:p w14:paraId="771E1611" w14:textId="77777777" w:rsidR="00DC3DE8" w:rsidRPr="00300BD2" w:rsidRDefault="00DC3DE8" w:rsidP="00DC3DE8">
      <w:pPr>
        <w:tabs>
          <w:tab w:val="left" w:pos="360"/>
        </w:tabs>
        <w:autoSpaceDE/>
        <w:autoSpaceDN/>
        <w:rPr>
          <w:rFonts w:ascii="Arial" w:hAnsi="Arial"/>
          <w:color w:val="000000"/>
          <w:sz w:val="24"/>
          <w:szCs w:val="22"/>
        </w:rPr>
      </w:pPr>
    </w:p>
    <w:p w14:paraId="58417147" w14:textId="77777777" w:rsidR="00DC3DE8" w:rsidRPr="00300BD2" w:rsidRDefault="00DC3DE8" w:rsidP="00DC3DE8">
      <w:pPr>
        <w:autoSpaceDE/>
        <w:autoSpaceDN/>
        <w:spacing w:after="160" w:line="256" w:lineRule="auto"/>
        <w:rPr>
          <w:rFonts w:ascii="Arial" w:hAnsi="Arial"/>
          <w:i/>
          <w:iCs/>
          <w:color w:val="000000"/>
          <w:sz w:val="22"/>
          <w:szCs w:val="18"/>
        </w:rPr>
      </w:pPr>
      <w:r w:rsidRPr="00300BD2">
        <w:rPr>
          <w:rFonts w:ascii="Arial" w:hAnsi="Arial"/>
          <w:color w:val="000000"/>
          <w:sz w:val="24"/>
          <w:szCs w:val="22"/>
        </w:rPr>
        <w:t xml:space="preserve">Table </w:t>
      </w:r>
      <w:r w:rsidRPr="00300BD2">
        <w:rPr>
          <w:rFonts w:ascii="Arial" w:hAnsi="Arial"/>
          <w:noProof/>
          <w:color w:val="000000"/>
          <w:sz w:val="24"/>
          <w:szCs w:val="22"/>
        </w:rPr>
        <w:fldChar w:fldCharType="begin"/>
      </w:r>
      <w:r w:rsidRPr="00300BD2">
        <w:rPr>
          <w:rFonts w:ascii="Arial" w:hAnsi="Arial"/>
          <w:noProof/>
          <w:color w:val="000000"/>
          <w:sz w:val="24"/>
          <w:szCs w:val="22"/>
        </w:rPr>
        <w:instrText xml:space="preserve"> SEQ Table \* ARABIC </w:instrText>
      </w:r>
      <w:r w:rsidRPr="00300BD2">
        <w:rPr>
          <w:rFonts w:ascii="Arial" w:hAnsi="Arial"/>
          <w:noProof/>
          <w:color w:val="000000"/>
          <w:sz w:val="24"/>
          <w:szCs w:val="22"/>
        </w:rPr>
        <w:fldChar w:fldCharType="separate"/>
      </w:r>
      <w:r w:rsidRPr="00300BD2">
        <w:rPr>
          <w:rFonts w:ascii="Arial" w:hAnsi="Arial"/>
          <w:noProof/>
          <w:color w:val="000000"/>
          <w:sz w:val="24"/>
          <w:szCs w:val="22"/>
        </w:rPr>
        <w:t>1</w:t>
      </w:r>
      <w:r w:rsidRPr="00300BD2">
        <w:rPr>
          <w:rFonts w:ascii="Arial" w:hAnsi="Arial"/>
          <w:noProof/>
          <w:color w:val="000000"/>
          <w:sz w:val="24"/>
          <w:szCs w:val="22"/>
        </w:rPr>
        <w:fldChar w:fldCharType="end"/>
      </w:r>
      <w:r w:rsidRPr="00300BD2">
        <w:rPr>
          <w:rFonts w:ascii="Arial" w:hAnsi="Arial"/>
          <w:color w:val="000000"/>
          <w:sz w:val="24"/>
          <w:szCs w:val="22"/>
        </w:rPr>
        <w:t>: REPI Funding Eligibility</w:t>
      </w:r>
    </w:p>
    <w:tbl>
      <w:tblPr>
        <w:tblStyle w:val="TableGrid"/>
        <w:tblW w:w="0" w:type="auto"/>
        <w:tblInd w:w="0" w:type="dxa"/>
        <w:tblLook w:val="04A0" w:firstRow="1" w:lastRow="0" w:firstColumn="1" w:lastColumn="0" w:noHBand="0" w:noVBand="1"/>
      </w:tblPr>
      <w:tblGrid>
        <w:gridCol w:w="4675"/>
        <w:gridCol w:w="4675"/>
      </w:tblGrid>
      <w:tr w:rsidR="00DC3DE8" w:rsidRPr="00300BD2" w14:paraId="395E29E5" w14:textId="77777777" w:rsidTr="00946888">
        <w:tc>
          <w:tcPr>
            <w:tcW w:w="4675" w:type="dxa"/>
            <w:tcBorders>
              <w:top w:val="single" w:sz="4" w:space="0" w:color="auto"/>
              <w:left w:val="single" w:sz="4" w:space="0" w:color="auto"/>
              <w:bottom w:val="single" w:sz="4" w:space="0" w:color="auto"/>
              <w:right w:val="single" w:sz="4" w:space="0" w:color="auto"/>
            </w:tcBorders>
            <w:vAlign w:val="center"/>
            <w:hideMark/>
          </w:tcPr>
          <w:p w14:paraId="61A39F4F" w14:textId="77777777" w:rsidR="00DC3DE8" w:rsidRPr="00300BD2" w:rsidRDefault="00DC3DE8" w:rsidP="00946888">
            <w:pPr>
              <w:autoSpaceDE/>
              <w:autoSpaceDN/>
              <w:spacing w:after="120"/>
              <w:jc w:val="center"/>
              <w:rPr>
                <w:rFonts w:ascii="Arial" w:hAnsi="Arial"/>
                <w:b/>
                <w:color w:val="000000"/>
                <w:sz w:val="24"/>
              </w:rPr>
            </w:pPr>
            <w:r w:rsidRPr="00300BD2">
              <w:rPr>
                <w:rFonts w:ascii="Arial" w:hAnsi="Arial"/>
                <w:b/>
                <w:color w:val="000000"/>
                <w:sz w:val="24"/>
              </w:rPr>
              <w:t>REPI FUNDING ELIGIBLE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D2396D4" w14:textId="77777777" w:rsidR="00DC3DE8" w:rsidRPr="00300BD2" w:rsidRDefault="00DC3DE8" w:rsidP="00946888">
            <w:pPr>
              <w:autoSpaceDE/>
              <w:autoSpaceDN/>
              <w:spacing w:after="120"/>
              <w:jc w:val="center"/>
              <w:rPr>
                <w:rFonts w:ascii="Arial" w:hAnsi="Arial"/>
                <w:b/>
                <w:color w:val="000000"/>
                <w:sz w:val="24"/>
              </w:rPr>
            </w:pPr>
            <w:r w:rsidRPr="00300BD2">
              <w:rPr>
                <w:rFonts w:ascii="Arial" w:hAnsi="Arial"/>
                <w:b/>
                <w:color w:val="000000"/>
                <w:sz w:val="24"/>
              </w:rPr>
              <w:t>REPI FUNDING INELIGIBLE</w:t>
            </w:r>
          </w:p>
        </w:tc>
      </w:tr>
      <w:tr w:rsidR="00DC3DE8" w:rsidRPr="00300BD2" w14:paraId="2558805D" w14:textId="77777777" w:rsidTr="00946888">
        <w:tc>
          <w:tcPr>
            <w:tcW w:w="4675" w:type="dxa"/>
            <w:tcBorders>
              <w:top w:val="single" w:sz="4" w:space="0" w:color="auto"/>
              <w:left w:val="single" w:sz="4" w:space="0" w:color="auto"/>
              <w:bottom w:val="single" w:sz="4" w:space="0" w:color="auto"/>
              <w:right w:val="single" w:sz="4" w:space="0" w:color="auto"/>
            </w:tcBorders>
            <w:hideMark/>
          </w:tcPr>
          <w:p w14:paraId="6C79F8BA"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Due diligence (e.g., appraisals, surveys,</w:t>
            </w:r>
          </w:p>
          <w:p w14:paraId="1E47DCCD"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title searches, insurance, and reviews of</w:t>
            </w:r>
          </w:p>
          <w:p w14:paraId="45EE673C"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mineral and water rights) and easement</w:t>
            </w:r>
          </w:p>
          <w:p w14:paraId="65FB3C91"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monitoring and enforcement activities</w:t>
            </w:r>
          </w:p>
          <w:p w14:paraId="724F635C"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performed by partners</w:t>
            </w:r>
          </w:p>
        </w:tc>
        <w:tc>
          <w:tcPr>
            <w:tcW w:w="4675" w:type="dxa"/>
            <w:tcBorders>
              <w:top w:val="single" w:sz="4" w:space="0" w:color="auto"/>
              <w:left w:val="single" w:sz="4" w:space="0" w:color="auto"/>
              <w:bottom w:val="single" w:sz="4" w:space="0" w:color="auto"/>
              <w:right w:val="single" w:sz="4" w:space="0" w:color="auto"/>
            </w:tcBorders>
            <w:hideMark/>
          </w:tcPr>
          <w:p w14:paraId="6AA3B4B5"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Due diligence and easement monitoring and enforcement activities performed by DoD personnel</w:t>
            </w:r>
          </w:p>
        </w:tc>
      </w:tr>
      <w:tr w:rsidR="00DC3DE8" w:rsidRPr="00300BD2" w14:paraId="5F80EEEF" w14:textId="77777777" w:rsidTr="00946888">
        <w:trPr>
          <w:trHeight w:val="1103"/>
        </w:trPr>
        <w:tc>
          <w:tcPr>
            <w:tcW w:w="4675" w:type="dxa"/>
            <w:vMerge w:val="restart"/>
            <w:tcBorders>
              <w:top w:val="single" w:sz="4" w:space="0" w:color="auto"/>
              <w:left w:val="single" w:sz="4" w:space="0" w:color="auto"/>
              <w:bottom w:val="single" w:sz="4" w:space="0" w:color="auto"/>
              <w:right w:val="single" w:sz="4" w:space="0" w:color="auto"/>
            </w:tcBorders>
            <w:hideMark/>
          </w:tcPr>
          <w:p w14:paraId="4F4125E2"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Natural resources management, restoration, enforcement, or maintenance (e.g., invasive species control, exclusive</w:t>
            </w:r>
          </w:p>
          <w:p w14:paraId="11572E7D"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devices such as signs and fences, species monitoring, species translocation or reintroduction, necessary reports, future updates to adaptive management plans)</w:t>
            </w:r>
          </w:p>
        </w:tc>
        <w:tc>
          <w:tcPr>
            <w:tcW w:w="4675" w:type="dxa"/>
            <w:tcBorders>
              <w:top w:val="single" w:sz="4" w:space="0" w:color="auto"/>
              <w:left w:val="single" w:sz="4" w:space="0" w:color="auto"/>
              <w:bottom w:val="single" w:sz="4" w:space="0" w:color="auto"/>
              <w:right w:val="single" w:sz="4" w:space="0" w:color="auto"/>
            </w:tcBorders>
            <w:hideMark/>
          </w:tcPr>
          <w:p w14:paraId="589F2DA7"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Administrative and planning costs (e.g.,</w:t>
            </w:r>
          </w:p>
          <w:p w14:paraId="6DA73B01"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administrative overhead, mapping,</w:t>
            </w:r>
          </w:p>
          <w:p w14:paraId="438F7F50"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landowner contacts and outreach,</w:t>
            </w:r>
          </w:p>
          <w:p w14:paraId="7313F3E8"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preliminary natural resources management planning in support of the transaction)</w:t>
            </w:r>
          </w:p>
        </w:tc>
      </w:tr>
      <w:tr w:rsidR="00DC3DE8" w:rsidRPr="00300BD2" w14:paraId="3FD8CBB3" w14:textId="77777777" w:rsidTr="00946888">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B3724" w14:textId="77777777" w:rsidR="00DC3DE8" w:rsidRPr="00300BD2" w:rsidRDefault="00DC3DE8" w:rsidP="00946888">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765F44A1"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Education/interpretation</w:t>
            </w:r>
          </w:p>
        </w:tc>
      </w:tr>
      <w:tr w:rsidR="00DC3DE8" w:rsidRPr="00300BD2" w14:paraId="29D735A2" w14:textId="77777777" w:rsidTr="00946888">
        <w:trPr>
          <w:trHeight w:val="278"/>
        </w:trPr>
        <w:tc>
          <w:tcPr>
            <w:tcW w:w="4675" w:type="dxa"/>
            <w:vMerge w:val="restart"/>
            <w:tcBorders>
              <w:top w:val="single" w:sz="4" w:space="0" w:color="auto"/>
              <w:left w:val="single" w:sz="4" w:space="0" w:color="auto"/>
              <w:bottom w:val="single" w:sz="4" w:space="0" w:color="auto"/>
              <w:right w:val="single" w:sz="4" w:space="0" w:color="auto"/>
            </w:tcBorders>
            <w:hideMark/>
          </w:tcPr>
          <w:p w14:paraId="7B0B6B90"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Management accounts to pay for future</w:t>
            </w:r>
          </w:p>
          <w:p w14:paraId="002A75D8"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costs of natural resources management as a lump sum and with the ability to earn</w:t>
            </w:r>
          </w:p>
          <w:p w14:paraId="77F77CC3"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interest</w:t>
            </w:r>
          </w:p>
        </w:tc>
        <w:tc>
          <w:tcPr>
            <w:tcW w:w="4675" w:type="dxa"/>
            <w:tcBorders>
              <w:top w:val="single" w:sz="4" w:space="0" w:color="auto"/>
              <w:left w:val="single" w:sz="4" w:space="0" w:color="auto"/>
              <w:bottom w:val="single" w:sz="4" w:space="0" w:color="auto"/>
              <w:right w:val="single" w:sz="4" w:space="0" w:color="auto"/>
            </w:tcBorders>
            <w:hideMark/>
          </w:tcPr>
          <w:p w14:paraId="6C7A45DE"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Research</w:t>
            </w:r>
          </w:p>
        </w:tc>
      </w:tr>
      <w:tr w:rsidR="00DC3DE8" w:rsidRPr="00300BD2" w14:paraId="4139EB8F" w14:textId="77777777" w:rsidTr="0094688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1558D" w14:textId="77777777" w:rsidR="00DC3DE8" w:rsidRPr="00300BD2" w:rsidRDefault="00DC3DE8" w:rsidP="00946888">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3FABE9EC"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NEPA, ESA, or other compliance activities</w:t>
            </w:r>
          </w:p>
        </w:tc>
      </w:tr>
      <w:tr w:rsidR="00DC3DE8" w:rsidRPr="00300BD2" w14:paraId="15690B07" w14:textId="77777777" w:rsidTr="00946888">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EAB35" w14:textId="77777777" w:rsidR="00DC3DE8" w:rsidRPr="00300BD2" w:rsidRDefault="00DC3DE8" w:rsidP="00946888">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5BCAFD6C"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Public use facilities</w:t>
            </w:r>
          </w:p>
        </w:tc>
      </w:tr>
      <w:tr w:rsidR="00DC3DE8" w:rsidRPr="00300BD2" w14:paraId="07857AD5" w14:textId="77777777" w:rsidTr="00946888">
        <w:trPr>
          <w:trHeight w:val="413"/>
        </w:trPr>
        <w:tc>
          <w:tcPr>
            <w:tcW w:w="4675" w:type="dxa"/>
            <w:tcBorders>
              <w:top w:val="single" w:sz="4" w:space="0" w:color="auto"/>
              <w:left w:val="single" w:sz="4" w:space="0" w:color="auto"/>
              <w:bottom w:val="single" w:sz="4" w:space="0" w:color="auto"/>
              <w:right w:val="single" w:sz="4" w:space="0" w:color="auto"/>
            </w:tcBorders>
            <w:hideMark/>
          </w:tcPr>
          <w:p w14:paraId="79D8C981"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Establishment of a pre-compliance</w:t>
            </w:r>
          </w:p>
          <w:p w14:paraId="0CB76263"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mitigation or conservation bank, or pre-compliance acquisition of credits from an existing bank</w:t>
            </w:r>
          </w:p>
        </w:tc>
        <w:tc>
          <w:tcPr>
            <w:tcW w:w="4675" w:type="dxa"/>
            <w:tcBorders>
              <w:top w:val="single" w:sz="4" w:space="0" w:color="auto"/>
              <w:left w:val="single" w:sz="4" w:space="0" w:color="auto"/>
              <w:bottom w:val="single" w:sz="4" w:space="0" w:color="auto"/>
              <w:right w:val="single" w:sz="4" w:space="0" w:color="auto"/>
            </w:tcBorders>
            <w:hideMark/>
          </w:tcPr>
          <w:p w14:paraId="724621A4"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Establishment of a mitigation or conservation bank to comply with regulatory requirements</w:t>
            </w:r>
          </w:p>
        </w:tc>
      </w:tr>
      <w:tr w:rsidR="00DC3DE8" w:rsidRPr="00300BD2" w14:paraId="1FF257E1" w14:textId="77777777" w:rsidTr="00946888">
        <w:trPr>
          <w:trHeight w:val="412"/>
        </w:trPr>
        <w:tc>
          <w:tcPr>
            <w:tcW w:w="4675" w:type="dxa"/>
            <w:tcBorders>
              <w:top w:val="single" w:sz="4" w:space="0" w:color="auto"/>
              <w:left w:val="single" w:sz="4" w:space="0" w:color="auto"/>
              <w:bottom w:val="single" w:sz="4" w:space="0" w:color="auto"/>
              <w:right w:val="single" w:sz="4" w:space="0" w:color="auto"/>
            </w:tcBorders>
            <w:hideMark/>
          </w:tcPr>
          <w:p w14:paraId="26C5E05F"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Activities to preserve land that will maintain or improve military installation resilience that, in the absence of protection, could negatively impact test, training, or operations</w:t>
            </w:r>
          </w:p>
        </w:tc>
        <w:tc>
          <w:tcPr>
            <w:tcW w:w="4675" w:type="dxa"/>
            <w:tcBorders>
              <w:top w:val="single" w:sz="4" w:space="0" w:color="auto"/>
              <w:left w:val="single" w:sz="4" w:space="0" w:color="auto"/>
              <w:bottom w:val="single" w:sz="4" w:space="0" w:color="auto"/>
              <w:right w:val="single" w:sz="4" w:space="0" w:color="auto"/>
            </w:tcBorders>
            <w:hideMark/>
          </w:tcPr>
          <w:p w14:paraId="103D6FAF"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Built infrastructure planning, construction, and improvement (e.g., pipelines, buildings, roads)</w:t>
            </w:r>
          </w:p>
        </w:tc>
      </w:tr>
      <w:tr w:rsidR="00DC3DE8" w:rsidRPr="00300BD2" w14:paraId="37754456" w14:textId="77777777" w:rsidTr="00946888">
        <w:trPr>
          <w:trHeight w:val="555"/>
        </w:trPr>
        <w:tc>
          <w:tcPr>
            <w:tcW w:w="4675" w:type="dxa"/>
            <w:vMerge w:val="restart"/>
            <w:tcBorders>
              <w:top w:val="single" w:sz="4" w:space="0" w:color="auto"/>
              <w:left w:val="single" w:sz="4" w:space="0" w:color="auto"/>
              <w:bottom w:val="single" w:sz="4" w:space="0" w:color="auto"/>
              <w:right w:val="single" w:sz="4" w:space="0" w:color="auto"/>
            </w:tcBorders>
          </w:tcPr>
          <w:p w14:paraId="2F221B45" w14:textId="77777777" w:rsidR="00DC3DE8" w:rsidRPr="00300BD2" w:rsidRDefault="00DC3DE8" w:rsidP="00946888">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4A7CF950"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Land encompassing airfield CZs</w:t>
            </w:r>
          </w:p>
        </w:tc>
      </w:tr>
      <w:tr w:rsidR="00DC3DE8" w:rsidRPr="00300BD2" w14:paraId="250D8AA2" w14:textId="77777777" w:rsidTr="00946888">
        <w:tc>
          <w:tcPr>
            <w:tcW w:w="0" w:type="auto"/>
            <w:vMerge/>
            <w:tcBorders>
              <w:top w:val="single" w:sz="4" w:space="0" w:color="auto"/>
              <w:left w:val="single" w:sz="4" w:space="0" w:color="auto"/>
              <w:bottom w:val="single" w:sz="4" w:space="0" w:color="auto"/>
              <w:right w:val="single" w:sz="4" w:space="0" w:color="auto"/>
            </w:tcBorders>
            <w:vAlign w:val="center"/>
            <w:hideMark/>
          </w:tcPr>
          <w:p w14:paraId="28CB5BA7" w14:textId="77777777" w:rsidR="00DC3DE8" w:rsidRPr="00300BD2" w:rsidRDefault="00DC3DE8" w:rsidP="00946888">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1C87E94A"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Land to comply with any non-discretionary conservation measures or terms and conditions of an ESA BO, per 7(a)(2) of the ESA (16 U.S.C. § 1536(a)(2))</w:t>
            </w:r>
          </w:p>
        </w:tc>
      </w:tr>
      <w:tr w:rsidR="00DC3DE8" w:rsidRPr="00300BD2" w14:paraId="57C65234" w14:textId="77777777" w:rsidTr="00946888">
        <w:tc>
          <w:tcPr>
            <w:tcW w:w="0" w:type="auto"/>
            <w:vMerge/>
            <w:tcBorders>
              <w:top w:val="single" w:sz="4" w:space="0" w:color="auto"/>
              <w:left w:val="single" w:sz="4" w:space="0" w:color="auto"/>
              <w:bottom w:val="single" w:sz="4" w:space="0" w:color="auto"/>
              <w:right w:val="single" w:sz="4" w:space="0" w:color="auto"/>
            </w:tcBorders>
            <w:vAlign w:val="center"/>
            <w:hideMark/>
          </w:tcPr>
          <w:p w14:paraId="138C3F06" w14:textId="77777777" w:rsidR="00DC3DE8" w:rsidRPr="00300BD2" w:rsidRDefault="00DC3DE8" w:rsidP="00946888">
            <w:pPr>
              <w:autoSpaceDE/>
              <w:autoSpaceDN/>
              <w:rPr>
                <w:rFonts w:ascii="Arial" w:hAnsi="Arial"/>
                <w:color w:val="000000"/>
                <w:sz w:val="24"/>
              </w:rPr>
            </w:pPr>
          </w:p>
        </w:tc>
        <w:tc>
          <w:tcPr>
            <w:tcW w:w="4675" w:type="dxa"/>
            <w:tcBorders>
              <w:top w:val="single" w:sz="4" w:space="0" w:color="auto"/>
              <w:left w:val="single" w:sz="4" w:space="0" w:color="auto"/>
              <w:bottom w:val="single" w:sz="4" w:space="0" w:color="auto"/>
              <w:right w:val="single" w:sz="4" w:space="0" w:color="auto"/>
            </w:tcBorders>
            <w:hideMark/>
          </w:tcPr>
          <w:p w14:paraId="065A7850" w14:textId="77777777" w:rsidR="00DC3DE8" w:rsidRPr="00300BD2" w:rsidRDefault="00DC3DE8" w:rsidP="00946888">
            <w:pPr>
              <w:autoSpaceDE/>
              <w:autoSpaceDN/>
              <w:rPr>
                <w:rFonts w:ascii="Arial" w:hAnsi="Arial"/>
                <w:color w:val="000000"/>
                <w:sz w:val="24"/>
              </w:rPr>
            </w:pPr>
            <w:r w:rsidRPr="00300BD2">
              <w:rPr>
                <w:rFonts w:ascii="Arial" w:hAnsi="Arial"/>
                <w:color w:val="000000"/>
                <w:sz w:val="24"/>
              </w:rPr>
              <w:t>Land to be acquired for the primary purpose of training or testing</w:t>
            </w:r>
          </w:p>
        </w:tc>
      </w:tr>
    </w:tbl>
    <w:p w14:paraId="6E4C771E" w14:textId="77777777" w:rsidR="00DC3DE8" w:rsidRPr="00300BD2" w:rsidRDefault="00DC3DE8" w:rsidP="00DC3DE8">
      <w:pPr>
        <w:autoSpaceDE/>
        <w:autoSpaceDN/>
        <w:spacing w:after="120"/>
        <w:rPr>
          <w:rFonts w:ascii="Arial" w:hAnsi="Arial"/>
          <w:color w:val="000000"/>
          <w:sz w:val="24"/>
        </w:rPr>
      </w:pPr>
      <w:r w:rsidRPr="00300BD2">
        <w:rPr>
          <w:rFonts w:ascii="Arial" w:hAnsi="Arial"/>
          <w:color w:val="000000"/>
          <w:sz w:val="24"/>
        </w:rPr>
        <w:t xml:space="preserve"> </w:t>
      </w:r>
    </w:p>
    <w:p w14:paraId="0682BF20" w14:textId="77777777" w:rsidR="00DC3DE8" w:rsidRPr="00300BD2" w:rsidRDefault="00DC3DE8" w:rsidP="00DC3DE8">
      <w:pPr>
        <w:autoSpaceDE/>
        <w:autoSpaceDN/>
        <w:spacing w:after="160" w:line="256" w:lineRule="auto"/>
        <w:rPr>
          <w:rFonts w:ascii="Arial" w:hAnsi="Arial"/>
          <w:color w:val="000000"/>
          <w:sz w:val="24"/>
        </w:rPr>
      </w:pPr>
      <w:r w:rsidRPr="00300BD2">
        <w:rPr>
          <w:rFonts w:ascii="Arial" w:hAnsi="Arial"/>
          <w:color w:val="000000"/>
          <w:sz w:val="24"/>
        </w:rPr>
        <w:br w:type="page"/>
      </w:r>
    </w:p>
    <w:p w14:paraId="60EAE09A" w14:textId="77777777" w:rsidR="00DC3DE8" w:rsidRPr="00300BD2" w:rsidRDefault="00DC3DE8" w:rsidP="00DC3DE8">
      <w:pPr>
        <w:tabs>
          <w:tab w:val="left" w:pos="360"/>
        </w:tabs>
        <w:autoSpaceDE/>
        <w:autoSpaceDN/>
        <w:rPr>
          <w:rFonts w:ascii="Arial" w:hAnsi="Arial"/>
          <w:color w:val="000000"/>
          <w:sz w:val="24"/>
          <w:szCs w:val="22"/>
        </w:rPr>
      </w:pPr>
      <w:r w:rsidRPr="00300BD2">
        <w:rPr>
          <w:rFonts w:ascii="Arial" w:hAnsi="Arial"/>
          <w:color w:val="000000"/>
          <w:sz w:val="24"/>
          <w:szCs w:val="22"/>
        </w:rPr>
        <w:t>3.  In collaboration with HQ IMCOM G4, US Army Environmental Command (USAEC) developed a table of direct costs associated with the ACUB program (Table 2), which includes several elements as follows:</w:t>
      </w:r>
    </w:p>
    <w:p w14:paraId="2DB753B5" w14:textId="77777777" w:rsidR="00DC3DE8" w:rsidRPr="00300BD2" w:rsidRDefault="00DC3DE8" w:rsidP="00DC3DE8">
      <w:pPr>
        <w:tabs>
          <w:tab w:val="left" w:pos="360"/>
        </w:tabs>
        <w:autoSpaceDE/>
        <w:autoSpaceDN/>
        <w:rPr>
          <w:rFonts w:ascii="Arial" w:hAnsi="Arial"/>
          <w:color w:val="000000"/>
          <w:sz w:val="24"/>
          <w:szCs w:val="22"/>
        </w:rPr>
      </w:pPr>
      <w:r w:rsidRPr="00300BD2">
        <w:rPr>
          <w:rFonts w:ascii="Arial" w:hAnsi="Arial"/>
          <w:color w:val="000000"/>
          <w:sz w:val="24"/>
          <w:szCs w:val="22"/>
        </w:rPr>
        <w:t xml:space="preserve"> </w:t>
      </w:r>
    </w:p>
    <w:p w14:paraId="6D12FF79" w14:textId="77777777" w:rsidR="00DC3DE8" w:rsidRPr="00300BD2" w:rsidRDefault="00DC3DE8" w:rsidP="00DC3DE8">
      <w:pPr>
        <w:tabs>
          <w:tab w:val="left" w:pos="360"/>
        </w:tabs>
        <w:autoSpaceDE/>
        <w:autoSpaceDN/>
        <w:rPr>
          <w:rFonts w:ascii="Arial" w:hAnsi="Arial"/>
          <w:color w:val="000000"/>
          <w:sz w:val="24"/>
          <w:szCs w:val="22"/>
        </w:rPr>
      </w:pPr>
      <w:r w:rsidRPr="00300BD2">
        <w:rPr>
          <w:rFonts w:ascii="Arial" w:hAnsi="Arial"/>
          <w:color w:val="000000"/>
          <w:sz w:val="24"/>
          <w:szCs w:val="22"/>
        </w:rPr>
        <w:t xml:space="preserve">     a) Column 1 identifies possible direct costs associated with the ACUB program, by category;  </w:t>
      </w:r>
    </w:p>
    <w:p w14:paraId="0CDFB20E" w14:textId="77777777" w:rsidR="00DC3DE8" w:rsidRPr="00300BD2" w:rsidRDefault="00DC3DE8" w:rsidP="00DC3DE8">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 xml:space="preserve">     b) Column 2 indicates whether those costs are allowable under current regulations; </w:t>
      </w:r>
    </w:p>
    <w:p w14:paraId="7CBE888B" w14:textId="77777777" w:rsidR="00DC3DE8" w:rsidRPr="00300BD2" w:rsidRDefault="00DC3DE8" w:rsidP="00DC3DE8">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 xml:space="preserve">     c) Column 3 indicates whether those costs are authorized to be paid using REPI/Service Funds per HQ IMCOM policy;</w:t>
      </w:r>
    </w:p>
    <w:p w14:paraId="348924F2" w14:textId="77777777" w:rsidR="00DC3DE8" w:rsidRPr="00300BD2" w:rsidRDefault="00DC3DE8" w:rsidP="00DC3DE8">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 xml:space="preserve">     d) Column 4 indicates if the costs can be counted as partner match;</w:t>
      </w:r>
    </w:p>
    <w:p w14:paraId="0C5B39D9" w14:textId="77777777" w:rsidR="00DC3DE8" w:rsidRPr="00300BD2" w:rsidRDefault="00DC3DE8" w:rsidP="00DC3DE8">
      <w:pPr>
        <w:tabs>
          <w:tab w:val="left" w:pos="360"/>
        </w:tabs>
        <w:autoSpaceDE/>
        <w:autoSpaceDN/>
        <w:spacing w:after="120"/>
        <w:rPr>
          <w:rFonts w:ascii="Arial" w:hAnsi="Arial"/>
          <w:color w:val="000000"/>
          <w:sz w:val="24"/>
          <w:szCs w:val="22"/>
        </w:rPr>
      </w:pPr>
      <w:r w:rsidRPr="00300BD2">
        <w:rPr>
          <w:rFonts w:ascii="Arial" w:hAnsi="Arial"/>
          <w:color w:val="000000"/>
          <w:sz w:val="24"/>
          <w:szCs w:val="22"/>
        </w:rPr>
        <w:t xml:space="preserve">     e) Column 5 includes a legal citation for the appropriate regulation in which the specific cost is referenced. </w:t>
      </w:r>
    </w:p>
    <w:p w14:paraId="22C6FCD2" w14:textId="77777777" w:rsidR="00DC3DE8" w:rsidRPr="00300BD2" w:rsidRDefault="00DC3DE8" w:rsidP="00DC3DE8">
      <w:pPr>
        <w:tabs>
          <w:tab w:val="left" w:pos="360"/>
        </w:tabs>
        <w:autoSpaceDE/>
        <w:autoSpaceDN/>
        <w:rPr>
          <w:rFonts w:ascii="Arial" w:hAnsi="Arial"/>
          <w:color w:val="000000"/>
          <w:sz w:val="24"/>
          <w:szCs w:val="22"/>
        </w:rPr>
      </w:pPr>
    </w:p>
    <w:p w14:paraId="46DDC69A" w14:textId="77777777" w:rsidR="00DC3DE8" w:rsidRPr="00300BD2" w:rsidRDefault="00DC3DE8" w:rsidP="00DC3DE8">
      <w:pPr>
        <w:autoSpaceDE/>
        <w:autoSpaceDN/>
        <w:spacing w:after="120"/>
        <w:rPr>
          <w:rFonts w:ascii="Arial" w:hAnsi="Arial"/>
          <w:color w:val="000000"/>
          <w:sz w:val="24"/>
        </w:rPr>
      </w:pPr>
      <w:r w:rsidRPr="00300BD2">
        <w:rPr>
          <w:rFonts w:ascii="Arial" w:hAnsi="Arial"/>
          <w:color w:val="000000"/>
          <w:sz w:val="24"/>
        </w:rPr>
        <w:t xml:space="preserve">4.  </w:t>
      </w:r>
      <w:r w:rsidRPr="00300BD2">
        <w:rPr>
          <w:rFonts w:ascii="Arial" w:hAnsi="Arial"/>
          <w:color w:val="000000"/>
          <w:sz w:val="24"/>
          <w:szCs w:val="22"/>
        </w:rPr>
        <w:t xml:space="preserve">Costs in Table 2 identified as “Conditional” in column 3 may be authorized if certain conditions are met as indicated in the footnotes. For example, habitat management costs are only allowed for projects that result in direct regulatory credit or relief for the US Army, and would require approval of these costs by HQ IMCOM. In another example, geological surveys may be allowed in cases where mineral rights have been severed from the property deed; allowability of this cost would be negotiated on a per-parcel basis. Costs identified as “Conditional” may necessitate differing levels of approval authority depending on their nature, which may be granted at the installation level by the Technical Cooperative Agreement Manager (TCAM), at the USAEC level by the Cooperative Agreement Manager (CAM), or at the headquarters level by IMCOM G4. </w:t>
      </w:r>
      <w:r w:rsidRPr="00300BD2">
        <w:rPr>
          <w:rFonts w:ascii="Arial" w:hAnsi="Arial"/>
          <w:color w:val="000000"/>
          <w:sz w:val="24"/>
        </w:rPr>
        <w:t>Any cost not identified in this guide should be considered unallowable and unauthorized. Invoicing for allowable and authorized costs must be accomplished per conditions of the CA and following the current ACUB Business Process Guide.</w:t>
      </w:r>
    </w:p>
    <w:p w14:paraId="4518D245" w14:textId="77777777" w:rsidR="00DC3DE8" w:rsidRPr="00300BD2" w:rsidRDefault="00DC3DE8" w:rsidP="00DC3DE8">
      <w:pPr>
        <w:autoSpaceDE/>
        <w:autoSpaceDN/>
        <w:rPr>
          <w:rFonts w:ascii="Arial" w:hAnsi="Arial"/>
          <w:color w:val="000000"/>
          <w:sz w:val="24"/>
        </w:rPr>
      </w:pPr>
    </w:p>
    <w:p w14:paraId="6447701D" w14:textId="77777777" w:rsidR="00DC3DE8" w:rsidRPr="00300BD2" w:rsidRDefault="00DC3DE8" w:rsidP="00DC3DE8">
      <w:pPr>
        <w:tabs>
          <w:tab w:val="left" w:pos="360"/>
        </w:tabs>
        <w:autoSpaceDE/>
        <w:autoSpaceDN/>
        <w:rPr>
          <w:rFonts w:ascii="Arial" w:hAnsi="Arial"/>
          <w:color w:val="000000"/>
          <w:sz w:val="24"/>
          <w:szCs w:val="22"/>
        </w:rPr>
      </w:pPr>
      <w:r w:rsidRPr="00300BD2">
        <w:rPr>
          <w:rFonts w:ascii="Arial" w:hAnsi="Arial"/>
          <w:color w:val="000000"/>
          <w:sz w:val="24"/>
        </w:rPr>
        <w:t>5. Citations in Column 5 provide reference to specific costs, as detailed in Column 1. General governing regulations, in addition to these citations, include the following:</w:t>
      </w:r>
      <w:r w:rsidRPr="00300BD2">
        <w:rPr>
          <w:rFonts w:ascii="Arial" w:hAnsi="Arial"/>
          <w:color w:val="000000"/>
          <w:sz w:val="24"/>
          <w:szCs w:val="22"/>
        </w:rPr>
        <w:t xml:space="preserve"> </w:t>
      </w:r>
    </w:p>
    <w:p w14:paraId="23A4FA94" w14:textId="77777777" w:rsidR="00DC3DE8" w:rsidRPr="00300BD2" w:rsidRDefault="00DC3DE8" w:rsidP="00DC3DE8">
      <w:pPr>
        <w:tabs>
          <w:tab w:val="left" w:pos="360"/>
        </w:tabs>
        <w:autoSpaceDE/>
        <w:autoSpaceDN/>
        <w:rPr>
          <w:rFonts w:ascii="Arial" w:hAnsi="Arial"/>
          <w:color w:val="000000"/>
          <w:sz w:val="24"/>
          <w:szCs w:val="22"/>
        </w:rPr>
      </w:pPr>
      <w:r w:rsidRPr="00300BD2">
        <w:rPr>
          <w:rFonts w:ascii="Arial" w:hAnsi="Arial"/>
          <w:color w:val="000000"/>
          <w:sz w:val="24"/>
          <w:szCs w:val="22"/>
        </w:rPr>
        <w:t xml:space="preserve"> </w:t>
      </w:r>
    </w:p>
    <w:p w14:paraId="0B2DC4C7" w14:textId="77777777" w:rsidR="00DC3DE8" w:rsidRPr="00300BD2" w:rsidRDefault="00DC3DE8" w:rsidP="00DC3DE8">
      <w:pPr>
        <w:autoSpaceDE/>
        <w:autoSpaceDN/>
        <w:spacing w:after="120"/>
        <w:rPr>
          <w:rFonts w:ascii="Arial" w:hAnsi="Arial"/>
          <w:color w:val="000000"/>
          <w:sz w:val="24"/>
        </w:rPr>
      </w:pPr>
      <w:r w:rsidRPr="00300BD2">
        <w:rPr>
          <w:rFonts w:ascii="Arial" w:hAnsi="Arial"/>
          <w:color w:val="000000"/>
          <w:sz w:val="24"/>
          <w:szCs w:val="22"/>
        </w:rPr>
        <w:t xml:space="preserve">     a) 32 CFR </w:t>
      </w:r>
      <w:r w:rsidRPr="00300BD2">
        <w:rPr>
          <w:rFonts w:ascii="Arial" w:hAnsi="Arial"/>
          <w:color w:val="000000"/>
          <w:sz w:val="24"/>
        </w:rPr>
        <w:t xml:space="preserve">§32 and 32 CFR §33 - The DoD Grant and Agreement Regulations (DoDGARs) governing award and administrative requirements for non-profit organizations and States respectively. These CFRs were written to work in conjunction with Office of Management and Budget (OMB) Circulars intended to provide additional guidance. The majority of 32 CFR §32 and 32 CFR §33 have been superseded by 2 CFR §200 (as summarized in 2 CFR §1103.100). This is intended as interim guidance until full content of the DoDGARs are fully incorporated into their respective subchapter of 2 CFR §200, and as such, may change. Other provisions of </w:t>
      </w:r>
      <w:r w:rsidRPr="00300BD2">
        <w:rPr>
          <w:rFonts w:ascii="Arial" w:hAnsi="Arial"/>
          <w:color w:val="000000"/>
          <w:sz w:val="24"/>
          <w:szCs w:val="22"/>
        </w:rPr>
        <w:t xml:space="preserve">Chapter I, Subchapter C of Title 32, CFR </w:t>
      </w:r>
      <w:r w:rsidRPr="00300BD2">
        <w:rPr>
          <w:rFonts w:ascii="Arial" w:hAnsi="Arial"/>
          <w:color w:val="000000"/>
          <w:sz w:val="24"/>
        </w:rPr>
        <w:t>are still applicable to overall governance of DoD grants.</w:t>
      </w:r>
    </w:p>
    <w:p w14:paraId="75E2C4EE" w14:textId="77777777" w:rsidR="00DC3DE8" w:rsidRPr="00300BD2" w:rsidRDefault="00DC3DE8" w:rsidP="00DC3DE8">
      <w:pPr>
        <w:autoSpaceDE/>
        <w:autoSpaceDN/>
        <w:spacing w:after="120"/>
        <w:rPr>
          <w:rFonts w:ascii="Arial" w:hAnsi="Arial"/>
          <w:color w:val="000000"/>
          <w:sz w:val="24"/>
          <w:szCs w:val="22"/>
        </w:rPr>
      </w:pPr>
      <w:r w:rsidRPr="00300BD2">
        <w:rPr>
          <w:rFonts w:ascii="Arial" w:hAnsi="Arial"/>
          <w:color w:val="000000"/>
          <w:sz w:val="24"/>
        </w:rPr>
        <w:t xml:space="preserve">     b) 2 CFR §200 - Uniform Administrative Requirements, Cost Principals, and Audit Requirements for Federal Awards. Although an OMB regulation, it subsumes the stipulations of 32 CFR §32 and 32 CFR §33 (IAW 2 CFR §1103.100) and acts as the primary regulatory framework for this AACG. </w:t>
      </w:r>
    </w:p>
    <w:p w14:paraId="17A9D8F9" w14:textId="77777777" w:rsidR="00DC3DE8" w:rsidRPr="00300BD2" w:rsidRDefault="00DC3DE8" w:rsidP="00DC3DE8">
      <w:pPr>
        <w:autoSpaceDE/>
        <w:autoSpaceDN/>
        <w:spacing w:after="120"/>
        <w:rPr>
          <w:rFonts w:ascii="Arial" w:hAnsi="Arial"/>
          <w:color w:val="000000"/>
          <w:sz w:val="24"/>
        </w:rPr>
      </w:pPr>
      <w:r w:rsidRPr="00300BD2">
        <w:rPr>
          <w:rFonts w:ascii="Arial" w:hAnsi="Arial"/>
          <w:color w:val="000000"/>
          <w:sz w:val="24"/>
          <w:szCs w:val="22"/>
        </w:rPr>
        <w:t xml:space="preserve">     c) 2 CFR </w:t>
      </w:r>
      <w:r w:rsidRPr="00300BD2">
        <w:rPr>
          <w:rFonts w:ascii="Arial" w:hAnsi="Arial"/>
          <w:color w:val="000000"/>
          <w:sz w:val="24"/>
        </w:rPr>
        <w:t xml:space="preserve">§200.405 - Allocable Costs. Provides general parameters for how allocable costs are defined. </w:t>
      </w:r>
    </w:p>
    <w:p w14:paraId="69F57B55" w14:textId="77777777" w:rsidR="00DC3DE8" w:rsidRPr="00300BD2" w:rsidRDefault="00DC3DE8" w:rsidP="00DC3DE8">
      <w:pPr>
        <w:autoSpaceDE/>
        <w:autoSpaceDN/>
        <w:spacing w:after="120"/>
        <w:rPr>
          <w:rFonts w:ascii="Arial" w:hAnsi="Arial"/>
          <w:color w:val="000000"/>
          <w:sz w:val="24"/>
          <w:szCs w:val="22"/>
        </w:rPr>
      </w:pPr>
      <w:r w:rsidRPr="00300BD2">
        <w:rPr>
          <w:rFonts w:ascii="Arial" w:hAnsi="Arial"/>
          <w:color w:val="000000"/>
          <w:sz w:val="24"/>
          <w:szCs w:val="22"/>
        </w:rPr>
        <w:t xml:space="preserve">     d) 2 CFR </w:t>
      </w:r>
      <w:r w:rsidRPr="00300BD2">
        <w:rPr>
          <w:rFonts w:ascii="Arial" w:hAnsi="Arial"/>
          <w:color w:val="000000"/>
          <w:sz w:val="24"/>
        </w:rPr>
        <w:t xml:space="preserve">§200.408 - Limitation of allowance on costs. Provides authority for limitation of allowable costs under a Federal award. </w:t>
      </w:r>
    </w:p>
    <w:p w14:paraId="09895289" w14:textId="77777777" w:rsidR="00DC3DE8" w:rsidRPr="00300BD2" w:rsidRDefault="00DC3DE8" w:rsidP="00DC3DE8">
      <w:pPr>
        <w:autoSpaceDE/>
        <w:autoSpaceDN/>
        <w:spacing w:after="120"/>
        <w:rPr>
          <w:rFonts w:ascii="Arial" w:hAnsi="Arial"/>
          <w:color w:val="000000"/>
          <w:sz w:val="24"/>
        </w:rPr>
      </w:pPr>
      <w:r w:rsidRPr="00300BD2">
        <w:rPr>
          <w:rFonts w:ascii="Arial" w:hAnsi="Arial"/>
          <w:color w:val="000000"/>
          <w:sz w:val="24"/>
        </w:rPr>
        <w:t xml:space="preserve">     e) </w:t>
      </w:r>
      <w:r w:rsidRPr="00300BD2">
        <w:rPr>
          <w:rFonts w:ascii="Arial" w:hAnsi="Arial"/>
          <w:color w:val="000000"/>
          <w:sz w:val="24"/>
          <w:szCs w:val="22"/>
        </w:rPr>
        <w:t xml:space="preserve">2 CFR </w:t>
      </w:r>
      <w:r w:rsidRPr="00300BD2">
        <w:rPr>
          <w:rFonts w:ascii="Arial" w:hAnsi="Arial"/>
          <w:color w:val="000000"/>
          <w:sz w:val="24"/>
        </w:rPr>
        <w:t xml:space="preserve">§200.412 - Classification of costs. Stresses the need to charge direct costs and indirect costs in a consistent manner to prevent double-charging Federal awards. </w:t>
      </w:r>
    </w:p>
    <w:p w14:paraId="742FFF66" w14:textId="77777777" w:rsidR="00DC3DE8" w:rsidRPr="00300BD2" w:rsidRDefault="00DC3DE8" w:rsidP="00DC3DE8">
      <w:pPr>
        <w:autoSpaceDE/>
        <w:autoSpaceDN/>
        <w:spacing w:after="160" w:line="256" w:lineRule="auto"/>
        <w:rPr>
          <w:rFonts w:ascii="Arial" w:hAnsi="Arial"/>
          <w:color w:val="000000"/>
          <w:sz w:val="24"/>
        </w:rPr>
      </w:pPr>
      <w:r w:rsidRPr="00300BD2">
        <w:rPr>
          <w:rFonts w:ascii="Arial" w:hAnsi="Arial"/>
          <w:color w:val="000000"/>
          <w:sz w:val="24"/>
        </w:rPr>
        <w:t xml:space="preserve">     f) </w:t>
      </w:r>
      <w:r w:rsidRPr="00300BD2">
        <w:rPr>
          <w:rFonts w:ascii="Arial" w:hAnsi="Arial"/>
          <w:color w:val="000000"/>
          <w:sz w:val="24"/>
          <w:szCs w:val="22"/>
        </w:rPr>
        <w:t xml:space="preserve">2 CFR </w:t>
      </w:r>
      <w:r w:rsidRPr="00300BD2">
        <w:rPr>
          <w:rFonts w:ascii="Arial" w:hAnsi="Arial"/>
          <w:color w:val="000000"/>
          <w:sz w:val="24"/>
        </w:rPr>
        <w:t xml:space="preserve">§200.413 - Direct costs. Defines direct costs as those that can be identified directly assigned to specific activities. Also provides examples of indirect costs. </w:t>
      </w:r>
    </w:p>
    <w:p w14:paraId="7065DDA5" w14:textId="77777777" w:rsidR="00DC3DE8" w:rsidRPr="00300BD2" w:rsidRDefault="00DC3DE8" w:rsidP="00DC3DE8">
      <w:pPr>
        <w:autoSpaceDE/>
        <w:autoSpaceDN/>
        <w:spacing w:after="160" w:line="256" w:lineRule="auto"/>
        <w:rPr>
          <w:rFonts w:ascii="Arial" w:hAnsi="Arial"/>
          <w:color w:val="000000"/>
          <w:sz w:val="24"/>
        </w:rPr>
      </w:pPr>
      <w:r w:rsidRPr="00300BD2">
        <w:rPr>
          <w:rFonts w:ascii="Arial" w:hAnsi="Arial"/>
          <w:color w:val="000000"/>
          <w:sz w:val="24"/>
        </w:rPr>
        <w:t xml:space="preserve">     g) </w:t>
      </w:r>
      <w:r w:rsidRPr="00300BD2">
        <w:rPr>
          <w:rFonts w:ascii="Arial" w:hAnsi="Arial"/>
          <w:color w:val="000000"/>
          <w:sz w:val="24"/>
          <w:szCs w:val="22"/>
        </w:rPr>
        <w:t xml:space="preserve">2 CFR </w:t>
      </w:r>
      <w:r w:rsidRPr="00300BD2">
        <w:rPr>
          <w:rFonts w:ascii="Arial" w:hAnsi="Arial"/>
          <w:color w:val="000000"/>
          <w:sz w:val="24"/>
        </w:rPr>
        <w:t xml:space="preserve">§200.414 - Indirect costs. Defines indirect costs (See 6(a) below for details) and discusses establishment of negotiated indirect costs rates. </w:t>
      </w:r>
    </w:p>
    <w:p w14:paraId="0EF4EADF" w14:textId="77777777" w:rsidR="00DC3DE8" w:rsidRPr="00300BD2" w:rsidRDefault="00DC3DE8" w:rsidP="00DC3DE8">
      <w:pPr>
        <w:autoSpaceDE/>
        <w:autoSpaceDN/>
        <w:spacing w:after="160" w:line="256" w:lineRule="auto"/>
        <w:rPr>
          <w:rFonts w:ascii="Arial" w:hAnsi="Arial"/>
          <w:color w:val="000000"/>
          <w:sz w:val="24"/>
        </w:rPr>
      </w:pPr>
      <w:r w:rsidRPr="00300BD2">
        <w:rPr>
          <w:rFonts w:ascii="Arial" w:hAnsi="Arial"/>
          <w:color w:val="000000"/>
          <w:sz w:val="24"/>
        </w:rPr>
        <w:t xml:space="preserve">     h) </w:t>
      </w:r>
      <w:r w:rsidRPr="00300BD2">
        <w:rPr>
          <w:rFonts w:ascii="Arial" w:hAnsi="Arial"/>
          <w:color w:val="000000"/>
          <w:sz w:val="24"/>
          <w:szCs w:val="22"/>
        </w:rPr>
        <w:t xml:space="preserve">2 CFR </w:t>
      </w:r>
      <w:r w:rsidRPr="00300BD2">
        <w:rPr>
          <w:rFonts w:ascii="Arial" w:hAnsi="Arial"/>
          <w:color w:val="000000"/>
          <w:sz w:val="24"/>
        </w:rPr>
        <w:t xml:space="preserve">§200.420 - 2 </w:t>
      </w:r>
      <w:r w:rsidRPr="00300BD2">
        <w:rPr>
          <w:rFonts w:ascii="Arial" w:hAnsi="Arial"/>
          <w:color w:val="000000"/>
          <w:sz w:val="24"/>
          <w:szCs w:val="22"/>
        </w:rPr>
        <w:t xml:space="preserve">CFR </w:t>
      </w:r>
      <w:r w:rsidRPr="00300BD2">
        <w:rPr>
          <w:rFonts w:ascii="Arial" w:hAnsi="Arial"/>
          <w:color w:val="000000"/>
          <w:sz w:val="24"/>
        </w:rPr>
        <w:t>§200.475 - General provisions for selected items of cost. Largely comprises the citations in Column 5.</w:t>
      </w:r>
    </w:p>
    <w:p w14:paraId="64E31E16" w14:textId="77777777" w:rsidR="00DC3DE8" w:rsidRPr="00300BD2" w:rsidRDefault="00DC3DE8" w:rsidP="00DC3DE8">
      <w:pPr>
        <w:autoSpaceDE/>
        <w:autoSpaceDN/>
        <w:spacing w:line="256" w:lineRule="auto"/>
        <w:rPr>
          <w:rFonts w:ascii="Arial" w:hAnsi="Arial"/>
          <w:color w:val="000000"/>
          <w:sz w:val="24"/>
        </w:rPr>
      </w:pPr>
    </w:p>
    <w:p w14:paraId="78063138" w14:textId="77777777" w:rsidR="00DC3DE8" w:rsidRPr="00300BD2" w:rsidRDefault="00DC3DE8" w:rsidP="00DC3DE8">
      <w:pPr>
        <w:autoSpaceDE/>
        <w:autoSpaceDN/>
        <w:spacing w:after="160" w:line="256" w:lineRule="auto"/>
        <w:rPr>
          <w:rFonts w:ascii="Arial" w:hAnsi="Arial"/>
          <w:color w:val="000000"/>
          <w:sz w:val="24"/>
        </w:rPr>
      </w:pPr>
      <w:r w:rsidRPr="00300BD2">
        <w:rPr>
          <w:rFonts w:ascii="Arial" w:hAnsi="Arial"/>
          <w:color w:val="000000"/>
          <w:sz w:val="24"/>
        </w:rPr>
        <w:t>6.  Select Items of Cost:</w:t>
      </w:r>
    </w:p>
    <w:p w14:paraId="209B1B85" w14:textId="77777777" w:rsidR="00DC3DE8" w:rsidRPr="00300BD2" w:rsidRDefault="00DC3DE8" w:rsidP="00DC3DE8">
      <w:pPr>
        <w:autoSpaceDE/>
        <w:autoSpaceDN/>
        <w:rPr>
          <w:rFonts w:ascii="Arial" w:hAnsi="Arial"/>
          <w:color w:val="000000"/>
          <w:sz w:val="24"/>
        </w:rPr>
      </w:pPr>
      <w:r w:rsidRPr="00300BD2">
        <w:rPr>
          <w:rFonts w:ascii="Arial" w:hAnsi="Arial"/>
          <w:color w:val="000000"/>
          <w:sz w:val="24"/>
        </w:rPr>
        <w:t xml:space="preserve">     a) Indirect Costs and Rates (see 2 CFR §200.414 Indirect (F&amp;A) costs): Indirect costs are those incurred for a common or joint purpose benefitting more than one cost objective, and not readily assignable to the cost objectives specifically benefitted, without effort disproportionate to the results achieved. Indirect rates for each CA must be established with the Grants Officer. For organizations with an indirect rate established with a cognizant Federal agency other than the US Army, that rate must be agreed to by the US Army. Alternatively, an indirect rate may be established in accordance with 2 CFR </w:t>
      </w:r>
      <w:r w:rsidRPr="00300BD2">
        <w:rPr>
          <w:rFonts w:ascii="Arial" w:hAnsi="Arial" w:cs="Arial"/>
          <w:color w:val="000000"/>
          <w:sz w:val="24"/>
        </w:rPr>
        <w:t>§</w:t>
      </w:r>
      <w:r w:rsidRPr="00300BD2">
        <w:rPr>
          <w:rFonts w:ascii="Arial" w:hAnsi="Arial"/>
          <w:color w:val="000000"/>
          <w:sz w:val="24"/>
        </w:rPr>
        <w:t xml:space="preserve">200.414(f) which states: </w:t>
      </w:r>
    </w:p>
    <w:p w14:paraId="797B7FA0" w14:textId="77777777" w:rsidR="00DC3DE8" w:rsidRPr="00300BD2" w:rsidRDefault="00DC3DE8" w:rsidP="00DC3DE8">
      <w:pPr>
        <w:autoSpaceDE/>
        <w:autoSpaceDN/>
        <w:ind w:left="360" w:right="720"/>
        <w:rPr>
          <w:rFonts w:ascii="Arial" w:hAnsi="Arial"/>
          <w:i/>
          <w:color w:val="000000"/>
          <w:sz w:val="24"/>
        </w:rPr>
      </w:pPr>
    </w:p>
    <w:p w14:paraId="11DC13D1" w14:textId="77777777" w:rsidR="00DC3DE8" w:rsidRPr="00300BD2" w:rsidRDefault="00DC3DE8" w:rsidP="00DC3DE8">
      <w:pPr>
        <w:autoSpaceDE/>
        <w:autoSpaceDN/>
        <w:ind w:left="360" w:right="720"/>
        <w:rPr>
          <w:rFonts w:ascii="Arial" w:hAnsi="Arial"/>
          <w:i/>
          <w:color w:val="000000"/>
          <w:sz w:val="24"/>
        </w:rPr>
      </w:pPr>
      <w:r w:rsidRPr="00300BD2">
        <w:rPr>
          <w:rFonts w:ascii="Arial" w:hAnsi="Arial"/>
          <w:i/>
          <w:color w:val="000000"/>
          <w:sz w:val="24"/>
        </w:rPr>
        <w:t>“In addition to the procedures outlined in the appendices in paragraph (e) of this section, any non-Federal entity that has never received a negotiated indirect cost rate, except for those non-Federal entities described in Appendix VII to Part 200—States and Local Government and Indian Tribe Indirect Cost Proposals, paragraph D.1.b, may elect to charge a de minimis rate of 10% of modified total direct costs (MTDC) which may be used indefinitely. As described in §200.403 Factors affecting allowability of costs, costs must be consistently charged as either indirect or direct costs, but may not be double charged or inconsistently charged as both.</w:t>
      </w:r>
      <w:r w:rsidRPr="00300BD2">
        <w:rPr>
          <w:rFonts w:ascii="Arial" w:hAnsi="Arial"/>
          <w:sz w:val="24"/>
          <w:szCs w:val="22"/>
        </w:rPr>
        <w:t xml:space="preserve"> </w:t>
      </w:r>
      <w:r w:rsidRPr="00300BD2">
        <w:rPr>
          <w:rFonts w:ascii="Arial" w:hAnsi="Arial"/>
          <w:i/>
          <w:color w:val="000000"/>
          <w:sz w:val="24"/>
        </w:rPr>
        <w:t>If chosen, this methodology once elected must be used consistently for all Federal awards until such time as a non-Federal entity chooses to negotiate for a rate, which the non-Federal entity may apply to do at any time.”</w:t>
      </w:r>
    </w:p>
    <w:p w14:paraId="42F0E19D" w14:textId="77777777" w:rsidR="00DC3DE8" w:rsidRPr="00300BD2" w:rsidRDefault="00DC3DE8" w:rsidP="00DC3DE8">
      <w:pPr>
        <w:autoSpaceDE/>
        <w:autoSpaceDN/>
        <w:ind w:left="360" w:right="720"/>
        <w:rPr>
          <w:rFonts w:ascii="Arial" w:hAnsi="Arial"/>
          <w:i/>
          <w:color w:val="000000"/>
          <w:sz w:val="24"/>
        </w:rPr>
      </w:pPr>
    </w:p>
    <w:p w14:paraId="2E0C0FB7" w14:textId="77777777" w:rsidR="00DC3DE8" w:rsidRPr="00300BD2" w:rsidRDefault="00DC3DE8" w:rsidP="00DC3DE8">
      <w:pPr>
        <w:autoSpaceDE/>
        <w:autoSpaceDN/>
        <w:rPr>
          <w:rFonts w:ascii="Arial" w:hAnsi="Arial"/>
          <w:color w:val="000000"/>
          <w:sz w:val="24"/>
        </w:rPr>
      </w:pPr>
      <w:r w:rsidRPr="00300BD2">
        <w:rPr>
          <w:rFonts w:ascii="Arial" w:hAnsi="Arial"/>
          <w:color w:val="000000"/>
          <w:sz w:val="24"/>
        </w:rPr>
        <w:t>Regardless of method used for establishing the indirect rate, the CA must identify the indirect rate. IAW 2 CFR §200.414, indirect costs are classified within two broad categories; “Facilities” and “Administrative”. Indirect costs within the “Facilities” category may include depreciation on buildings, equipment and capital improvement, utilities, and operations and maintenance expenses. Indirect costs within the “Administrative” category may include general administration and general expenses such as the director's office, accounting, personnel and all other types of expenditures not listed specifically under one of the subcategories of “Facilities”. A cost may not be allocated to a Federal award as an indirect cost if any other cost incurred for the same purpose, in like circumstances, has been assigned to a Federal award as a direct cost.</w:t>
      </w:r>
    </w:p>
    <w:p w14:paraId="1FC3A47E" w14:textId="77777777" w:rsidR="00DC3DE8" w:rsidRPr="00300BD2" w:rsidRDefault="00DC3DE8" w:rsidP="00DC3DE8">
      <w:pPr>
        <w:autoSpaceDE/>
        <w:autoSpaceDN/>
        <w:rPr>
          <w:rFonts w:ascii="Arial" w:hAnsi="Arial"/>
          <w:color w:val="000000"/>
          <w:sz w:val="24"/>
        </w:rPr>
      </w:pPr>
    </w:p>
    <w:p w14:paraId="2F8A346A" w14:textId="77777777" w:rsidR="00DC3DE8" w:rsidRPr="00300BD2" w:rsidRDefault="00DC3DE8" w:rsidP="00DC3DE8">
      <w:pPr>
        <w:autoSpaceDE/>
        <w:autoSpaceDN/>
        <w:rPr>
          <w:rFonts w:ascii="Arial" w:hAnsi="Arial"/>
          <w:color w:val="000000"/>
          <w:sz w:val="24"/>
        </w:rPr>
      </w:pPr>
      <w:r w:rsidRPr="00300BD2">
        <w:rPr>
          <w:rFonts w:ascii="Arial" w:hAnsi="Arial"/>
          <w:color w:val="000000"/>
          <w:sz w:val="24"/>
        </w:rPr>
        <w:t xml:space="preserve">     b) Habitat Management Costs: Habitat management costs will only be authorized with prior approval from HQ IMCOM. Approval will require documented assurance of regulatory relief from the appropriate regulatory agency (e.g., USFWS, US Army Corps of Engineers, etc.) prior to incurring those costs. This may include direct credits for federally listed species, wetlands, or other natural resource, or future consideration in the form of a Memorandum of Understanding or similar document. If approved, natural resource management will be funded through an endowment, which will require additional approval from the Office of Assistant Chief of Staff for Installation Management (OACSIM).</w:t>
      </w:r>
    </w:p>
    <w:p w14:paraId="64099AA7" w14:textId="77777777" w:rsidR="00DC3DE8" w:rsidRPr="00300BD2" w:rsidRDefault="00DC3DE8" w:rsidP="00DC3DE8">
      <w:pPr>
        <w:autoSpaceDE/>
        <w:autoSpaceDN/>
        <w:rPr>
          <w:rFonts w:ascii="Arial" w:hAnsi="Arial"/>
          <w:color w:val="000000"/>
          <w:sz w:val="24"/>
        </w:rPr>
      </w:pPr>
    </w:p>
    <w:p w14:paraId="5F7ED1D5" w14:textId="77777777" w:rsidR="00DC3DE8" w:rsidRPr="00300BD2" w:rsidRDefault="00DC3DE8" w:rsidP="00DC3DE8">
      <w:pPr>
        <w:autoSpaceDE/>
        <w:autoSpaceDN/>
        <w:rPr>
          <w:rFonts w:ascii="Arial" w:hAnsi="Arial"/>
          <w:color w:val="000000"/>
          <w:sz w:val="24"/>
        </w:rPr>
      </w:pPr>
      <w:r w:rsidRPr="00300BD2">
        <w:rPr>
          <w:rFonts w:ascii="Arial" w:hAnsi="Arial"/>
          <w:color w:val="000000"/>
          <w:sz w:val="24"/>
        </w:rPr>
        <w:t xml:space="preserve">     c) Monitoring and Enforcement Costs: Monitoring real property interests in perpetuity for compliance with deed restrictions is the responsibility of the partner. Military funding for monitoring may not exceed 5% of the property interest fair market value (FMV) or $20,000, whichever is less. Costs over this limit will require approval from the installation and HQ IMCOM. Military funding for enforcement of the terms and conditions of an easement is limited to $5,000. Monitoring and enforcement costs are authorized only as a one-time upfront cost to eliminate long-term recurring costs associated with ACUB properties.</w:t>
      </w:r>
    </w:p>
    <w:p w14:paraId="1F44B811" w14:textId="77777777" w:rsidR="00DC3DE8" w:rsidRPr="00300BD2" w:rsidRDefault="00DC3DE8" w:rsidP="00DC3DE8">
      <w:pPr>
        <w:autoSpaceDE/>
        <w:autoSpaceDN/>
        <w:rPr>
          <w:rFonts w:ascii="Arial" w:hAnsi="Arial"/>
          <w:color w:val="000000"/>
          <w:sz w:val="24"/>
        </w:rPr>
      </w:pPr>
    </w:p>
    <w:p w14:paraId="2A5615EE" w14:textId="77777777" w:rsidR="00DC3DE8" w:rsidRPr="00300BD2" w:rsidRDefault="00DC3DE8" w:rsidP="00DC3DE8">
      <w:pPr>
        <w:autoSpaceDE/>
        <w:autoSpaceDN/>
        <w:rPr>
          <w:rFonts w:ascii="Arial" w:hAnsi="Arial"/>
          <w:color w:val="000000"/>
          <w:sz w:val="24"/>
        </w:rPr>
      </w:pPr>
      <w:r w:rsidRPr="00300BD2">
        <w:rPr>
          <w:rFonts w:ascii="Arial" w:hAnsi="Arial"/>
          <w:color w:val="000000"/>
          <w:sz w:val="24"/>
        </w:rPr>
        <w:t xml:space="preserve">     d) Travel Costs: Before incurring costs for travel that requires overnight stays or airline or rail travel, partners must first submit a travel request to the installation TCAM and receive written pre-approval. The TCAM will review estimated travel costs to ensure they don’t exceed current GSA per diem rates. Actual travel expenses may not exceed 10% higher than the pre-approved estimated cost.</w:t>
      </w:r>
    </w:p>
    <w:p w14:paraId="43941650" w14:textId="77777777" w:rsidR="00DC3DE8" w:rsidRPr="00300BD2" w:rsidRDefault="00DC3DE8" w:rsidP="00DC3DE8">
      <w:pPr>
        <w:autoSpaceDE/>
        <w:autoSpaceDN/>
        <w:spacing w:after="120"/>
        <w:rPr>
          <w:rFonts w:ascii="Arial" w:hAnsi="Arial"/>
          <w:color w:val="000000"/>
          <w:sz w:val="24"/>
        </w:rPr>
      </w:pPr>
    </w:p>
    <w:p w14:paraId="2328E683" w14:textId="77777777" w:rsidR="00DC3DE8" w:rsidRPr="00300BD2" w:rsidRDefault="00DC3DE8" w:rsidP="00DC3DE8">
      <w:pPr>
        <w:autoSpaceDE/>
        <w:autoSpaceDN/>
        <w:spacing w:after="160" w:line="256" w:lineRule="auto"/>
        <w:rPr>
          <w:rFonts w:ascii="Arial" w:hAnsi="Arial"/>
          <w:i/>
          <w:iCs/>
          <w:color w:val="000000"/>
          <w:sz w:val="22"/>
          <w:szCs w:val="18"/>
        </w:rPr>
      </w:pPr>
      <w:r w:rsidRPr="00300BD2">
        <w:rPr>
          <w:rFonts w:ascii="Arial" w:hAnsi="Arial"/>
          <w:color w:val="000000"/>
          <w:sz w:val="24"/>
          <w:szCs w:val="22"/>
        </w:rPr>
        <w:br w:type="page"/>
      </w:r>
      <w:bookmarkStart w:id="1" w:name="_Ref474484771"/>
    </w:p>
    <w:p w14:paraId="731FF532" w14:textId="77777777" w:rsidR="00DC3DE8" w:rsidRPr="00300BD2" w:rsidRDefault="00DC3DE8" w:rsidP="00DC3DE8">
      <w:pPr>
        <w:keepNext/>
        <w:autoSpaceDE/>
        <w:autoSpaceDN/>
        <w:spacing w:after="200"/>
        <w:rPr>
          <w:rFonts w:ascii="Arial" w:hAnsi="Arial"/>
          <w:i/>
          <w:iCs/>
          <w:color w:val="000000"/>
          <w:sz w:val="22"/>
          <w:szCs w:val="18"/>
        </w:rPr>
      </w:pPr>
      <w:r w:rsidRPr="00300BD2">
        <w:rPr>
          <w:rFonts w:ascii="Arial" w:hAnsi="Arial"/>
          <w:i/>
          <w:iCs/>
          <w:color w:val="000000"/>
          <w:sz w:val="22"/>
          <w:szCs w:val="18"/>
        </w:rPr>
        <w:t xml:space="preserve">Table </w:t>
      </w:r>
      <w:r w:rsidRPr="00300BD2">
        <w:rPr>
          <w:rFonts w:ascii="Arial" w:hAnsi="Arial"/>
          <w:i/>
          <w:iCs/>
          <w:sz w:val="22"/>
          <w:szCs w:val="18"/>
        </w:rPr>
        <w:fldChar w:fldCharType="begin"/>
      </w:r>
      <w:r w:rsidRPr="00300BD2">
        <w:rPr>
          <w:rFonts w:ascii="Arial" w:hAnsi="Arial"/>
          <w:i/>
          <w:iCs/>
          <w:noProof/>
          <w:color w:val="000000"/>
          <w:sz w:val="22"/>
          <w:szCs w:val="18"/>
        </w:rPr>
        <w:instrText xml:space="preserve"> SEQ Table \* ARABIC </w:instrText>
      </w:r>
      <w:r w:rsidRPr="00300BD2">
        <w:rPr>
          <w:rFonts w:ascii="Arial" w:hAnsi="Arial"/>
          <w:i/>
          <w:iCs/>
          <w:sz w:val="22"/>
          <w:szCs w:val="18"/>
        </w:rPr>
        <w:fldChar w:fldCharType="separate"/>
      </w:r>
      <w:r w:rsidRPr="00300BD2">
        <w:rPr>
          <w:rFonts w:ascii="Arial" w:hAnsi="Arial"/>
          <w:i/>
          <w:iCs/>
          <w:noProof/>
          <w:color w:val="000000"/>
          <w:sz w:val="22"/>
          <w:szCs w:val="18"/>
        </w:rPr>
        <w:t>2</w:t>
      </w:r>
      <w:r w:rsidRPr="00300BD2">
        <w:rPr>
          <w:rFonts w:ascii="Arial" w:hAnsi="Arial"/>
          <w:i/>
          <w:iCs/>
          <w:sz w:val="22"/>
          <w:szCs w:val="18"/>
        </w:rPr>
        <w:fldChar w:fldCharType="end"/>
      </w:r>
      <w:bookmarkEnd w:id="1"/>
      <w:r w:rsidRPr="00300BD2">
        <w:rPr>
          <w:rFonts w:ascii="Arial" w:hAnsi="Arial"/>
          <w:i/>
          <w:iCs/>
          <w:color w:val="000000"/>
          <w:sz w:val="22"/>
          <w:szCs w:val="18"/>
        </w:rPr>
        <w:t>: ACUB Direct Costs</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10"/>
        <w:gridCol w:w="1485"/>
        <w:gridCol w:w="1350"/>
        <w:gridCol w:w="1380"/>
        <w:gridCol w:w="2295"/>
      </w:tblGrid>
      <w:tr w:rsidR="00DC3DE8" w:rsidRPr="00300BD2" w14:paraId="7F0B00EA" w14:textId="77777777" w:rsidTr="00946888">
        <w:trPr>
          <w:trHeight w:val="402"/>
          <w:tblHeader/>
          <w:jc w:val="center"/>
        </w:trPr>
        <w:tc>
          <w:tcPr>
            <w:tcW w:w="3510"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2C0E758D" w14:textId="77777777" w:rsidR="00DC3DE8" w:rsidRPr="00300BD2" w:rsidRDefault="00DC3DE8" w:rsidP="00946888">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1. Cost</w:t>
            </w:r>
          </w:p>
        </w:tc>
        <w:tc>
          <w:tcPr>
            <w:tcW w:w="1485"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41C07BC3" w14:textId="77777777" w:rsidR="00DC3DE8" w:rsidRPr="00300BD2" w:rsidRDefault="00DC3DE8" w:rsidP="00946888">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2. Allowable /Unallowable</w:t>
            </w:r>
          </w:p>
          <w:p w14:paraId="1058C401" w14:textId="77777777" w:rsidR="00DC3DE8" w:rsidRPr="00300BD2" w:rsidRDefault="00DC3DE8" w:rsidP="00946888">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Per Reg.</w:t>
            </w:r>
          </w:p>
          <w:p w14:paraId="38641DE0" w14:textId="77777777" w:rsidR="00DC3DE8" w:rsidRPr="00300BD2" w:rsidRDefault="00DC3DE8" w:rsidP="00946888">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(A/U)</w:t>
            </w:r>
          </w:p>
        </w:tc>
        <w:tc>
          <w:tcPr>
            <w:tcW w:w="1350"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73DAE719" w14:textId="77777777" w:rsidR="00DC3DE8" w:rsidRPr="00300BD2" w:rsidRDefault="00DC3DE8" w:rsidP="00946888">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3.  Authorized Cost</w:t>
            </w:r>
          </w:p>
          <w:p w14:paraId="2FE0AA49" w14:textId="77777777" w:rsidR="00DC3DE8" w:rsidRPr="00300BD2" w:rsidRDefault="00DC3DE8" w:rsidP="00946888">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(Y/N/C</w:t>
            </w:r>
            <w:r w:rsidRPr="00300BD2">
              <w:rPr>
                <w:rFonts w:ascii="Arial" w:eastAsia="Times New Roman" w:hAnsi="Arial"/>
                <w:color w:val="000000"/>
                <w:szCs w:val="20"/>
                <w:vertAlign w:val="superscript"/>
              </w:rPr>
              <w:footnoteReference w:id="2"/>
            </w:r>
            <w:r w:rsidRPr="00300BD2">
              <w:rPr>
                <w:rFonts w:ascii="Arial" w:eastAsia="Times New Roman" w:hAnsi="Arial"/>
                <w:b/>
                <w:bCs/>
                <w:color w:val="000000"/>
                <w:szCs w:val="20"/>
              </w:rPr>
              <w:t>)</w:t>
            </w:r>
          </w:p>
        </w:tc>
        <w:tc>
          <w:tcPr>
            <w:tcW w:w="1380"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58F18444" w14:textId="77777777" w:rsidR="00DC3DE8" w:rsidRPr="00300BD2" w:rsidRDefault="00DC3DE8" w:rsidP="00946888">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4. Authorized Partner Match (Y/N/C)</w:t>
            </w:r>
          </w:p>
        </w:tc>
        <w:tc>
          <w:tcPr>
            <w:tcW w:w="2295" w:type="dxa"/>
            <w:tcBorders>
              <w:top w:val="single" w:sz="12" w:space="0" w:color="auto"/>
              <w:left w:val="single" w:sz="12" w:space="0" w:color="auto"/>
              <w:bottom w:val="single" w:sz="12" w:space="0" w:color="auto"/>
              <w:right w:val="single" w:sz="12" w:space="0" w:color="auto"/>
            </w:tcBorders>
            <w:shd w:val="clear" w:color="auto" w:fill="C5E0B3"/>
            <w:vAlign w:val="center"/>
            <w:hideMark/>
          </w:tcPr>
          <w:p w14:paraId="446C0510" w14:textId="77777777" w:rsidR="00DC3DE8" w:rsidRPr="00300BD2" w:rsidRDefault="00DC3DE8" w:rsidP="00946888">
            <w:pPr>
              <w:autoSpaceDE/>
              <w:autoSpaceDN/>
              <w:spacing w:line="256" w:lineRule="auto"/>
              <w:jc w:val="center"/>
              <w:rPr>
                <w:rFonts w:ascii="Arial" w:eastAsia="Times New Roman" w:hAnsi="Arial"/>
                <w:b/>
                <w:bCs/>
                <w:color w:val="000000"/>
                <w:szCs w:val="20"/>
              </w:rPr>
            </w:pPr>
            <w:r w:rsidRPr="00300BD2">
              <w:rPr>
                <w:rFonts w:ascii="Arial" w:eastAsia="Times New Roman" w:hAnsi="Arial"/>
                <w:b/>
                <w:bCs/>
                <w:color w:val="000000"/>
                <w:szCs w:val="20"/>
              </w:rPr>
              <w:t>5. Citation</w:t>
            </w:r>
            <w:r w:rsidRPr="00300BD2">
              <w:rPr>
                <w:rFonts w:ascii="Arial" w:eastAsia="Times New Roman" w:hAnsi="Arial"/>
                <w:color w:val="000000"/>
                <w:szCs w:val="20"/>
                <w:vertAlign w:val="superscript"/>
              </w:rPr>
              <w:footnoteReference w:id="3"/>
            </w:r>
          </w:p>
        </w:tc>
      </w:tr>
      <w:tr w:rsidR="00DC3DE8" w:rsidRPr="00300BD2" w14:paraId="31B98C0D" w14:textId="77777777" w:rsidTr="00946888">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42F037F" w14:textId="77777777" w:rsidR="00DC3DE8" w:rsidRPr="00300BD2" w:rsidRDefault="00DC3DE8" w:rsidP="00946888">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Pre-Acquisition Costs</w:t>
            </w:r>
          </w:p>
        </w:tc>
        <w:tc>
          <w:tcPr>
            <w:tcW w:w="1485" w:type="dxa"/>
            <w:tcBorders>
              <w:top w:val="single" w:sz="12" w:space="0" w:color="auto"/>
              <w:left w:val="single" w:sz="12" w:space="0" w:color="auto"/>
              <w:bottom w:val="single" w:sz="12" w:space="0" w:color="auto"/>
              <w:right w:val="single" w:sz="12" w:space="0" w:color="auto"/>
            </w:tcBorders>
            <w:vAlign w:val="center"/>
          </w:tcPr>
          <w:p w14:paraId="7AA60DF4"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4F723C48"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6C7F6CB2"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6F79E0FF" w14:textId="77777777" w:rsidR="00DC3DE8" w:rsidRPr="00300BD2" w:rsidRDefault="00DC3DE8" w:rsidP="00946888">
            <w:pPr>
              <w:autoSpaceDE/>
              <w:autoSpaceDN/>
              <w:spacing w:line="256" w:lineRule="auto"/>
              <w:rPr>
                <w:rFonts w:ascii="Arial" w:eastAsia="Times New Roman" w:hAnsi="Arial"/>
                <w:b/>
                <w:bCs/>
                <w:color w:val="000000"/>
                <w:szCs w:val="20"/>
              </w:rPr>
            </w:pPr>
          </w:p>
        </w:tc>
      </w:tr>
      <w:tr w:rsidR="00DC3DE8" w:rsidRPr="00300BD2" w14:paraId="0FEE9FE9"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63E9A7A"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Appraisal</w:t>
            </w:r>
            <w:r w:rsidRPr="00300BD2">
              <w:rPr>
                <w:rFonts w:ascii="Arial" w:eastAsia="Times New Roman" w:hAnsi="Arial"/>
                <w:color w:val="000000"/>
                <w:szCs w:val="20"/>
                <w:vertAlign w:val="superscript"/>
              </w:rPr>
              <w:footnoteReference w:id="4"/>
            </w:r>
            <w:r w:rsidRPr="00300BD2">
              <w:rPr>
                <w:rFonts w:ascii="Arial" w:eastAsia="Times New Roman" w:hAnsi="Arial"/>
                <w:color w:val="000000"/>
                <w:szCs w:val="20"/>
              </w:rPr>
              <w:t xml:space="preserve">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AB9064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733727E"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BBC204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B2FB2E4"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 xml:space="preserve">200.459 </w:t>
            </w:r>
          </w:p>
        </w:tc>
      </w:tr>
      <w:tr w:rsidR="00DC3DE8" w:rsidRPr="00300BD2" w14:paraId="73EC2884"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0796145"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Appraisal Review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B9573A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0F83850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391F99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221C0BE"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2F1333D6"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5DB3495"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Boundary Survey</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57D0FE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9D6AC6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BA02BA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AB78FC4"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7EA05561"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EB86639"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Phase 1 Environmental Assessment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336452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40744E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5EB2F0F"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A78FD76"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78495867"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7F86F4F"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Baseline Condition Survey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0D31A51"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DA56F7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EB2F4F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26D5B03"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3AB2C661"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0D17136"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Geological Survey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DF0FFF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1981D9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5"/>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3B3FDB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B189FAF"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3285C7BF"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7714DDA"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Title, Abstract Search, Examination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0C4A37F"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2C1305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868D82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1938C90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795B2B12"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14CC3ED"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Title Commitment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905374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825C8DA"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C971FE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5CB07A92"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455E6FD5"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990514B"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Attorney Fees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08B788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19C659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7F1CCF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251C0C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4ED5D190"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2F525DB"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Courier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1BA167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AFD30F1"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E4B799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084B9BA"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200.473</w:t>
            </w:r>
          </w:p>
        </w:tc>
      </w:tr>
      <w:tr w:rsidR="00DC3DE8" w:rsidRPr="00300BD2" w14:paraId="1ECA64DA"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BD5559A" w14:textId="77777777" w:rsidR="00DC3DE8" w:rsidRPr="00300BD2" w:rsidRDefault="00DC3DE8" w:rsidP="00946888">
            <w:pPr>
              <w:numPr>
                <w:ilvl w:val="0"/>
                <w:numId w:val="14"/>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Wiring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242026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9634D9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1A44C5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7122962"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200.473</w:t>
            </w:r>
          </w:p>
        </w:tc>
      </w:tr>
      <w:tr w:rsidR="00DC3DE8" w:rsidRPr="00300BD2" w14:paraId="09A88D84" w14:textId="77777777" w:rsidTr="00946888">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58BC746" w14:textId="77777777" w:rsidR="00DC3DE8" w:rsidRPr="00300BD2" w:rsidRDefault="00DC3DE8" w:rsidP="00946888">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Acquisition Costs</w:t>
            </w:r>
          </w:p>
        </w:tc>
        <w:tc>
          <w:tcPr>
            <w:tcW w:w="1485" w:type="dxa"/>
            <w:tcBorders>
              <w:top w:val="single" w:sz="12" w:space="0" w:color="auto"/>
              <w:left w:val="single" w:sz="12" w:space="0" w:color="auto"/>
              <w:bottom w:val="single" w:sz="12" w:space="0" w:color="auto"/>
              <w:right w:val="single" w:sz="12" w:space="0" w:color="auto"/>
            </w:tcBorders>
            <w:vAlign w:val="center"/>
          </w:tcPr>
          <w:p w14:paraId="6E68BE97"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436491DA"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043C40B9"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168BBB99" w14:textId="77777777" w:rsidR="00DC3DE8" w:rsidRPr="00300BD2" w:rsidRDefault="00DC3DE8" w:rsidP="00946888">
            <w:pPr>
              <w:autoSpaceDE/>
              <w:autoSpaceDN/>
              <w:spacing w:line="256" w:lineRule="auto"/>
              <w:rPr>
                <w:rFonts w:ascii="Arial" w:eastAsia="Times New Roman" w:hAnsi="Arial"/>
                <w:b/>
                <w:bCs/>
                <w:color w:val="000000"/>
                <w:szCs w:val="20"/>
              </w:rPr>
            </w:pPr>
          </w:p>
        </w:tc>
      </w:tr>
      <w:tr w:rsidR="00DC3DE8" w:rsidRPr="00300BD2" w14:paraId="263C48A9"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249A585" w14:textId="77777777" w:rsidR="00DC3DE8" w:rsidRPr="00300BD2" w:rsidRDefault="00DC3DE8" w:rsidP="00946888">
            <w:pPr>
              <w:numPr>
                <w:ilvl w:val="0"/>
                <w:numId w:val="15"/>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Purchase Price of Property – Fee Simple Title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E5FAB5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73E1D0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4EB598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3D733D1"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p w14:paraId="61EB983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§2684a(d)(1)</w:t>
            </w:r>
          </w:p>
        </w:tc>
      </w:tr>
      <w:tr w:rsidR="00DC3DE8" w:rsidRPr="00300BD2" w14:paraId="210B7C00"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1BC2F78" w14:textId="77777777" w:rsidR="00DC3DE8" w:rsidRPr="00300BD2" w:rsidRDefault="00DC3DE8" w:rsidP="00946888">
            <w:pPr>
              <w:numPr>
                <w:ilvl w:val="0"/>
                <w:numId w:val="15"/>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Purchase Price - Easement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B75F1A6"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6C44C3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3AD9F5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6C5DA7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p w14:paraId="1F5BD51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§2684a(d)(1)</w:t>
            </w:r>
          </w:p>
        </w:tc>
      </w:tr>
      <w:tr w:rsidR="00DC3DE8" w:rsidRPr="00300BD2" w14:paraId="25898E2A"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0A0C3E5" w14:textId="77777777" w:rsidR="00DC3DE8" w:rsidRPr="00300BD2" w:rsidRDefault="00DC3DE8" w:rsidP="00946888">
            <w:pPr>
              <w:numPr>
                <w:ilvl w:val="0"/>
                <w:numId w:val="15"/>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Purchase Price – Option to Purchase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288155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9A85D3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6"/>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B0CC4F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3EC5A25"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p w14:paraId="5D4B1C4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§2684a(d)(1)</w:t>
            </w:r>
          </w:p>
        </w:tc>
      </w:tr>
      <w:tr w:rsidR="00DC3DE8" w:rsidRPr="00300BD2" w14:paraId="26414D3D" w14:textId="77777777" w:rsidTr="00946888">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91FB315" w14:textId="77777777" w:rsidR="00DC3DE8" w:rsidRPr="00300BD2" w:rsidRDefault="00DC3DE8" w:rsidP="00946888">
            <w:pPr>
              <w:numPr>
                <w:ilvl w:val="0"/>
                <w:numId w:val="15"/>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Purchase Price - Water Rights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025ED9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0A18A63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7"/>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EACE56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9E9189F"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p w14:paraId="7E629028"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§2684a(d)(1)</w:t>
            </w:r>
          </w:p>
        </w:tc>
      </w:tr>
      <w:tr w:rsidR="00DC3DE8" w:rsidRPr="00300BD2" w14:paraId="5A9FB87F" w14:textId="77777777" w:rsidTr="00946888">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23CD6A2" w14:textId="77777777" w:rsidR="00DC3DE8" w:rsidRPr="00300BD2" w:rsidRDefault="00DC3DE8" w:rsidP="00946888">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Closing Costs/Recordation</w:t>
            </w:r>
          </w:p>
        </w:tc>
        <w:tc>
          <w:tcPr>
            <w:tcW w:w="1485" w:type="dxa"/>
            <w:tcBorders>
              <w:top w:val="single" w:sz="12" w:space="0" w:color="auto"/>
              <w:left w:val="single" w:sz="12" w:space="0" w:color="auto"/>
              <w:bottom w:val="single" w:sz="12" w:space="0" w:color="auto"/>
              <w:right w:val="single" w:sz="12" w:space="0" w:color="auto"/>
            </w:tcBorders>
            <w:vAlign w:val="center"/>
          </w:tcPr>
          <w:p w14:paraId="6302C48A"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7C3ACB1B"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768EB701"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5C0F864A" w14:textId="77777777" w:rsidR="00DC3DE8" w:rsidRPr="00300BD2" w:rsidRDefault="00DC3DE8" w:rsidP="00946888">
            <w:pPr>
              <w:autoSpaceDE/>
              <w:autoSpaceDN/>
              <w:spacing w:line="256" w:lineRule="auto"/>
              <w:rPr>
                <w:rFonts w:ascii="Arial" w:eastAsia="Times New Roman" w:hAnsi="Arial"/>
                <w:b/>
                <w:bCs/>
                <w:color w:val="000000"/>
                <w:szCs w:val="20"/>
              </w:rPr>
            </w:pPr>
          </w:p>
        </w:tc>
      </w:tr>
      <w:tr w:rsidR="00DC3DE8" w:rsidRPr="00300BD2" w14:paraId="7C5F0D71"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C75C464" w14:textId="77777777" w:rsidR="00DC3DE8" w:rsidRPr="00300BD2" w:rsidRDefault="00DC3DE8" w:rsidP="00946888">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Closing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CFC0B8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C52A2F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942B9A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1FD9AA18"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525E3D3C"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593A721" w14:textId="77777777" w:rsidR="00DC3DE8" w:rsidRPr="00300BD2" w:rsidRDefault="00DC3DE8" w:rsidP="00946888">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Title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C7F793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15A708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59C99F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53CBF40B"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200.403</w:t>
            </w:r>
          </w:p>
        </w:tc>
      </w:tr>
      <w:tr w:rsidR="00DC3DE8" w:rsidRPr="00300BD2" w14:paraId="45142657"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4600E94" w14:textId="77777777" w:rsidR="00DC3DE8" w:rsidRPr="00300BD2" w:rsidRDefault="00DC3DE8" w:rsidP="00946888">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Title Insurance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41BE6D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D73538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C57DC9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51B5C35A"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7C2FBBF1"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10FBEDC" w14:textId="77777777" w:rsidR="00DC3DE8" w:rsidRPr="00300BD2" w:rsidRDefault="00DC3DE8" w:rsidP="00946888">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Recording Fee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419BCF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A7213D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56ED71E"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383FA1D2"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056F99AB"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E4A17C4" w14:textId="77777777" w:rsidR="00DC3DE8" w:rsidRPr="00300BD2" w:rsidRDefault="00DC3DE8" w:rsidP="00946888">
            <w:pPr>
              <w:numPr>
                <w:ilvl w:val="0"/>
                <w:numId w:val="16"/>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Document Stamp Tax</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B7EA6E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4D69B1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80824F6"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hideMark/>
          </w:tcPr>
          <w:p w14:paraId="3B7EAAEA"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142811E6"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566F39D" w14:textId="77777777" w:rsidR="00DC3DE8" w:rsidRPr="00300BD2" w:rsidRDefault="00DC3DE8" w:rsidP="00946888">
            <w:pPr>
              <w:numPr>
                <w:ilvl w:val="0"/>
                <w:numId w:val="13"/>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b/>
                <w:bCs/>
                <w:color w:val="000000"/>
                <w:szCs w:val="20"/>
              </w:rPr>
              <w:t>Monitoring and Enforcement</w:t>
            </w:r>
          </w:p>
        </w:tc>
        <w:tc>
          <w:tcPr>
            <w:tcW w:w="1485" w:type="dxa"/>
            <w:tcBorders>
              <w:top w:val="single" w:sz="12" w:space="0" w:color="auto"/>
              <w:left w:val="single" w:sz="12" w:space="0" w:color="auto"/>
              <w:bottom w:val="single" w:sz="12" w:space="0" w:color="auto"/>
              <w:right w:val="single" w:sz="12" w:space="0" w:color="auto"/>
            </w:tcBorders>
            <w:noWrap/>
            <w:vAlign w:val="center"/>
          </w:tcPr>
          <w:p w14:paraId="799C943D" w14:textId="77777777" w:rsidR="00DC3DE8" w:rsidRPr="00300BD2" w:rsidRDefault="00DC3DE8" w:rsidP="00946888">
            <w:pPr>
              <w:autoSpaceDE/>
              <w:autoSpaceDN/>
              <w:spacing w:line="256" w:lineRule="auto"/>
              <w:jc w:val="center"/>
              <w:rPr>
                <w:rFonts w:ascii="Arial" w:eastAsia="Times New Roman" w:hAnsi="Arial"/>
                <w:color w:val="000000"/>
                <w:szCs w:val="20"/>
              </w:rPr>
            </w:pPr>
          </w:p>
        </w:tc>
        <w:tc>
          <w:tcPr>
            <w:tcW w:w="1350" w:type="dxa"/>
            <w:tcBorders>
              <w:top w:val="single" w:sz="12" w:space="0" w:color="auto"/>
              <w:left w:val="single" w:sz="12" w:space="0" w:color="auto"/>
              <w:bottom w:val="single" w:sz="12" w:space="0" w:color="auto"/>
              <w:right w:val="single" w:sz="12" w:space="0" w:color="auto"/>
            </w:tcBorders>
            <w:noWrap/>
            <w:vAlign w:val="center"/>
          </w:tcPr>
          <w:p w14:paraId="06EFEFEF" w14:textId="77777777" w:rsidR="00DC3DE8" w:rsidRPr="00300BD2" w:rsidRDefault="00DC3DE8" w:rsidP="00946888">
            <w:pPr>
              <w:autoSpaceDE/>
              <w:autoSpaceDN/>
              <w:spacing w:line="256" w:lineRule="auto"/>
              <w:jc w:val="center"/>
              <w:rPr>
                <w:rFonts w:ascii="Arial" w:eastAsia="Times New Roman" w:hAnsi="Arial"/>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3DD45C65" w14:textId="77777777" w:rsidR="00DC3DE8" w:rsidRPr="00300BD2" w:rsidRDefault="00DC3DE8" w:rsidP="00946888">
            <w:pPr>
              <w:autoSpaceDE/>
              <w:autoSpaceDN/>
              <w:spacing w:line="256" w:lineRule="auto"/>
              <w:jc w:val="center"/>
              <w:rPr>
                <w:rFonts w:ascii="Arial" w:eastAsia="Times New Roman" w:hAnsi="Arial"/>
                <w:color w:val="000000"/>
                <w:szCs w:val="20"/>
              </w:rPr>
            </w:pPr>
          </w:p>
        </w:tc>
        <w:tc>
          <w:tcPr>
            <w:tcW w:w="2295" w:type="dxa"/>
            <w:tcBorders>
              <w:top w:val="single" w:sz="12" w:space="0" w:color="auto"/>
              <w:left w:val="single" w:sz="12" w:space="0" w:color="auto"/>
              <w:bottom w:val="single" w:sz="12" w:space="0" w:color="auto"/>
              <w:right w:val="single" w:sz="12" w:space="0" w:color="auto"/>
            </w:tcBorders>
            <w:noWrap/>
            <w:vAlign w:val="center"/>
          </w:tcPr>
          <w:p w14:paraId="16E96DDA" w14:textId="77777777" w:rsidR="00DC3DE8" w:rsidRPr="00300BD2" w:rsidRDefault="00DC3DE8" w:rsidP="00946888">
            <w:pPr>
              <w:autoSpaceDE/>
              <w:autoSpaceDN/>
              <w:spacing w:line="256" w:lineRule="auto"/>
              <w:rPr>
                <w:rFonts w:ascii="Arial" w:eastAsia="Times New Roman" w:hAnsi="Arial"/>
                <w:color w:val="000000"/>
                <w:szCs w:val="20"/>
              </w:rPr>
            </w:pPr>
          </w:p>
        </w:tc>
      </w:tr>
      <w:tr w:rsidR="00DC3DE8" w:rsidRPr="00300BD2" w14:paraId="5813FD9A"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04365E4" w14:textId="77777777" w:rsidR="00DC3DE8" w:rsidRPr="00300BD2" w:rsidRDefault="00DC3DE8" w:rsidP="00946888">
            <w:pPr>
              <w:numPr>
                <w:ilvl w:val="0"/>
                <w:numId w:val="17"/>
              </w:numPr>
              <w:autoSpaceDE/>
              <w:autoSpaceDN/>
              <w:spacing w:after="120" w:line="256" w:lineRule="auto"/>
              <w:contextualSpacing/>
              <w:rPr>
                <w:rFonts w:ascii="Arial" w:eastAsia="Times New Roman" w:hAnsi="Arial"/>
                <w:szCs w:val="20"/>
              </w:rPr>
            </w:pPr>
            <w:r w:rsidRPr="00300BD2">
              <w:rPr>
                <w:rFonts w:ascii="Arial" w:eastAsia="Times New Roman" w:hAnsi="Arial"/>
                <w:szCs w:val="20"/>
              </w:rPr>
              <w:t>Monitoring (one-time fee, in place of individual labor charges)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4A8C4A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98D18EE"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r w:rsidRPr="00300BD2">
              <w:rPr>
                <w:rFonts w:ascii="Arial" w:eastAsia="Times New Roman" w:hAnsi="Arial"/>
                <w:color w:val="000000"/>
                <w:szCs w:val="20"/>
                <w:vertAlign w:val="superscript"/>
              </w:rPr>
              <w:footnoteReference w:id="8"/>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502294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r w:rsidRPr="00300BD2">
              <w:rPr>
                <w:rFonts w:ascii="Arial" w:eastAsia="Times New Roman" w:hAnsi="Arial"/>
                <w:color w:val="000000"/>
                <w:szCs w:val="20"/>
                <w:vertAlign w:val="superscript"/>
              </w:rPr>
              <w:footnoteReference w:id="9"/>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EF6087E"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p w14:paraId="1FB0AE1B"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w:t>
            </w:r>
          </w:p>
        </w:tc>
      </w:tr>
      <w:tr w:rsidR="00DC3DE8" w:rsidRPr="00300BD2" w14:paraId="64440768"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1F4D4D7" w14:textId="77777777" w:rsidR="00DC3DE8" w:rsidRPr="00300BD2" w:rsidRDefault="00DC3DE8" w:rsidP="00946888">
            <w:pPr>
              <w:numPr>
                <w:ilvl w:val="0"/>
                <w:numId w:val="17"/>
              </w:numPr>
              <w:autoSpaceDE/>
              <w:autoSpaceDN/>
              <w:spacing w:after="120" w:line="256" w:lineRule="auto"/>
              <w:contextualSpacing/>
              <w:rPr>
                <w:rFonts w:ascii="Arial" w:eastAsia="Times New Roman" w:hAnsi="Arial"/>
                <w:szCs w:val="20"/>
              </w:rPr>
            </w:pPr>
            <w:r w:rsidRPr="00300BD2">
              <w:rPr>
                <w:rFonts w:ascii="Arial" w:eastAsia="Times New Roman" w:hAnsi="Arial"/>
                <w:szCs w:val="20"/>
              </w:rPr>
              <w:t xml:space="preserve">Labor – Monitoring Visit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895F20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B73D48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r w:rsidRPr="00300BD2">
              <w:rPr>
                <w:rFonts w:ascii="Arial" w:eastAsia="Times New Roman" w:hAnsi="Arial"/>
                <w:color w:val="000000"/>
                <w:szCs w:val="20"/>
                <w:vertAlign w:val="superscript"/>
              </w:rPr>
              <w:footnoteReference w:id="10"/>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5AD505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4EF8813"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tc>
      </w:tr>
      <w:tr w:rsidR="00DC3DE8" w:rsidRPr="00300BD2" w14:paraId="3EFABAD5"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0DD1E10" w14:textId="77777777" w:rsidR="00DC3DE8" w:rsidRPr="00300BD2" w:rsidRDefault="00DC3DE8" w:rsidP="00946888">
            <w:pPr>
              <w:numPr>
                <w:ilvl w:val="0"/>
                <w:numId w:val="17"/>
              </w:numPr>
              <w:autoSpaceDE/>
              <w:autoSpaceDN/>
              <w:spacing w:after="120" w:line="256" w:lineRule="auto"/>
              <w:contextualSpacing/>
              <w:rPr>
                <w:rFonts w:ascii="Arial" w:eastAsia="Times New Roman" w:hAnsi="Arial"/>
                <w:szCs w:val="20"/>
              </w:rPr>
            </w:pPr>
            <w:r w:rsidRPr="00300BD2">
              <w:rPr>
                <w:rFonts w:ascii="Arial" w:eastAsia="Times New Roman" w:hAnsi="Arial"/>
                <w:szCs w:val="20"/>
              </w:rPr>
              <w:t>Enforcement Fee (one-time fee, only as needed)</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DD71A4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0175D0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r w:rsidRPr="00300BD2">
              <w:rPr>
                <w:rFonts w:ascii="Arial" w:eastAsia="Times New Roman" w:hAnsi="Arial"/>
                <w:color w:val="000000"/>
                <w:sz w:val="24"/>
                <w:szCs w:val="22"/>
                <w:vertAlign w:val="superscript"/>
              </w:rPr>
              <w:footnoteReference w:id="11"/>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B57889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820D10B"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p w14:paraId="0E005CF4"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w:t>
            </w:r>
          </w:p>
        </w:tc>
      </w:tr>
      <w:tr w:rsidR="00DC3DE8" w:rsidRPr="00300BD2" w14:paraId="17DA5B4E" w14:textId="77777777" w:rsidTr="00946888">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3DE4E14" w14:textId="77777777" w:rsidR="00DC3DE8" w:rsidRPr="00300BD2" w:rsidRDefault="00DC3DE8" w:rsidP="00946888">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Habitat Management</w:t>
            </w:r>
          </w:p>
        </w:tc>
        <w:tc>
          <w:tcPr>
            <w:tcW w:w="1485" w:type="dxa"/>
            <w:tcBorders>
              <w:top w:val="single" w:sz="12" w:space="0" w:color="auto"/>
              <w:left w:val="single" w:sz="12" w:space="0" w:color="auto"/>
              <w:bottom w:val="single" w:sz="12" w:space="0" w:color="auto"/>
              <w:right w:val="single" w:sz="12" w:space="0" w:color="auto"/>
            </w:tcBorders>
            <w:vAlign w:val="center"/>
          </w:tcPr>
          <w:p w14:paraId="726620CA"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5304E92E"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7E727707"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084D4846" w14:textId="77777777" w:rsidR="00DC3DE8" w:rsidRPr="00300BD2" w:rsidRDefault="00DC3DE8" w:rsidP="00946888">
            <w:pPr>
              <w:autoSpaceDE/>
              <w:autoSpaceDN/>
              <w:spacing w:line="256" w:lineRule="auto"/>
              <w:rPr>
                <w:rFonts w:ascii="Arial" w:eastAsia="Times New Roman" w:hAnsi="Arial"/>
                <w:b/>
                <w:bCs/>
                <w:color w:val="000000"/>
                <w:szCs w:val="20"/>
              </w:rPr>
            </w:pPr>
          </w:p>
        </w:tc>
      </w:tr>
      <w:tr w:rsidR="00DC3DE8" w:rsidRPr="00300BD2" w14:paraId="1C8517DF"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EED89D1" w14:textId="77777777" w:rsidR="00DC3DE8" w:rsidRPr="00300BD2" w:rsidRDefault="00DC3DE8" w:rsidP="00946888">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 Habitat Management Plan preparation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9CCDF8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3A83E9E"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12"/>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87727EA"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E4300DE"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p w14:paraId="5B851BB7"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w:t>
            </w:r>
          </w:p>
        </w:tc>
      </w:tr>
      <w:tr w:rsidR="00DC3DE8" w:rsidRPr="00300BD2" w14:paraId="05843299"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8F17811" w14:textId="77777777" w:rsidR="00DC3DE8" w:rsidRPr="00300BD2" w:rsidRDefault="00DC3DE8" w:rsidP="00946888">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Habitat Management </w:t>
            </w:r>
            <w:r w:rsidRPr="00300BD2">
              <w:rPr>
                <w:rFonts w:ascii="Arial" w:eastAsia="Times New Roman" w:hAnsi="Arial"/>
                <w:b/>
                <w:bCs/>
                <w:color w:val="000000"/>
                <w:szCs w:val="20"/>
                <w:vertAlign w:val="superscript"/>
              </w:rPr>
              <w:footnoteReference w:id="13"/>
            </w:r>
            <w:r w:rsidRPr="00300BD2">
              <w:rPr>
                <w:rFonts w:ascii="Arial" w:eastAsia="Times New Roman" w:hAnsi="Arial"/>
                <w:color w:val="000000"/>
                <w:szCs w:val="20"/>
              </w:rPr>
              <w:t xml:space="preserve">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297E48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8275D1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4"/>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92B4F3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6D89CCBC"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p w14:paraId="5A804281"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w:t>
            </w:r>
          </w:p>
        </w:tc>
      </w:tr>
      <w:tr w:rsidR="00DC3DE8" w:rsidRPr="00300BD2" w14:paraId="6AFABAF0"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B95C1FE" w14:textId="77777777" w:rsidR="00DC3DE8" w:rsidRPr="00300BD2" w:rsidRDefault="00DC3DE8" w:rsidP="00946888">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Equipment Purchase: Invoice must list specific equipment and the equipment must be identified in, or associated with, the approved habitat management plan.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B3FFFC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14401E1"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5"/>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909025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9AC534C"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200.313</w:t>
            </w:r>
          </w:p>
          <w:p w14:paraId="23045637"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§200.439(a)(2)</w:t>
            </w:r>
          </w:p>
          <w:p w14:paraId="786C3A05"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§200.436 (Depreciation)</w:t>
            </w:r>
          </w:p>
        </w:tc>
      </w:tr>
      <w:tr w:rsidR="00DC3DE8" w:rsidRPr="00300BD2" w14:paraId="3B9E8570"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FE28366" w14:textId="77777777" w:rsidR="00DC3DE8" w:rsidRPr="00300BD2" w:rsidRDefault="00DC3DE8" w:rsidP="00946888">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Equipment Rental (with same conditions as above)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FD79D6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DBF090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6"/>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4C9643A"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D16B806"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§200.465</w:t>
            </w:r>
          </w:p>
        </w:tc>
      </w:tr>
      <w:tr w:rsidR="00DC3DE8" w:rsidRPr="00300BD2" w14:paraId="1452CA6E"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B71E990" w14:textId="77777777" w:rsidR="00DC3DE8" w:rsidRPr="00300BD2" w:rsidRDefault="00DC3DE8" w:rsidP="00946888">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Vehicle Purchase (with same conditions as above)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C1A04EA"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D3B696A"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7"/>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B47CA4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C278CD5"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200.439(b)(1)</w:t>
            </w:r>
          </w:p>
        </w:tc>
      </w:tr>
      <w:tr w:rsidR="00DC3DE8" w:rsidRPr="00300BD2" w14:paraId="5739F2DC" w14:textId="77777777" w:rsidTr="00946888">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72CABF6" w14:textId="77777777" w:rsidR="00DC3DE8" w:rsidRPr="00300BD2" w:rsidRDefault="00DC3DE8" w:rsidP="00946888">
            <w:pPr>
              <w:numPr>
                <w:ilvl w:val="0"/>
                <w:numId w:val="18"/>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Endowment for Habitat Management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7CDD99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F20DB1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8"/>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A827A91"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AA4EBC3"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§200.403</w:t>
            </w:r>
          </w:p>
          <w:p w14:paraId="63F55E92"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10 USC §2684a(d)(3)(B)</w:t>
            </w:r>
          </w:p>
        </w:tc>
      </w:tr>
      <w:tr w:rsidR="00DC3DE8" w:rsidRPr="00300BD2" w14:paraId="3B89F370" w14:textId="77777777" w:rsidTr="00946888">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526CA5F" w14:textId="77777777" w:rsidR="00DC3DE8" w:rsidRPr="00300BD2" w:rsidRDefault="00DC3DE8" w:rsidP="00946888">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Miscellaneous</w:t>
            </w:r>
          </w:p>
        </w:tc>
        <w:tc>
          <w:tcPr>
            <w:tcW w:w="1485" w:type="dxa"/>
            <w:tcBorders>
              <w:top w:val="single" w:sz="12" w:space="0" w:color="auto"/>
              <w:left w:val="single" w:sz="12" w:space="0" w:color="auto"/>
              <w:bottom w:val="single" w:sz="12" w:space="0" w:color="auto"/>
              <w:right w:val="single" w:sz="12" w:space="0" w:color="auto"/>
            </w:tcBorders>
            <w:vAlign w:val="center"/>
          </w:tcPr>
          <w:p w14:paraId="1C2E804C"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3EFC98A9"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7B7955F2"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78E31AD9" w14:textId="77777777" w:rsidR="00DC3DE8" w:rsidRPr="00300BD2" w:rsidRDefault="00DC3DE8" w:rsidP="00946888">
            <w:pPr>
              <w:autoSpaceDE/>
              <w:autoSpaceDN/>
              <w:spacing w:line="256" w:lineRule="auto"/>
              <w:rPr>
                <w:rFonts w:ascii="Arial" w:eastAsia="Times New Roman" w:hAnsi="Arial"/>
                <w:b/>
                <w:bCs/>
                <w:color w:val="000000"/>
                <w:szCs w:val="20"/>
              </w:rPr>
            </w:pPr>
          </w:p>
        </w:tc>
      </w:tr>
      <w:tr w:rsidR="00DC3DE8" w:rsidRPr="00300BD2" w14:paraId="4D32B39E"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64CEC3A" w14:textId="77777777" w:rsidR="00DC3DE8" w:rsidRPr="00300BD2" w:rsidRDefault="00DC3DE8" w:rsidP="00946888">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Property Tax (ACUB property)</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00F2D0F"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14076F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19"/>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11F8A8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2129032"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§200.470</w:t>
            </w:r>
          </w:p>
        </w:tc>
      </w:tr>
      <w:tr w:rsidR="00DC3DE8" w:rsidRPr="00300BD2" w14:paraId="776E87FC"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D218C24" w14:textId="77777777" w:rsidR="00DC3DE8" w:rsidRPr="00300BD2" w:rsidRDefault="00DC3DE8" w:rsidP="00946888">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Business and Occupation (B&amp;O) Tax</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B0A0F7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BFFAED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AE2E531"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D7F4B09"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§200.470</w:t>
            </w:r>
          </w:p>
        </w:tc>
      </w:tr>
      <w:tr w:rsidR="00DC3DE8" w:rsidRPr="00300BD2" w14:paraId="1BCBC8D2"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663C814" w14:textId="77777777" w:rsidR="00DC3DE8" w:rsidRPr="00300BD2" w:rsidRDefault="00DC3DE8" w:rsidP="00946888">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Interest on Loans (not on borrowed capital)</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CFF9916"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4A0911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20"/>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EEB371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0AD1A03"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200.449</w:t>
            </w:r>
          </w:p>
        </w:tc>
      </w:tr>
      <w:tr w:rsidR="00DC3DE8" w:rsidRPr="00300BD2" w14:paraId="417F7214"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3E3F10F" w14:textId="77777777" w:rsidR="00DC3DE8" w:rsidRPr="00300BD2" w:rsidRDefault="00DC3DE8" w:rsidP="00946888">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Audit Services – Applies only to audits </w:t>
            </w:r>
            <w:r w:rsidRPr="00300BD2">
              <w:rPr>
                <w:rFonts w:ascii="Arial" w:hAnsi="Arial"/>
                <w:color w:val="000000"/>
                <w:szCs w:val="20"/>
              </w:rPr>
              <w:t>required by, and performed IAW, the Single Audit Act Amendments of 1996</w:t>
            </w:r>
            <w:r w:rsidRPr="00300BD2">
              <w:rPr>
                <w:rFonts w:ascii="Arial" w:eastAsia="Times New Roman" w:hAnsi="Arial"/>
                <w:color w:val="000000"/>
                <w:szCs w:val="20"/>
              </w:rPr>
              <w:t xml:space="preserve"> (31 U.S.C. 7501-7507)</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AA3C55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7D5411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1"/>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B2EDD9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FF768E2"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200.425</w:t>
            </w:r>
          </w:p>
        </w:tc>
      </w:tr>
      <w:tr w:rsidR="00DC3DE8" w:rsidRPr="00300BD2" w14:paraId="3B707A35"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1484A26" w14:textId="77777777" w:rsidR="00DC3DE8" w:rsidRPr="00300BD2" w:rsidRDefault="00DC3DE8" w:rsidP="00946888">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Travel while in “travel status” - Travel requiring overnight stay and/or air/rail transit. Includes costs of airplane or train ticket, lodging, rental vehicle, POV mileage, meals, tolls, and parking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D51685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71C0DC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2"/>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A4A163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742096C"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§200.474</w:t>
            </w:r>
          </w:p>
        </w:tc>
      </w:tr>
      <w:tr w:rsidR="00DC3DE8" w:rsidRPr="00300BD2" w14:paraId="1BD73314"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50D1466" w14:textId="77777777" w:rsidR="00DC3DE8" w:rsidRPr="00300BD2" w:rsidRDefault="00DC3DE8" w:rsidP="00946888">
            <w:pPr>
              <w:numPr>
                <w:ilvl w:val="0"/>
                <w:numId w:val="19"/>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Travel for daily ACUB actions – Includes rental vehicle, parking, POV mileage, and tolls.</w:t>
            </w:r>
            <w:r w:rsidRPr="00300BD2">
              <w:rPr>
                <w:rFonts w:ascii="Arial" w:eastAsia="Times New Roman" w:hAnsi="Arial"/>
                <w:color w:val="000000"/>
                <w:sz w:val="24"/>
                <w:szCs w:val="22"/>
                <w:vertAlign w:val="superscript"/>
              </w:rPr>
              <w:t xml:space="preserve"> </w:t>
            </w:r>
            <w:r w:rsidRPr="00300BD2">
              <w:rPr>
                <w:rFonts w:ascii="Arial" w:eastAsia="Times New Roman" w:hAnsi="Arial"/>
                <w:color w:val="000000"/>
                <w:sz w:val="24"/>
                <w:szCs w:val="22"/>
                <w:vertAlign w:val="superscript"/>
              </w:rPr>
              <w:footnoteReference w:id="23"/>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1D4826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09B216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A5D358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4DC207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§200.474</w:t>
            </w:r>
          </w:p>
        </w:tc>
      </w:tr>
      <w:tr w:rsidR="00DC3DE8" w:rsidRPr="00300BD2" w14:paraId="10E39D4C" w14:textId="77777777" w:rsidTr="00946888">
        <w:trPr>
          <w:trHeight w:val="270"/>
          <w:jc w:val="center"/>
        </w:trPr>
        <w:tc>
          <w:tcPr>
            <w:tcW w:w="10020" w:type="dxa"/>
            <w:gridSpan w:val="5"/>
            <w:tcBorders>
              <w:top w:val="single" w:sz="12" w:space="0" w:color="auto"/>
              <w:left w:val="single" w:sz="12" w:space="0" w:color="auto"/>
              <w:bottom w:val="single" w:sz="12" w:space="0" w:color="auto"/>
              <w:right w:val="single" w:sz="12" w:space="0" w:color="auto"/>
            </w:tcBorders>
            <w:vAlign w:val="center"/>
            <w:hideMark/>
          </w:tcPr>
          <w:p w14:paraId="29CF4DAD" w14:textId="77777777" w:rsidR="00DC3DE8" w:rsidRPr="00300BD2" w:rsidRDefault="00DC3DE8" w:rsidP="00946888">
            <w:pPr>
              <w:autoSpaceDE/>
              <w:autoSpaceDN/>
              <w:spacing w:line="256" w:lineRule="auto"/>
              <w:rPr>
                <w:rFonts w:ascii="Arial" w:eastAsia="Times New Roman" w:hAnsi="Arial" w:cs="Arial"/>
                <w:color w:val="FF0000"/>
                <w:szCs w:val="20"/>
              </w:rPr>
            </w:pPr>
            <w:r w:rsidRPr="00300BD2">
              <w:rPr>
                <w:rFonts w:ascii="Arial" w:eastAsia="Times New Roman" w:hAnsi="Arial"/>
                <w:color w:val="FF0000"/>
                <w:szCs w:val="20"/>
              </w:rPr>
              <w:t>The administrative and planning costs below this line are not currently REPI-eligible. However, they may be authorized if Service Funding has been obligated to the cooperative agreement. For all “Labor” costs below, reporting and administrative labor expended by a shared resource, like administrative personnel, must be accounted for in the indirect rate. Only direct cost labor can be counted as Partner match.</w:t>
            </w:r>
          </w:p>
        </w:tc>
      </w:tr>
      <w:tr w:rsidR="00DC3DE8" w:rsidRPr="00300BD2" w14:paraId="7454835F" w14:textId="77777777" w:rsidTr="00946888">
        <w:trPr>
          <w:trHeight w:val="270"/>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7162FF9" w14:textId="77777777" w:rsidR="00DC3DE8" w:rsidRPr="00300BD2" w:rsidRDefault="00DC3DE8" w:rsidP="00946888">
            <w:pPr>
              <w:numPr>
                <w:ilvl w:val="0"/>
                <w:numId w:val="13"/>
              </w:numPr>
              <w:autoSpaceDE/>
              <w:autoSpaceDN/>
              <w:spacing w:after="120" w:line="256" w:lineRule="auto"/>
              <w:contextualSpacing/>
              <w:rPr>
                <w:rFonts w:ascii="Arial" w:eastAsia="Times New Roman" w:hAnsi="Arial"/>
                <w:b/>
                <w:bCs/>
                <w:color w:val="000000"/>
                <w:szCs w:val="20"/>
              </w:rPr>
            </w:pPr>
            <w:r w:rsidRPr="00300BD2">
              <w:rPr>
                <w:rFonts w:ascii="Arial" w:eastAsia="Times New Roman" w:hAnsi="Arial"/>
                <w:b/>
                <w:bCs/>
                <w:color w:val="000000"/>
                <w:szCs w:val="20"/>
              </w:rPr>
              <w:t>Personnel, Facility, and Administrative Costs</w:t>
            </w:r>
          </w:p>
        </w:tc>
        <w:tc>
          <w:tcPr>
            <w:tcW w:w="1485" w:type="dxa"/>
            <w:tcBorders>
              <w:top w:val="single" w:sz="12" w:space="0" w:color="auto"/>
              <w:left w:val="single" w:sz="12" w:space="0" w:color="auto"/>
              <w:bottom w:val="single" w:sz="12" w:space="0" w:color="auto"/>
              <w:right w:val="single" w:sz="12" w:space="0" w:color="auto"/>
            </w:tcBorders>
            <w:vAlign w:val="center"/>
          </w:tcPr>
          <w:p w14:paraId="793B223E"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50" w:type="dxa"/>
            <w:tcBorders>
              <w:top w:val="single" w:sz="12" w:space="0" w:color="auto"/>
              <w:left w:val="single" w:sz="12" w:space="0" w:color="auto"/>
              <w:bottom w:val="single" w:sz="12" w:space="0" w:color="auto"/>
              <w:right w:val="single" w:sz="12" w:space="0" w:color="auto"/>
            </w:tcBorders>
            <w:vAlign w:val="center"/>
          </w:tcPr>
          <w:p w14:paraId="6C9DACF7"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1380" w:type="dxa"/>
            <w:tcBorders>
              <w:top w:val="single" w:sz="12" w:space="0" w:color="auto"/>
              <w:left w:val="single" w:sz="12" w:space="0" w:color="auto"/>
              <w:bottom w:val="single" w:sz="12" w:space="0" w:color="auto"/>
              <w:right w:val="single" w:sz="12" w:space="0" w:color="auto"/>
            </w:tcBorders>
            <w:vAlign w:val="center"/>
          </w:tcPr>
          <w:p w14:paraId="78017717" w14:textId="77777777" w:rsidR="00DC3DE8" w:rsidRPr="00300BD2" w:rsidRDefault="00DC3DE8" w:rsidP="00946888">
            <w:pPr>
              <w:autoSpaceDE/>
              <w:autoSpaceDN/>
              <w:spacing w:line="256" w:lineRule="auto"/>
              <w:jc w:val="center"/>
              <w:rPr>
                <w:rFonts w:ascii="Arial" w:eastAsia="Times New Roman" w:hAnsi="Arial"/>
                <w:b/>
                <w:bCs/>
                <w:color w:val="000000"/>
                <w:szCs w:val="20"/>
              </w:rPr>
            </w:pPr>
          </w:p>
        </w:tc>
        <w:tc>
          <w:tcPr>
            <w:tcW w:w="2295" w:type="dxa"/>
            <w:tcBorders>
              <w:top w:val="single" w:sz="12" w:space="0" w:color="auto"/>
              <w:left w:val="single" w:sz="12" w:space="0" w:color="auto"/>
              <w:bottom w:val="single" w:sz="12" w:space="0" w:color="auto"/>
              <w:right w:val="single" w:sz="12" w:space="0" w:color="auto"/>
            </w:tcBorders>
            <w:vAlign w:val="center"/>
          </w:tcPr>
          <w:p w14:paraId="6B4294D4" w14:textId="77777777" w:rsidR="00DC3DE8" w:rsidRPr="00300BD2" w:rsidRDefault="00DC3DE8" w:rsidP="00946888">
            <w:pPr>
              <w:autoSpaceDE/>
              <w:autoSpaceDN/>
              <w:spacing w:line="256" w:lineRule="auto"/>
              <w:rPr>
                <w:rFonts w:ascii="Arial" w:eastAsia="Times New Roman" w:hAnsi="Arial"/>
                <w:b/>
                <w:bCs/>
                <w:color w:val="000000"/>
                <w:szCs w:val="20"/>
              </w:rPr>
            </w:pPr>
          </w:p>
        </w:tc>
      </w:tr>
      <w:tr w:rsidR="00DC3DE8" w:rsidRPr="00300BD2" w14:paraId="705E7CF1"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940C52D"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Communicating with landowners, Installation ACUB Team, and other ACUB stakeholders; providing for and reviewing due diligence; and preparing transactional documents.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4D93E50" w14:textId="77777777" w:rsidR="00DC3DE8" w:rsidRPr="00300BD2" w:rsidRDefault="00DC3DE8" w:rsidP="00946888">
            <w:pPr>
              <w:autoSpaceDE/>
              <w:autoSpaceDN/>
              <w:spacing w:line="256" w:lineRule="auto"/>
              <w:jc w:val="center"/>
              <w:rPr>
                <w:rFonts w:ascii="Arial" w:hAnsi="Arial"/>
                <w:color w:val="000000"/>
                <w:sz w:val="24"/>
                <w:szCs w:val="22"/>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D3883A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4"/>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C1EF8B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B38E2B8"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200.430</w:t>
            </w:r>
          </w:p>
        </w:tc>
      </w:tr>
      <w:tr w:rsidR="00DC3DE8" w:rsidRPr="00300BD2" w14:paraId="4831B1AC"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3EC0A0E"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ACUB Program Reporting (Annual Report to USAEC, annual financial report)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14AB97D" w14:textId="77777777" w:rsidR="00DC3DE8" w:rsidRPr="00300BD2" w:rsidRDefault="00DC3DE8" w:rsidP="00946888">
            <w:pPr>
              <w:autoSpaceDE/>
              <w:autoSpaceDN/>
              <w:spacing w:after="120" w:line="256" w:lineRule="auto"/>
              <w:jc w:val="center"/>
              <w:rPr>
                <w:rFonts w:ascii="Arial" w:hAnsi="Arial"/>
                <w:color w:val="000000"/>
                <w:sz w:val="24"/>
                <w:szCs w:val="22"/>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ABADAB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5"/>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D662E7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4119911"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§200.327-328</w:t>
            </w:r>
          </w:p>
          <w:p w14:paraId="622A1B75"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p w14:paraId="046C4221"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0BC1B067"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579EA7A"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Invoicing/Accounting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1251FBE" w14:textId="77777777" w:rsidR="00DC3DE8" w:rsidRPr="00300BD2" w:rsidRDefault="00DC3DE8" w:rsidP="00946888">
            <w:pPr>
              <w:autoSpaceDE/>
              <w:autoSpaceDN/>
              <w:spacing w:after="120"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83F723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6"/>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50CCE8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75B7C6F"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§200.430</w:t>
            </w:r>
          </w:p>
        </w:tc>
      </w:tr>
      <w:tr w:rsidR="00DC3DE8" w:rsidRPr="00300BD2" w14:paraId="74B4874A"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0991F7C"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Fringe Benefits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D59972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107F14E"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27"/>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8C1242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49434A5"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§200.431</w:t>
            </w:r>
          </w:p>
        </w:tc>
      </w:tr>
      <w:tr w:rsidR="00DC3DE8" w:rsidRPr="00300BD2" w14:paraId="79F14F1B"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CB70AB5"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Labor – Fundraising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522A01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C64602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1C8C0A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D93D1BC"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200.442</w:t>
            </w:r>
          </w:p>
          <w:p w14:paraId="6AE1F7EE"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200.460</w:t>
            </w:r>
          </w:p>
        </w:tc>
      </w:tr>
      <w:tr w:rsidR="00DC3DE8" w:rsidRPr="00300BD2" w14:paraId="60598489"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974C382"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Utilities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F7D201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0E446E8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25184B6"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C5D3F7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200.452</w:t>
            </w:r>
          </w:p>
        </w:tc>
      </w:tr>
      <w:tr w:rsidR="00DC3DE8" w:rsidRPr="00300BD2" w14:paraId="18CEDFD4"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53E6BB6"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Facilities rental</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6B70D3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781F61A"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FCB337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18224EA"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§200.465</w:t>
            </w:r>
          </w:p>
        </w:tc>
      </w:tr>
      <w:tr w:rsidR="00DC3DE8" w:rsidRPr="00300BD2" w14:paraId="0E4B5B5E"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36D920B"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Selling and marketing products and services.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D889B8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r w:rsidRPr="00300BD2">
              <w:rPr>
                <w:rFonts w:ascii="Arial" w:eastAsia="Times New Roman" w:hAnsi="Arial"/>
                <w:color w:val="000000"/>
                <w:szCs w:val="20"/>
                <w:vertAlign w:val="superscript"/>
              </w:rPr>
              <w:footnoteReference w:id="28"/>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CC309E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15F621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3430CB6"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200.467</w:t>
            </w:r>
          </w:p>
        </w:tc>
      </w:tr>
      <w:tr w:rsidR="00DC3DE8" w:rsidRPr="00300BD2" w14:paraId="6A885063"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BFCCFEE"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Travel costs of dependents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CC1D2C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2C0C75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8ABDEF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s="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494C64D"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§200.474</w:t>
            </w:r>
          </w:p>
        </w:tc>
      </w:tr>
      <w:tr w:rsidR="00DC3DE8" w:rsidRPr="00300BD2" w14:paraId="7421C29F" w14:textId="77777777" w:rsidTr="00946888">
        <w:trPr>
          <w:trHeight w:val="492"/>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A80CCB2"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Mapping and/or GIS Products/Resources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A397D4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5A8760CF"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699CD81" w14:textId="77777777" w:rsidR="00DC3DE8" w:rsidRPr="00300BD2" w:rsidRDefault="00DC3DE8" w:rsidP="00946888">
            <w:pPr>
              <w:autoSpaceDE/>
              <w:autoSpaceDN/>
              <w:spacing w:line="256" w:lineRule="auto"/>
              <w:jc w:val="center"/>
              <w:rPr>
                <w:rFonts w:ascii="Arial" w:eastAsia="Times New Roman" w:hAnsi="Arial" w:cs="Arial"/>
                <w:color w:val="000000"/>
                <w:szCs w:val="20"/>
              </w:rPr>
            </w:pPr>
            <w:r w:rsidRPr="00300BD2">
              <w:rPr>
                <w:rFonts w:ascii="Arial" w:eastAsia="Times New Roman" w:hAnsi="Arial" w:cs="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56D7B59"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§200.439</w:t>
            </w:r>
          </w:p>
        </w:tc>
      </w:tr>
      <w:tr w:rsidR="00DC3DE8" w:rsidRPr="00300BD2" w14:paraId="63107010"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E343DEE"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Subscriptions – Business, technical or professional periodicals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538AA2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9E47A1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D2C17E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F9E9D96"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§200.454</w:t>
            </w:r>
          </w:p>
        </w:tc>
      </w:tr>
      <w:tr w:rsidR="00DC3DE8" w:rsidRPr="00300BD2" w14:paraId="0FADDC2A"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8A7F739"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Dues / Fees / Licenses / Memberships – Country Club, Social or Dining Club or Organization, lobbying organization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EC3FE4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FFEC8F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C70065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50B01F4E"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§200.454</w:t>
            </w:r>
          </w:p>
        </w:tc>
      </w:tr>
      <w:tr w:rsidR="00DC3DE8" w:rsidRPr="00300BD2" w14:paraId="0717C0AF" w14:textId="77777777" w:rsidTr="00946888">
        <w:trPr>
          <w:trHeight w:val="492"/>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BE3EF28"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Insurance and Indemnification</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25A985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r w:rsidRPr="00300BD2">
              <w:rPr>
                <w:rFonts w:ascii="Arial" w:eastAsia="Times New Roman" w:hAnsi="Arial"/>
                <w:color w:val="000000"/>
                <w:szCs w:val="20"/>
                <w:vertAlign w:val="superscript"/>
              </w:rPr>
              <w:footnoteReference w:id="29"/>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8930E0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C8E2D3B"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56A38F3"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200.447</w:t>
            </w:r>
          </w:p>
        </w:tc>
      </w:tr>
      <w:tr w:rsidR="00DC3DE8" w:rsidRPr="00300BD2" w14:paraId="77843587"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3547BD89"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Bonding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1C3F00F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3814050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311B176"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8D1E67E"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200.427</w:t>
            </w:r>
          </w:p>
        </w:tc>
      </w:tr>
      <w:tr w:rsidR="00DC3DE8" w:rsidRPr="00300BD2" w14:paraId="61A74DEB"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606805E"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Outreach (includes public meetings to promote the ACUB program or promote a successful project.)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277679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r w:rsidRPr="00300BD2">
              <w:rPr>
                <w:rFonts w:ascii="Arial" w:eastAsia="Times New Roman" w:hAnsi="Arial"/>
                <w:color w:val="000000"/>
                <w:szCs w:val="20"/>
                <w:vertAlign w:val="superscript"/>
              </w:rPr>
              <w:footnoteReference w:id="30"/>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9CE1D1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33DEFC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A23FCD5"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§200.421</w:t>
            </w:r>
          </w:p>
        </w:tc>
      </w:tr>
      <w:tr w:rsidR="00DC3DE8" w:rsidRPr="00300BD2" w14:paraId="51B14FCA"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A6528B4"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Recruitment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5D776A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5EFC8C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AF6212F"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1F63C60B"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200.463</w:t>
            </w:r>
          </w:p>
        </w:tc>
      </w:tr>
      <w:tr w:rsidR="00DC3DE8" w:rsidRPr="00300BD2" w14:paraId="1C1763F3"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A4ED047"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Conference</w:t>
            </w:r>
            <w:r w:rsidRPr="00300BD2">
              <w:rPr>
                <w:rFonts w:ascii="Arial" w:eastAsia="Times New Roman" w:hAnsi="Arial"/>
                <w:color w:val="000000"/>
                <w:sz w:val="24"/>
                <w:szCs w:val="22"/>
                <w:vertAlign w:val="superscript"/>
              </w:rPr>
              <w:footnoteReference w:id="31"/>
            </w:r>
            <w:r w:rsidRPr="00300BD2">
              <w:rPr>
                <w:rFonts w:ascii="Arial" w:eastAsia="Times New Roman" w:hAnsi="Arial"/>
                <w:color w:val="000000"/>
                <w:szCs w:val="20"/>
              </w:rPr>
              <w:t xml:space="preserve"> (directly related to work under the ACUB agreement)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C98E9B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14BEF7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32"/>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092EB97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608CFECA"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200.432</w:t>
            </w:r>
          </w:p>
        </w:tc>
      </w:tr>
      <w:tr w:rsidR="00DC3DE8" w:rsidRPr="00300BD2" w14:paraId="30DCE214"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8622F94"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 xml:space="preserve">Meetings, conventions, conferences, convocations, or other events related to non-ACUB activities </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9C8137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0BA06A4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419940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450F53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200.421</w:t>
            </w:r>
          </w:p>
        </w:tc>
      </w:tr>
      <w:tr w:rsidR="00DC3DE8" w:rsidRPr="00300BD2" w14:paraId="664E33A0"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24D9E698"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Computing devices or peripherals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56701A1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25A54856"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0D4C14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D07261F"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§200.453</w:t>
            </w:r>
          </w:p>
        </w:tc>
      </w:tr>
      <w:tr w:rsidR="00DC3DE8" w:rsidRPr="00300BD2" w14:paraId="6E5B9C7F"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11F5C16"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Cell phones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B1CA57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504882A"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9E8AD76"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6E5391E2"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§200.313</w:t>
            </w:r>
          </w:p>
          <w:p w14:paraId="17107B6C"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200.439</w:t>
            </w:r>
          </w:p>
        </w:tc>
      </w:tr>
      <w:tr w:rsidR="00DC3DE8" w:rsidRPr="00300BD2" w14:paraId="5DA3E7FF"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B8FB22A"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Photography equipment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62B2E32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03C2211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97C7733"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6F5C56E"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§200.439(a)(2)</w:t>
            </w:r>
          </w:p>
        </w:tc>
      </w:tr>
      <w:tr w:rsidR="00DC3DE8" w:rsidRPr="00300BD2" w14:paraId="63BADED4"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74081613"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Postage / Shipping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543BB1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26CE8E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33"/>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67308CE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C9AA50E"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200.473</w:t>
            </w:r>
          </w:p>
        </w:tc>
      </w:tr>
      <w:tr w:rsidR="00DC3DE8" w:rsidRPr="00300BD2" w14:paraId="5A54482F"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3035591"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Document Stamp Tax</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1F65A6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2F68970"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34"/>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703891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DAF54C7"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200.459</w:t>
            </w:r>
          </w:p>
        </w:tc>
      </w:tr>
      <w:tr w:rsidR="00DC3DE8" w:rsidRPr="00300BD2" w14:paraId="5A6EED8D"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E621082"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Publication / Printing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4320387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46234D81"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Cs w:val="20"/>
                <w:vertAlign w:val="superscript"/>
              </w:rPr>
              <w:footnoteReference w:id="35"/>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536115A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Y</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E88353B"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§200.461</w:t>
            </w:r>
          </w:p>
        </w:tc>
      </w:tr>
      <w:tr w:rsidR="00DC3DE8" w:rsidRPr="00300BD2" w14:paraId="0862A794"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6C9C213F"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Office Supplies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3CB464B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F88EA5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7293035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CF404A3"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2 CFR §200.453</w:t>
            </w:r>
          </w:p>
        </w:tc>
      </w:tr>
      <w:tr w:rsidR="00DC3DE8" w:rsidRPr="00300BD2" w14:paraId="0AA58475"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BC37B62"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Training</w:t>
            </w:r>
            <w:r w:rsidRPr="00300BD2">
              <w:rPr>
                <w:rFonts w:ascii="Arial" w:eastAsia="Times New Roman" w:hAnsi="Arial"/>
                <w:color w:val="000000"/>
                <w:sz w:val="24"/>
                <w:szCs w:val="22"/>
                <w:vertAlign w:val="superscript"/>
              </w:rPr>
              <w:footnoteReference w:id="36"/>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2561354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A</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D465E2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r w:rsidRPr="00300BD2">
              <w:rPr>
                <w:rFonts w:ascii="Arial" w:eastAsia="Times New Roman" w:hAnsi="Arial"/>
                <w:color w:val="000000"/>
                <w:sz w:val="24"/>
                <w:szCs w:val="22"/>
                <w:vertAlign w:val="superscript"/>
              </w:rPr>
              <w:footnoteReference w:id="37"/>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2F96EB31"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C</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4BC9754A"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200.472</w:t>
            </w:r>
          </w:p>
        </w:tc>
      </w:tr>
      <w:tr w:rsidR="00DC3DE8" w:rsidRPr="00300BD2" w14:paraId="3251CD94"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AD7378D"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hAnsi="Arial" w:cs="Arial"/>
                <w:color w:val="000000"/>
                <w:szCs w:val="20"/>
              </w:rPr>
              <w:t>Goods or services for personal use</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7D7AD4CA"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C424EE7"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6D9E82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30AB2FB4"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200.445</w:t>
            </w:r>
          </w:p>
        </w:tc>
      </w:tr>
      <w:tr w:rsidR="00DC3DE8" w:rsidRPr="00300BD2" w14:paraId="13DE8132"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074881A8" w14:textId="77777777" w:rsidR="00DC3DE8" w:rsidRPr="00300BD2" w:rsidRDefault="00DC3DE8" w:rsidP="00946888">
            <w:pPr>
              <w:numPr>
                <w:ilvl w:val="0"/>
                <w:numId w:val="20"/>
              </w:numPr>
              <w:autoSpaceDE/>
              <w:autoSpaceDN/>
              <w:spacing w:after="120" w:line="256" w:lineRule="auto"/>
              <w:contextualSpacing/>
              <w:rPr>
                <w:rFonts w:ascii="Arial" w:hAnsi="Arial" w:cs="Arial"/>
                <w:color w:val="000000"/>
                <w:szCs w:val="20"/>
              </w:rPr>
            </w:pPr>
            <w:r w:rsidRPr="00300BD2">
              <w:rPr>
                <w:rFonts w:ascii="Arial" w:hAnsi="Arial" w:cs="Arial"/>
                <w:color w:val="000000"/>
                <w:szCs w:val="20"/>
              </w:rPr>
              <w:t>Lobbying</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3A2CA2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732C00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10FE397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3EF7169"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200.450</w:t>
            </w:r>
          </w:p>
        </w:tc>
      </w:tr>
      <w:tr w:rsidR="00DC3DE8" w:rsidRPr="00300BD2" w14:paraId="285B2D32"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5A0F098B" w14:textId="77777777" w:rsidR="00DC3DE8" w:rsidRPr="00300BD2" w:rsidRDefault="00DC3DE8" w:rsidP="00946888">
            <w:pPr>
              <w:numPr>
                <w:ilvl w:val="0"/>
                <w:numId w:val="20"/>
              </w:numPr>
              <w:autoSpaceDE/>
              <w:autoSpaceDN/>
              <w:spacing w:after="120" w:line="256" w:lineRule="auto"/>
              <w:contextualSpacing/>
              <w:rPr>
                <w:rFonts w:ascii="Arial" w:hAnsi="Arial" w:cs="Arial"/>
                <w:color w:val="000000"/>
                <w:szCs w:val="20"/>
              </w:rPr>
            </w:pPr>
            <w:r w:rsidRPr="00300BD2">
              <w:rPr>
                <w:rFonts w:ascii="Arial" w:eastAsia="Times New Roman" w:hAnsi="Arial"/>
                <w:color w:val="000000"/>
                <w:szCs w:val="20"/>
              </w:rPr>
              <w:t>Pre-Agreement Costs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DEE040C"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7F1DFF12"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CCF5704"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794A097E"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200.458</w:t>
            </w:r>
          </w:p>
        </w:tc>
      </w:tr>
      <w:tr w:rsidR="00DC3DE8" w:rsidRPr="00300BD2" w14:paraId="1CCDC94B"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4CE1ABE8"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Entertainment</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88CCDD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1CC12319"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386C2AD5"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28B4026D" w14:textId="77777777" w:rsidR="00DC3DE8" w:rsidRPr="00300BD2" w:rsidRDefault="00DC3DE8" w:rsidP="00946888">
            <w:pPr>
              <w:autoSpaceDE/>
              <w:autoSpaceDN/>
              <w:spacing w:line="256" w:lineRule="auto"/>
              <w:rPr>
                <w:rFonts w:ascii="Arial" w:eastAsia="Times New Roman" w:hAnsi="Arial"/>
                <w:color w:val="000000"/>
                <w:szCs w:val="20"/>
              </w:rPr>
            </w:pPr>
            <w:r w:rsidRPr="00300BD2">
              <w:rPr>
                <w:rFonts w:ascii="Arial" w:eastAsia="Times New Roman" w:hAnsi="Arial"/>
                <w:color w:val="000000"/>
                <w:szCs w:val="20"/>
              </w:rPr>
              <w:t xml:space="preserve">2 CFR </w:t>
            </w:r>
            <w:r w:rsidRPr="00300BD2">
              <w:rPr>
                <w:rFonts w:ascii="Arial" w:eastAsia="Times New Roman" w:hAnsi="Arial" w:cs="Arial"/>
                <w:color w:val="000000"/>
                <w:szCs w:val="20"/>
              </w:rPr>
              <w:t>§</w:t>
            </w:r>
            <w:r w:rsidRPr="00300BD2">
              <w:rPr>
                <w:rFonts w:ascii="Arial" w:eastAsia="Times New Roman" w:hAnsi="Arial"/>
                <w:color w:val="000000"/>
                <w:szCs w:val="20"/>
              </w:rPr>
              <w:t>200.438</w:t>
            </w:r>
          </w:p>
        </w:tc>
      </w:tr>
      <w:tr w:rsidR="00DC3DE8" w:rsidRPr="00300BD2" w14:paraId="0F03D1ED" w14:textId="77777777" w:rsidTr="00946888">
        <w:trPr>
          <w:trHeight w:val="255"/>
          <w:jc w:val="center"/>
        </w:trPr>
        <w:tc>
          <w:tcPr>
            <w:tcW w:w="3510" w:type="dxa"/>
            <w:tcBorders>
              <w:top w:val="single" w:sz="12" w:space="0" w:color="auto"/>
              <w:left w:val="single" w:sz="12" w:space="0" w:color="auto"/>
              <w:bottom w:val="single" w:sz="12" w:space="0" w:color="auto"/>
              <w:right w:val="single" w:sz="12" w:space="0" w:color="auto"/>
            </w:tcBorders>
            <w:vAlign w:val="center"/>
            <w:hideMark/>
          </w:tcPr>
          <w:p w14:paraId="1DB016D8" w14:textId="77777777" w:rsidR="00DC3DE8" w:rsidRPr="00300BD2" w:rsidRDefault="00DC3DE8" w:rsidP="00946888">
            <w:pPr>
              <w:numPr>
                <w:ilvl w:val="0"/>
                <w:numId w:val="20"/>
              </w:numPr>
              <w:autoSpaceDE/>
              <w:autoSpaceDN/>
              <w:spacing w:after="120" w:line="256" w:lineRule="auto"/>
              <w:contextualSpacing/>
              <w:rPr>
                <w:rFonts w:ascii="Arial" w:eastAsia="Times New Roman" w:hAnsi="Arial"/>
                <w:color w:val="000000"/>
                <w:szCs w:val="20"/>
              </w:rPr>
            </w:pPr>
            <w:r w:rsidRPr="00300BD2">
              <w:rPr>
                <w:rFonts w:ascii="Arial" w:eastAsia="Times New Roman" w:hAnsi="Arial"/>
                <w:color w:val="000000"/>
                <w:szCs w:val="20"/>
              </w:rPr>
              <w:t>Alcoholic beverages</w:t>
            </w:r>
          </w:p>
        </w:tc>
        <w:tc>
          <w:tcPr>
            <w:tcW w:w="1485" w:type="dxa"/>
            <w:tcBorders>
              <w:top w:val="single" w:sz="12" w:space="0" w:color="auto"/>
              <w:left w:val="single" w:sz="12" w:space="0" w:color="auto"/>
              <w:bottom w:val="single" w:sz="12" w:space="0" w:color="auto"/>
              <w:right w:val="single" w:sz="12" w:space="0" w:color="auto"/>
            </w:tcBorders>
            <w:noWrap/>
            <w:vAlign w:val="center"/>
            <w:hideMark/>
          </w:tcPr>
          <w:p w14:paraId="076912B8"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U</w:t>
            </w:r>
          </w:p>
        </w:tc>
        <w:tc>
          <w:tcPr>
            <w:tcW w:w="1350" w:type="dxa"/>
            <w:tcBorders>
              <w:top w:val="single" w:sz="12" w:space="0" w:color="auto"/>
              <w:left w:val="single" w:sz="12" w:space="0" w:color="auto"/>
              <w:bottom w:val="single" w:sz="12" w:space="0" w:color="auto"/>
              <w:right w:val="single" w:sz="12" w:space="0" w:color="auto"/>
            </w:tcBorders>
            <w:noWrap/>
            <w:vAlign w:val="center"/>
            <w:hideMark/>
          </w:tcPr>
          <w:p w14:paraId="64FFE3CD"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olor w:val="000000"/>
                <w:szCs w:val="20"/>
              </w:rPr>
              <w:t>N</w:t>
            </w:r>
          </w:p>
        </w:tc>
        <w:tc>
          <w:tcPr>
            <w:tcW w:w="1380" w:type="dxa"/>
            <w:tcBorders>
              <w:top w:val="single" w:sz="12" w:space="0" w:color="auto"/>
              <w:left w:val="single" w:sz="12" w:space="0" w:color="auto"/>
              <w:bottom w:val="single" w:sz="12" w:space="0" w:color="auto"/>
              <w:right w:val="single" w:sz="12" w:space="0" w:color="auto"/>
            </w:tcBorders>
            <w:vAlign w:val="center"/>
            <w:hideMark/>
          </w:tcPr>
          <w:p w14:paraId="47D309D6" w14:textId="77777777" w:rsidR="00DC3DE8" w:rsidRPr="00300BD2" w:rsidRDefault="00DC3DE8" w:rsidP="00946888">
            <w:pPr>
              <w:autoSpaceDE/>
              <w:autoSpaceDN/>
              <w:spacing w:line="256" w:lineRule="auto"/>
              <w:jc w:val="center"/>
              <w:rPr>
                <w:rFonts w:ascii="Arial" w:eastAsia="Times New Roman" w:hAnsi="Arial"/>
                <w:color w:val="000000"/>
                <w:szCs w:val="20"/>
              </w:rPr>
            </w:pPr>
            <w:r w:rsidRPr="00300BD2">
              <w:rPr>
                <w:rFonts w:ascii="Arial" w:eastAsia="Times New Roman" w:hAnsi="Arial" w:cs="Arial"/>
                <w:color w:val="000000"/>
                <w:szCs w:val="20"/>
              </w:rPr>
              <w:t>N</w:t>
            </w:r>
          </w:p>
        </w:tc>
        <w:tc>
          <w:tcPr>
            <w:tcW w:w="2295" w:type="dxa"/>
            <w:tcBorders>
              <w:top w:val="single" w:sz="12" w:space="0" w:color="auto"/>
              <w:left w:val="single" w:sz="12" w:space="0" w:color="auto"/>
              <w:bottom w:val="single" w:sz="12" w:space="0" w:color="auto"/>
              <w:right w:val="single" w:sz="12" w:space="0" w:color="auto"/>
            </w:tcBorders>
            <w:noWrap/>
            <w:vAlign w:val="center"/>
            <w:hideMark/>
          </w:tcPr>
          <w:p w14:paraId="062D32D5" w14:textId="77777777" w:rsidR="00DC3DE8" w:rsidRPr="00300BD2" w:rsidRDefault="00DC3DE8" w:rsidP="00946888">
            <w:pPr>
              <w:autoSpaceDE/>
              <w:autoSpaceDN/>
              <w:spacing w:line="256" w:lineRule="auto"/>
              <w:rPr>
                <w:rFonts w:ascii="Arial" w:eastAsia="Times New Roman" w:hAnsi="Arial" w:cs="Arial"/>
                <w:color w:val="000000"/>
                <w:szCs w:val="20"/>
              </w:rPr>
            </w:pPr>
            <w:r w:rsidRPr="00300BD2">
              <w:rPr>
                <w:rFonts w:ascii="Arial" w:eastAsia="Times New Roman" w:hAnsi="Arial" w:cs="Arial"/>
                <w:color w:val="000000"/>
                <w:szCs w:val="20"/>
              </w:rPr>
              <w:t>2 CFR §200.423</w:t>
            </w:r>
          </w:p>
        </w:tc>
      </w:tr>
    </w:tbl>
    <w:p w14:paraId="20991B96" w14:textId="77777777" w:rsidR="00DC3DE8" w:rsidRPr="00300BD2" w:rsidRDefault="00DC3DE8" w:rsidP="00DC3DE8">
      <w:pPr>
        <w:keepNext/>
        <w:autoSpaceDE/>
        <w:autoSpaceDN/>
        <w:spacing w:after="200"/>
        <w:rPr>
          <w:rFonts w:ascii="Arial" w:hAnsi="Arial"/>
          <w:iCs/>
          <w:color w:val="000000"/>
          <w:sz w:val="24"/>
        </w:rPr>
      </w:pPr>
    </w:p>
    <w:p w14:paraId="2CF51866" w14:textId="77777777" w:rsidR="00697D1F" w:rsidRDefault="00697D1F" w:rsidP="00610286">
      <w:pPr>
        <w:autoSpaceDE/>
        <w:rPr>
          <w:b/>
          <w:sz w:val="24"/>
        </w:rPr>
      </w:pPr>
    </w:p>
    <w:p w14:paraId="1EFC3345" w14:textId="77777777" w:rsidR="00DC3DE8" w:rsidRDefault="00DC3DE8" w:rsidP="00610286">
      <w:pPr>
        <w:autoSpaceDE/>
        <w:rPr>
          <w:b/>
          <w:sz w:val="24"/>
        </w:rPr>
      </w:pPr>
    </w:p>
    <w:p w14:paraId="21DA4960" w14:textId="24CF1A53" w:rsidR="004834DB" w:rsidRDefault="004834DB"/>
    <w:sectPr w:rsidR="004834DB" w:rsidSect="004834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1EF62" w14:textId="77777777" w:rsidR="004D020D" w:rsidRDefault="004D020D" w:rsidP="00030D81">
      <w:r>
        <w:separator/>
      </w:r>
    </w:p>
  </w:endnote>
  <w:endnote w:type="continuationSeparator" w:id="0">
    <w:p w14:paraId="428F530F" w14:textId="77777777" w:rsidR="004D020D" w:rsidRDefault="004D020D" w:rsidP="0003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264223"/>
      <w:docPartObj>
        <w:docPartGallery w:val="Page Numbers (Bottom of Page)"/>
        <w:docPartUnique/>
      </w:docPartObj>
    </w:sdtPr>
    <w:sdtEndPr>
      <w:rPr>
        <w:noProof/>
      </w:rPr>
    </w:sdtEndPr>
    <w:sdtContent>
      <w:p w14:paraId="07C35919" w14:textId="01767B60" w:rsidR="004A1FD8" w:rsidRDefault="004A1FD8">
        <w:pPr>
          <w:pStyle w:val="Footer"/>
          <w:jc w:val="center"/>
        </w:pPr>
        <w:r>
          <w:fldChar w:fldCharType="begin"/>
        </w:r>
        <w:r>
          <w:instrText xml:space="preserve"> PAGE   \* MERGEFORMAT </w:instrText>
        </w:r>
        <w:r>
          <w:fldChar w:fldCharType="separate"/>
        </w:r>
        <w:r w:rsidR="00EC37D8">
          <w:rPr>
            <w:noProof/>
          </w:rPr>
          <w:t>1</w:t>
        </w:r>
        <w:r>
          <w:rPr>
            <w:noProof/>
          </w:rPr>
          <w:fldChar w:fldCharType="end"/>
        </w:r>
      </w:p>
    </w:sdtContent>
  </w:sdt>
  <w:p w14:paraId="79401B5F" w14:textId="77777777" w:rsidR="004A1FD8" w:rsidRDefault="004A1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91379" w14:textId="77777777" w:rsidR="004D020D" w:rsidRDefault="004D020D" w:rsidP="00030D81">
      <w:r>
        <w:separator/>
      </w:r>
    </w:p>
  </w:footnote>
  <w:footnote w:type="continuationSeparator" w:id="0">
    <w:p w14:paraId="385FFA67" w14:textId="77777777" w:rsidR="004D020D" w:rsidRDefault="004D020D" w:rsidP="00030D81">
      <w:r>
        <w:continuationSeparator/>
      </w:r>
    </w:p>
  </w:footnote>
  <w:footnote w:id="1">
    <w:p w14:paraId="4DA2C469" w14:textId="407F6683" w:rsidR="004A1FD8" w:rsidRDefault="004A1FD8">
      <w:pPr>
        <w:pStyle w:val="FootnoteText"/>
      </w:pPr>
      <w:r>
        <w:rPr>
          <w:rStyle w:val="FootnoteReference"/>
        </w:rPr>
        <w:footnoteRef/>
      </w:r>
      <w:r>
        <w:t xml:space="preserve"> </w:t>
      </w:r>
      <w:r w:rsidRPr="00183F18">
        <w:rPr>
          <w:rFonts w:ascii="Times New Roman" w:hAnsi="Times New Roman"/>
          <w:sz w:val="22"/>
          <w:szCs w:val="22"/>
        </w:rPr>
        <w:t>2 CFR 200.311(b) Use. Except as otherwise provided by Federal statutes or by the Federal awarding agency, real property will be used for the originally authorized purpose as long as needed for that purpose, during which time the non-Federal entity must not dispose of or encumber its title or other interests.</w:t>
      </w:r>
    </w:p>
  </w:footnote>
  <w:footnote w:id="2">
    <w:p w14:paraId="2CC3FC98"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“C” – Conditional. </w:t>
      </w:r>
    </w:p>
  </w:footnote>
  <w:footnote w:id="3">
    <w:p w14:paraId="75BE2869"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w:t>
      </w:r>
      <w:r w:rsidRPr="00300BD2">
        <w:rPr>
          <w:rFonts w:eastAsia="Times New Roman" w:cs="Arial"/>
          <w:color w:val="000000"/>
        </w:rPr>
        <w:t xml:space="preserve">All professional services costs under these citations </w:t>
      </w:r>
      <w:r w:rsidRPr="00300BD2">
        <w:rPr>
          <w:rFonts w:cs="Arial"/>
          <w:color w:val="000000"/>
        </w:rPr>
        <w:t>must be not be contingent upon recovery of the costs from the federal government.</w:t>
      </w:r>
    </w:p>
  </w:footnote>
  <w:footnote w:id="4">
    <w:p w14:paraId="1B213224"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Appraisal may be waived “…in cases involving the acquisition by sale or donation of property with a low fair market value.” </w:t>
      </w:r>
      <w:r w:rsidRPr="00300BD2">
        <w:rPr>
          <w:rFonts w:eastAsia="Times New Roman"/>
          <w:color w:val="000000"/>
        </w:rPr>
        <w:t>42 USC §4651(2)</w:t>
      </w:r>
    </w:p>
  </w:footnote>
  <w:footnote w:id="5">
    <w:p w14:paraId="638D5B6E"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Requires prior approval from USAEC CAM.</w:t>
      </w:r>
    </w:p>
  </w:footnote>
  <w:footnote w:id="6">
    <w:p w14:paraId="40F96852"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Authorized if cost is deducted from final price of the property interest being acquired. Requires prior approval from installation TCAM.</w:t>
      </w:r>
    </w:p>
  </w:footnote>
  <w:footnote w:id="7">
    <w:p w14:paraId="3B23F811" w14:textId="77777777" w:rsidR="004A1FD8" w:rsidRDefault="004A1FD8" w:rsidP="00DC3DE8">
      <w:pPr>
        <w:pStyle w:val="FootnoteText"/>
      </w:pPr>
      <w:r w:rsidRPr="00300BD2">
        <w:rPr>
          <w:rStyle w:val="FootnoteReference"/>
          <w:color w:val="000000"/>
        </w:rPr>
        <w:footnoteRef/>
      </w:r>
      <w:r w:rsidRPr="00300BD2">
        <w:rPr>
          <w:color w:val="000000"/>
        </w:rPr>
        <w:t xml:space="preserve"> Requires prior approval from HQ IMCOM G4 and only with regulatory relief.</w:t>
      </w:r>
    </w:p>
  </w:footnote>
  <w:footnote w:id="8">
    <w:p w14:paraId="6DF07BB1"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Authorized costs for monitoring are limited to 5% of the property interest fair market value or $20,000, whichever is </w:t>
      </w:r>
      <w:r w:rsidRPr="00300BD2">
        <w:rPr>
          <w:b/>
          <w:i/>
          <w:color w:val="000000"/>
        </w:rPr>
        <w:t>less</w:t>
      </w:r>
      <w:r w:rsidRPr="00300BD2">
        <w:rPr>
          <w:color w:val="000000"/>
        </w:rPr>
        <w:t xml:space="preserve">, paid in a single installment, in advance. </w:t>
      </w:r>
    </w:p>
  </w:footnote>
  <w:footnote w:id="9">
    <w:p w14:paraId="3DC61522"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Partner match for monitoring costs are also limited to 5% of the property interest fair market value or $20,000, whichever is </w:t>
      </w:r>
      <w:r w:rsidRPr="00300BD2">
        <w:rPr>
          <w:b/>
          <w:i/>
          <w:color w:val="000000"/>
        </w:rPr>
        <w:t>less</w:t>
      </w:r>
      <w:r w:rsidRPr="00300BD2">
        <w:rPr>
          <w:color w:val="000000"/>
        </w:rPr>
        <w:t>.</w:t>
      </w:r>
    </w:p>
  </w:footnote>
  <w:footnote w:id="10">
    <w:p w14:paraId="73259F7A"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Considered to be included in the one-time upfront fee.</w:t>
      </w:r>
    </w:p>
  </w:footnote>
  <w:footnote w:id="11">
    <w:p w14:paraId="0563FB44"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Military share of the cost of enforcement is limited to a single installment of $5,000 per parcel, not per incident. </w:t>
      </w:r>
    </w:p>
  </w:footnote>
  <w:footnote w:id="12">
    <w:p w14:paraId="67AB2190"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13">
    <w:p w14:paraId="2B33848E"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Habitat Management actions must be directly related to the ACUB cooperative agreement, in an HQ IMCOM G4 approved management plan, and result in a direct regulatory benefit to the US Army. Specific activities must be identified on the invoice in order to be paid by the Army/DoD. </w:t>
      </w:r>
      <w:r w:rsidRPr="00300BD2">
        <w:rPr>
          <w:rFonts w:eastAsia="Times New Roman"/>
          <w:color w:val="000000"/>
        </w:rPr>
        <w:t xml:space="preserve">Authorized actions include: prescribed burn, invasive species control/removal, pest control, erosion control, wetland delineation, stream determination, species or habitat survey, soil survey, planting / thinning, habitat enhancement (provided specific enhancement is identified), animal or plant propagation/translocation/ reintroduction, soil sampling, and groundwater sampling. Signage, fences, or other controls if these are required in the applicable management plan. </w:t>
      </w:r>
      <w:r w:rsidRPr="00300BD2">
        <w:rPr>
          <w:color w:val="000000"/>
        </w:rPr>
        <w:t xml:space="preserve">Costs must be approved prior to incurring expense. </w:t>
      </w:r>
    </w:p>
  </w:footnote>
  <w:footnote w:id="14">
    <w:p w14:paraId="7270FCFF"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15">
    <w:p w14:paraId="73A6B26D"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16">
    <w:p w14:paraId="5D180019"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17">
    <w:p w14:paraId="7CC8ACB3"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Requires prior approval from HQ IMCOM G4. Partner must demonstrate vehicle purchase is more cost effective than vehicle rental and include percentage of use for ACUB. Vehicle must be pro-rated for life of the CA.</w:t>
      </w:r>
    </w:p>
  </w:footnote>
  <w:footnote w:id="18">
    <w:p w14:paraId="39964544" w14:textId="77777777" w:rsidR="004A1FD8" w:rsidRDefault="004A1FD8" w:rsidP="00DC3DE8">
      <w:pPr>
        <w:pStyle w:val="FootnoteText"/>
      </w:pPr>
      <w:r w:rsidRPr="00300BD2">
        <w:rPr>
          <w:rStyle w:val="FootnoteReference"/>
          <w:color w:val="000000"/>
        </w:rPr>
        <w:footnoteRef/>
      </w:r>
      <w:r w:rsidRPr="00300BD2">
        <w:rPr>
          <w:color w:val="000000"/>
        </w:rPr>
        <w:t xml:space="preserve"> Requires prior approval from HQ IMCOM G4 and OACSIM and only with regulatory relief.</w:t>
      </w:r>
    </w:p>
  </w:footnote>
  <w:footnote w:id="19">
    <w:p w14:paraId="54EC0D74"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Only if partner is actively seeking exemption or is not able to obtain an exemption from property taxes, and requires prior approval from HQ IMCOM G4.</w:t>
      </w:r>
    </w:p>
  </w:footnote>
  <w:footnote w:id="20">
    <w:p w14:paraId="7ECD0D7A"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Requires prior approval from HQ IMCOM G4 (to determine validity of reason for getting the loan).</w:t>
      </w:r>
    </w:p>
  </w:footnote>
  <w:footnote w:id="21">
    <w:p w14:paraId="1B8B0892" w14:textId="77777777" w:rsidR="004A1FD8" w:rsidRPr="00300BD2" w:rsidRDefault="004A1FD8" w:rsidP="00DC3DE8">
      <w:pPr>
        <w:pStyle w:val="FootnoteText"/>
        <w:rPr>
          <w:color w:val="000000"/>
        </w:rPr>
      </w:pPr>
      <w:r>
        <w:rPr>
          <w:rStyle w:val="FootnoteReference"/>
        </w:rPr>
        <w:footnoteRef/>
      </w:r>
      <w:r>
        <w:t xml:space="preserve"> Will not be authorized if partner is exempted under the Single Audit Act due to expenditures under Federal awards being less than $750,000 in a given fiscal year. Will not be authorized if costs for audit services have been included in the calculation of the indirect rate for a given CA. If billed as direct, reimbursable amount of audit costs will be percentage-based and will correlate to what percentage of the $750,000 of expenditures under Federal awards can be directly attributed to furtherance of the ACUB program. For example, if a Partner expends $500,000 (66%) under an ACUB Cooperative Agreement and $250,000 (33%) under an unrelated Federal Agreement, 66% of the audit cost will be reimbursable with ACUB funds. If a Partner expends $750,000 or more under an ACUB Cooperative Agreement for a given fiscal year, audit costs will be covered in-full with ACUB funds. Requires prior approval from HQ IMCOM G4 and may require supporting documentation from the third party auditing entity.</w:t>
      </w:r>
    </w:p>
  </w:footnote>
  <w:footnote w:id="22">
    <w:p w14:paraId="3FD47745"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For travel that requires overnight stays or airline travel, the Partner must submit a travel request to the installation TCAM and receive written pre-approval. Any travel authorized will be capped at the current GSA per diem rates and paid as reimbursement only. All travel costs must “…not exceed charges normally allowed by the non-Federal entity in its regular operations as the result of the non-Federal entity’s written travel policy.” Cost must be at the “…basic least expensive unrestricted accommodations class” (200.474(e)) (2 CFR </w:t>
      </w:r>
      <w:r w:rsidRPr="00300BD2">
        <w:rPr>
          <w:rFonts w:cs="Arial"/>
          <w:color w:val="000000"/>
        </w:rPr>
        <w:t>§</w:t>
      </w:r>
      <w:r w:rsidRPr="00300BD2">
        <w:rPr>
          <w:color w:val="000000"/>
        </w:rPr>
        <w:t>200.474).</w:t>
      </w:r>
    </w:p>
  </w:footnote>
  <w:footnote w:id="23">
    <w:p w14:paraId="54F06EAD" w14:textId="77777777" w:rsidR="004A1FD8" w:rsidRDefault="004A1FD8" w:rsidP="00DC3DE8">
      <w:pPr>
        <w:pStyle w:val="FootnoteText"/>
      </w:pPr>
      <w:r w:rsidRPr="00300BD2">
        <w:rPr>
          <w:rStyle w:val="FootnoteReference"/>
          <w:color w:val="000000"/>
        </w:rPr>
        <w:footnoteRef/>
      </w:r>
      <w:r w:rsidRPr="00300BD2">
        <w:rPr>
          <w:color w:val="000000"/>
        </w:rPr>
        <w:t xml:space="preserve"> Travel must be associated with specific pre-acquisition and acquisition ACUB actions (landowner meetings, conducting due diligence, TCAM meetings, etc.) and not routine administrative or general management tasks for the organization. Prior approval from installation TCAM is not required for daily travel. However, if during the course of daily travel, conversion to “travel status” (overnight stay) is necessitated, the partner must notify the TCAM on the following business day and determine if further authorization is required.</w:t>
      </w:r>
    </w:p>
  </w:footnote>
  <w:footnote w:id="24">
    <w:p w14:paraId="26D2D02B"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Must be labor associated with specific ACUB actions. General administrative labor is included in the negotiated indirect rate. </w:t>
      </w:r>
    </w:p>
  </w:footnote>
  <w:footnote w:id="25">
    <w:p w14:paraId="0088DBFD"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Must be labor associated with specific ACUB actions. General administrative labor is included in the negotiated indirect rate. </w:t>
      </w:r>
    </w:p>
  </w:footnote>
  <w:footnote w:id="26">
    <w:p w14:paraId="1D6C2EA3"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Must be labor associated with specific ACUB actions. General administrative labor is included in the negotiated indirect rate. </w:t>
      </w:r>
    </w:p>
  </w:footnote>
  <w:footnote w:id="27">
    <w:p w14:paraId="5A45DFC2"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Should be included in negotiated indirect rate. If not, may be billed as direct with prior approval from USAEC CAM.</w:t>
      </w:r>
    </w:p>
  </w:footnote>
  <w:footnote w:id="28">
    <w:p w14:paraId="45A5F1D3"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Unallowable except as direct costs with prior approval by the awarding agency.</w:t>
      </w:r>
    </w:p>
  </w:footnote>
  <w:footnote w:id="29">
    <w:p w14:paraId="0A3B13CE" w14:textId="77777777" w:rsidR="004A1FD8" w:rsidRDefault="004A1FD8" w:rsidP="00DC3DE8">
      <w:pPr>
        <w:pStyle w:val="FootnoteText"/>
      </w:pPr>
      <w:r w:rsidRPr="00300BD2">
        <w:rPr>
          <w:rStyle w:val="FootnoteReference"/>
          <w:color w:val="000000"/>
        </w:rPr>
        <w:footnoteRef/>
      </w:r>
      <w:r w:rsidRPr="00300BD2">
        <w:rPr>
          <w:color w:val="000000"/>
        </w:rPr>
        <w:t xml:space="preserve"> Allowable “pursuant to the Federal award”, but not required for ACUB</w:t>
      </w:r>
    </w:p>
  </w:footnote>
  <w:footnote w:id="30">
    <w:p w14:paraId="17738BBF"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Only for “…specific purposes necessary to meet the requirements of the Federal award.” </w:t>
      </w:r>
    </w:p>
  </w:footnote>
  <w:footnote w:id="31">
    <w:p w14:paraId="46C4E3EC"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“A conference is defined as a meeting, retreat, seminar, symposium, workshop or event whose primary purpose is dissemination of technical information beyond the non-Federal entity and is necessary and reasonable for successful performance under the Federal award.” (2 CFR </w:t>
      </w:r>
      <w:r w:rsidRPr="00300BD2">
        <w:rPr>
          <w:rFonts w:eastAsia="Times New Roman" w:cs="Arial"/>
          <w:color w:val="000000"/>
        </w:rPr>
        <w:t>§</w:t>
      </w:r>
      <w:r w:rsidRPr="00300BD2">
        <w:rPr>
          <w:color w:val="000000"/>
        </w:rPr>
        <w:t>200.432)</w:t>
      </w:r>
    </w:p>
  </w:footnote>
  <w:footnote w:id="32">
    <w:p w14:paraId="0A689DCB"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Requires prior approval from HQ IMCOM G4.</w:t>
      </w:r>
    </w:p>
  </w:footnote>
  <w:footnote w:id="33">
    <w:p w14:paraId="6A7A2C0A"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Should be included in negotiated indirect rate. If not, may be billed as direct but must be associated with specific ACUB tasks, projects, or parcels.</w:t>
      </w:r>
    </w:p>
  </w:footnote>
  <w:footnote w:id="34">
    <w:p w14:paraId="6BF87DC8"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Should be included in negotiated indirect rate. If not, may be billed as direct but must be associated with specific ACUB tasks, projects, or parcels.</w:t>
      </w:r>
    </w:p>
  </w:footnote>
  <w:footnote w:id="35">
    <w:p w14:paraId="36FE4F0D" w14:textId="77777777" w:rsidR="004A1FD8" w:rsidRPr="00300BD2" w:rsidRDefault="004A1FD8" w:rsidP="00DC3DE8">
      <w:pPr>
        <w:pStyle w:val="FootnoteText"/>
        <w:rPr>
          <w:color w:val="000000"/>
        </w:rPr>
      </w:pPr>
      <w:r w:rsidRPr="00300BD2">
        <w:rPr>
          <w:rStyle w:val="FootnoteReference"/>
          <w:color w:val="000000"/>
        </w:rPr>
        <w:footnoteRef/>
      </w:r>
      <w:r w:rsidRPr="00300BD2">
        <w:rPr>
          <w:color w:val="000000"/>
        </w:rPr>
        <w:t xml:space="preserve"> Should be included in negotiated indirect rate. If not, may be billed as direct but must be associated with specific ACUB tasks, projects, or parcels.</w:t>
      </w:r>
    </w:p>
  </w:footnote>
  <w:footnote w:id="36">
    <w:p w14:paraId="552B870E" w14:textId="77777777" w:rsidR="004A1FD8" w:rsidRDefault="004A1FD8" w:rsidP="00DC3DE8">
      <w:pPr>
        <w:pStyle w:val="FootnoteText"/>
      </w:pPr>
      <w:r w:rsidRPr="00300BD2">
        <w:rPr>
          <w:rStyle w:val="FootnoteReference"/>
          <w:color w:val="000000"/>
        </w:rPr>
        <w:footnoteRef/>
      </w:r>
      <w:r w:rsidRPr="00300BD2">
        <w:rPr>
          <w:color w:val="000000"/>
        </w:rPr>
        <w:t xml:space="preserve"> The cost of training and education provided for employee development.</w:t>
      </w:r>
    </w:p>
  </w:footnote>
  <w:footnote w:id="37">
    <w:p w14:paraId="01E8FC0E" w14:textId="77777777" w:rsidR="004A1FD8" w:rsidRDefault="004A1FD8" w:rsidP="00DC3DE8">
      <w:pPr>
        <w:pStyle w:val="FootnoteText"/>
      </w:pPr>
      <w:r>
        <w:rPr>
          <w:rStyle w:val="FootnoteReference"/>
        </w:rPr>
        <w:footnoteRef/>
      </w:r>
      <w:r>
        <w:t xml:space="preserve"> Only for ACUB-specific training. Requires prior approval from HQ IMCOM G4.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A439C"/>
    <w:multiLevelType w:val="hybridMultilevel"/>
    <w:tmpl w:val="6502997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D7F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4FD3D8F"/>
    <w:multiLevelType w:val="multilevel"/>
    <w:tmpl w:val="7DEEB16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763D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EDF321E"/>
    <w:multiLevelType w:val="hybridMultilevel"/>
    <w:tmpl w:val="DCFC3F2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F6550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842C49"/>
    <w:multiLevelType w:val="hybridMultilevel"/>
    <w:tmpl w:val="2670E3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A151E"/>
    <w:multiLevelType w:val="hybridMultilevel"/>
    <w:tmpl w:val="9F283D96"/>
    <w:lvl w:ilvl="0" w:tplc="F7ECDE2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363F4"/>
    <w:multiLevelType w:val="hybridMultilevel"/>
    <w:tmpl w:val="E424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C59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D857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762C8B"/>
    <w:multiLevelType w:val="hybridMultilevel"/>
    <w:tmpl w:val="75C0D718"/>
    <w:lvl w:ilvl="0" w:tplc="22CE7E52">
      <w:start w:val="1"/>
      <w:numFmt w:val="decimal"/>
      <w:lvlText w:val="%1."/>
      <w:lvlJc w:val="left"/>
      <w:pPr>
        <w:ind w:left="720" w:hanging="360"/>
      </w:pPr>
      <w:rPr>
        <w:rFonts w:hint="default"/>
        <w:color w:val="444645"/>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976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95627AD"/>
    <w:multiLevelType w:val="multilevel"/>
    <w:tmpl w:val="7916BE0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8"/>
  </w:num>
  <w:num w:numId="3">
    <w:abstractNumId w:val="6"/>
  </w:num>
  <w:num w:numId="4">
    <w:abstractNumId w:val="2"/>
  </w:num>
  <w:num w:numId="5">
    <w:abstractNumId w:val="5"/>
  </w:num>
  <w:num w:numId="6">
    <w:abstractNumId w:val="1"/>
  </w:num>
  <w:num w:numId="7">
    <w:abstractNumId w:val="9"/>
  </w:num>
  <w:num w:numId="8">
    <w:abstractNumId w:val="10"/>
  </w:num>
  <w:num w:numId="9">
    <w:abstractNumId w:val="12"/>
  </w:num>
  <w:num w:numId="10">
    <w:abstractNumId w:val="13"/>
  </w:num>
  <w:num w:numId="11">
    <w:abstractNumId w:val="7"/>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E5"/>
    <w:rsid w:val="00014746"/>
    <w:rsid w:val="00023D36"/>
    <w:rsid w:val="000259AA"/>
    <w:rsid w:val="00030D81"/>
    <w:rsid w:val="00052CC4"/>
    <w:rsid w:val="0006270B"/>
    <w:rsid w:val="000834C2"/>
    <w:rsid w:val="000947B9"/>
    <w:rsid w:val="000B012E"/>
    <w:rsid w:val="000B2766"/>
    <w:rsid w:val="000C09F2"/>
    <w:rsid w:val="000C0D16"/>
    <w:rsid w:val="000C100C"/>
    <w:rsid w:val="000D32A7"/>
    <w:rsid w:val="000D33DC"/>
    <w:rsid w:val="000E1310"/>
    <w:rsid w:val="000E6BB5"/>
    <w:rsid w:val="00127B3C"/>
    <w:rsid w:val="00133C9B"/>
    <w:rsid w:val="001377E7"/>
    <w:rsid w:val="00141990"/>
    <w:rsid w:val="00147933"/>
    <w:rsid w:val="0016500E"/>
    <w:rsid w:val="00174856"/>
    <w:rsid w:val="00194C55"/>
    <w:rsid w:val="001B6B21"/>
    <w:rsid w:val="001C1340"/>
    <w:rsid w:val="001D1602"/>
    <w:rsid w:val="001E250F"/>
    <w:rsid w:val="001E6A57"/>
    <w:rsid w:val="001F7CF0"/>
    <w:rsid w:val="002034E8"/>
    <w:rsid w:val="002130AC"/>
    <w:rsid w:val="00230546"/>
    <w:rsid w:val="00293E51"/>
    <w:rsid w:val="002979CC"/>
    <w:rsid w:val="002A4AFF"/>
    <w:rsid w:val="002B3156"/>
    <w:rsid w:val="002B4220"/>
    <w:rsid w:val="002B7B71"/>
    <w:rsid w:val="002D0653"/>
    <w:rsid w:val="00303A81"/>
    <w:rsid w:val="0030543F"/>
    <w:rsid w:val="00315AFC"/>
    <w:rsid w:val="003165AC"/>
    <w:rsid w:val="00333FAB"/>
    <w:rsid w:val="00382CDE"/>
    <w:rsid w:val="00386E79"/>
    <w:rsid w:val="00387552"/>
    <w:rsid w:val="003926B1"/>
    <w:rsid w:val="0039326A"/>
    <w:rsid w:val="003951BE"/>
    <w:rsid w:val="003B40F3"/>
    <w:rsid w:val="003B596C"/>
    <w:rsid w:val="003C1683"/>
    <w:rsid w:val="003C29F3"/>
    <w:rsid w:val="003D0F57"/>
    <w:rsid w:val="003F20A5"/>
    <w:rsid w:val="003F5D13"/>
    <w:rsid w:val="004070C3"/>
    <w:rsid w:val="004162C8"/>
    <w:rsid w:val="00421902"/>
    <w:rsid w:val="00436586"/>
    <w:rsid w:val="0044271B"/>
    <w:rsid w:val="00462706"/>
    <w:rsid w:val="00465763"/>
    <w:rsid w:val="004834DB"/>
    <w:rsid w:val="00496B49"/>
    <w:rsid w:val="004A1FD8"/>
    <w:rsid w:val="004C1A5A"/>
    <w:rsid w:val="004C2731"/>
    <w:rsid w:val="004C4CB6"/>
    <w:rsid w:val="004D020D"/>
    <w:rsid w:val="004D4B26"/>
    <w:rsid w:val="004D7577"/>
    <w:rsid w:val="004E0AE5"/>
    <w:rsid w:val="004F2FB0"/>
    <w:rsid w:val="004F477A"/>
    <w:rsid w:val="00500BA2"/>
    <w:rsid w:val="0051007B"/>
    <w:rsid w:val="0051316F"/>
    <w:rsid w:val="00541B56"/>
    <w:rsid w:val="00572B6A"/>
    <w:rsid w:val="00582AB0"/>
    <w:rsid w:val="005855AB"/>
    <w:rsid w:val="00587055"/>
    <w:rsid w:val="005975DA"/>
    <w:rsid w:val="005C73CE"/>
    <w:rsid w:val="005E2A5E"/>
    <w:rsid w:val="005F09DE"/>
    <w:rsid w:val="006017CC"/>
    <w:rsid w:val="006051DD"/>
    <w:rsid w:val="00610286"/>
    <w:rsid w:val="006320EF"/>
    <w:rsid w:val="0063584E"/>
    <w:rsid w:val="00641294"/>
    <w:rsid w:val="00654283"/>
    <w:rsid w:val="006578FD"/>
    <w:rsid w:val="006602A5"/>
    <w:rsid w:val="00664D98"/>
    <w:rsid w:val="006663AA"/>
    <w:rsid w:val="00673CCA"/>
    <w:rsid w:val="00686C4E"/>
    <w:rsid w:val="00696D23"/>
    <w:rsid w:val="00697D1F"/>
    <w:rsid w:val="006A12A9"/>
    <w:rsid w:val="006A4EF8"/>
    <w:rsid w:val="006B101A"/>
    <w:rsid w:val="006B2C2C"/>
    <w:rsid w:val="006B44D0"/>
    <w:rsid w:val="006B66DD"/>
    <w:rsid w:val="006C4A66"/>
    <w:rsid w:val="006D5332"/>
    <w:rsid w:val="006E1369"/>
    <w:rsid w:val="006E6C15"/>
    <w:rsid w:val="00700778"/>
    <w:rsid w:val="007012F8"/>
    <w:rsid w:val="00702C28"/>
    <w:rsid w:val="007050E5"/>
    <w:rsid w:val="00717506"/>
    <w:rsid w:val="00725F86"/>
    <w:rsid w:val="0073357E"/>
    <w:rsid w:val="00737E38"/>
    <w:rsid w:val="00744132"/>
    <w:rsid w:val="00747754"/>
    <w:rsid w:val="00753FAB"/>
    <w:rsid w:val="00761406"/>
    <w:rsid w:val="007616F5"/>
    <w:rsid w:val="0076636B"/>
    <w:rsid w:val="0076782A"/>
    <w:rsid w:val="00771199"/>
    <w:rsid w:val="00782ED2"/>
    <w:rsid w:val="007915FB"/>
    <w:rsid w:val="007A234F"/>
    <w:rsid w:val="007B4C3D"/>
    <w:rsid w:val="007C2A0E"/>
    <w:rsid w:val="007C5418"/>
    <w:rsid w:val="00801DFA"/>
    <w:rsid w:val="00811789"/>
    <w:rsid w:val="008144E3"/>
    <w:rsid w:val="00821342"/>
    <w:rsid w:val="00826FAA"/>
    <w:rsid w:val="008322F4"/>
    <w:rsid w:val="0083380D"/>
    <w:rsid w:val="00834EE2"/>
    <w:rsid w:val="00834F7B"/>
    <w:rsid w:val="00836D28"/>
    <w:rsid w:val="00860244"/>
    <w:rsid w:val="00864FEF"/>
    <w:rsid w:val="00870655"/>
    <w:rsid w:val="00883E34"/>
    <w:rsid w:val="008871DC"/>
    <w:rsid w:val="00890361"/>
    <w:rsid w:val="008B59AF"/>
    <w:rsid w:val="008C072A"/>
    <w:rsid w:val="008C36EE"/>
    <w:rsid w:val="008D3DE1"/>
    <w:rsid w:val="008F3688"/>
    <w:rsid w:val="009070C2"/>
    <w:rsid w:val="00927EF7"/>
    <w:rsid w:val="00946888"/>
    <w:rsid w:val="0096766D"/>
    <w:rsid w:val="009719E6"/>
    <w:rsid w:val="00972135"/>
    <w:rsid w:val="00975AF4"/>
    <w:rsid w:val="009A368B"/>
    <w:rsid w:val="009A5C24"/>
    <w:rsid w:val="009B77BB"/>
    <w:rsid w:val="009C591D"/>
    <w:rsid w:val="009D21D0"/>
    <w:rsid w:val="009F3CE7"/>
    <w:rsid w:val="009F7BEB"/>
    <w:rsid w:val="00A03C27"/>
    <w:rsid w:val="00A12B10"/>
    <w:rsid w:val="00A1563D"/>
    <w:rsid w:val="00A34475"/>
    <w:rsid w:val="00A4632D"/>
    <w:rsid w:val="00A4717F"/>
    <w:rsid w:val="00A47423"/>
    <w:rsid w:val="00A675E8"/>
    <w:rsid w:val="00A857D1"/>
    <w:rsid w:val="00A85A7A"/>
    <w:rsid w:val="00A96C1F"/>
    <w:rsid w:val="00AC1E4C"/>
    <w:rsid w:val="00AC5D83"/>
    <w:rsid w:val="00AD4449"/>
    <w:rsid w:val="00AE3272"/>
    <w:rsid w:val="00AF219A"/>
    <w:rsid w:val="00B00FF3"/>
    <w:rsid w:val="00B145F5"/>
    <w:rsid w:val="00B14B25"/>
    <w:rsid w:val="00B178E6"/>
    <w:rsid w:val="00B402F4"/>
    <w:rsid w:val="00B426EA"/>
    <w:rsid w:val="00B5313E"/>
    <w:rsid w:val="00B654DA"/>
    <w:rsid w:val="00B67EB1"/>
    <w:rsid w:val="00B7483A"/>
    <w:rsid w:val="00B76602"/>
    <w:rsid w:val="00BA7EB1"/>
    <w:rsid w:val="00BB54D4"/>
    <w:rsid w:val="00BB5E8C"/>
    <w:rsid w:val="00BD3D65"/>
    <w:rsid w:val="00BE2FDC"/>
    <w:rsid w:val="00BF1792"/>
    <w:rsid w:val="00C11108"/>
    <w:rsid w:val="00C30CBF"/>
    <w:rsid w:val="00C35717"/>
    <w:rsid w:val="00C60433"/>
    <w:rsid w:val="00C60D1A"/>
    <w:rsid w:val="00C64526"/>
    <w:rsid w:val="00C86DA3"/>
    <w:rsid w:val="00CB11C8"/>
    <w:rsid w:val="00CE7B89"/>
    <w:rsid w:val="00CF1D4A"/>
    <w:rsid w:val="00D0292E"/>
    <w:rsid w:val="00D075F2"/>
    <w:rsid w:val="00D11C8F"/>
    <w:rsid w:val="00D4590B"/>
    <w:rsid w:val="00D8217E"/>
    <w:rsid w:val="00D84436"/>
    <w:rsid w:val="00D87F7D"/>
    <w:rsid w:val="00D93D58"/>
    <w:rsid w:val="00DC16B7"/>
    <w:rsid w:val="00DC3DE8"/>
    <w:rsid w:val="00DE4244"/>
    <w:rsid w:val="00DE734B"/>
    <w:rsid w:val="00DF45E8"/>
    <w:rsid w:val="00E02DC0"/>
    <w:rsid w:val="00E02E8E"/>
    <w:rsid w:val="00E639DA"/>
    <w:rsid w:val="00E6753D"/>
    <w:rsid w:val="00E746A6"/>
    <w:rsid w:val="00E80096"/>
    <w:rsid w:val="00E92360"/>
    <w:rsid w:val="00E95DAE"/>
    <w:rsid w:val="00EA4054"/>
    <w:rsid w:val="00EB08C7"/>
    <w:rsid w:val="00EC37D8"/>
    <w:rsid w:val="00EF6A8F"/>
    <w:rsid w:val="00F05C1F"/>
    <w:rsid w:val="00F1040D"/>
    <w:rsid w:val="00F33099"/>
    <w:rsid w:val="00F56DD4"/>
    <w:rsid w:val="00F57A1A"/>
    <w:rsid w:val="00F57EBC"/>
    <w:rsid w:val="00F76F03"/>
    <w:rsid w:val="00FA51D6"/>
    <w:rsid w:val="00FA7982"/>
    <w:rsid w:val="00FB25B3"/>
    <w:rsid w:val="00FC038D"/>
    <w:rsid w:val="00FD1DD7"/>
    <w:rsid w:val="00FD31EF"/>
    <w:rsid w:val="00FE3A9C"/>
    <w:rsid w:val="00FE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2591"/>
  <w15:docId w15:val="{3746A902-AB0A-45C6-81A5-B26D22F8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0E5"/>
    <w:pPr>
      <w:autoSpaceDE w:val="0"/>
      <w:autoSpaceDN w:val="0"/>
      <w:spacing w:after="0" w:line="240" w:lineRule="auto"/>
    </w:pPr>
    <w:rPr>
      <w:rFonts w:ascii="Times New Roman" w:eastAsia="Calibri"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70655"/>
    <w:rPr>
      <w:sz w:val="16"/>
      <w:szCs w:val="16"/>
    </w:rPr>
  </w:style>
  <w:style w:type="paragraph" w:styleId="CommentText">
    <w:name w:val="annotation text"/>
    <w:basedOn w:val="Normal"/>
    <w:link w:val="CommentTextChar"/>
    <w:uiPriority w:val="99"/>
    <w:unhideWhenUsed/>
    <w:rsid w:val="00870655"/>
    <w:rPr>
      <w:szCs w:val="20"/>
    </w:rPr>
  </w:style>
  <w:style w:type="character" w:customStyle="1" w:styleId="CommentTextChar">
    <w:name w:val="Comment Text Char"/>
    <w:basedOn w:val="DefaultParagraphFont"/>
    <w:link w:val="CommentText"/>
    <w:uiPriority w:val="99"/>
    <w:rsid w:val="0087065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0655"/>
    <w:rPr>
      <w:b/>
      <w:bCs/>
    </w:rPr>
  </w:style>
  <w:style w:type="character" w:customStyle="1" w:styleId="CommentSubjectChar">
    <w:name w:val="Comment Subject Char"/>
    <w:basedOn w:val="CommentTextChar"/>
    <w:link w:val="CommentSubject"/>
    <w:uiPriority w:val="99"/>
    <w:semiHidden/>
    <w:rsid w:val="0087065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70655"/>
    <w:rPr>
      <w:rFonts w:ascii="Tahoma" w:hAnsi="Tahoma" w:cs="Tahoma"/>
      <w:sz w:val="16"/>
      <w:szCs w:val="16"/>
    </w:rPr>
  </w:style>
  <w:style w:type="character" w:customStyle="1" w:styleId="BalloonTextChar">
    <w:name w:val="Balloon Text Char"/>
    <w:basedOn w:val="DefaultParagraphFont"/>
    <w:link w:val="BalloonText"/>
    <w:uiPriority w:val="99"/>
    <w:semiHidden/>
    <w:rsid w:val="00870655"/>
    <w:rPr>
      <w:rFonts w:ascii="Tahoma" w:eastAsia="Calibri" w:hAnsi="Tahoma" w:cs="Tahoma"/>
      <w:sz w:val="16"/>
      <w:szCs w:val="16"/>
    </w:rPr>
  </w:style>
  <w:style w:type="paragraph" w:styleId="ListParagraph">
    <w:name w:val="List Paragraph"/>
    <w:basedOn w:val="Normal"/>
    <w:uiPriority w:val="99"/>
    <w:qFormat/>
    <w:rsid w:val="00F57EBC"/>
    <w:pPr>
      <w:ind w:left="720"/>
      <w:contextualSpacing/>
    </w:pPr>
  </w:style>
  <w:style w:type="paragraph" w:styleId="FootnoteText">
    <w:name w:val="footnote text"/>
    <w:basedOn w:val="Normal"/>
    <w:link w:val="FootnoteTextChar"/>
    <w:semiHidden/>
    <w:unhideWhenUsed/>
    <w:rsid w:val="00030D81"/>
    <w:pPr>
      <w:autoSpaceDE/>
      <w:autoSpaceDN/>
    </w:pPr>
    <w:rPr>
      <w:rFonts w:ascii="Arial" w:hAnsi="Arial"/>
      <w:szCs w:val="20"/>
    </w:rPr>
  </w:style>
  <w:style w:type="character" w:customStyle="1" w:styleId="FootnoteTextChar">
    <w:name w:val="Footnote Text Char"/>
    <w:basedOn w:val="DefaultParagraphFont"/>
    <w:link w:val="FootnoteText"/>
    <w:semiHidden/>
    <w:rsid w:val="00030D81"/>
    <w:rPr>
      <w:rFonts w:ascii="Arial" w:eastAsia="Calibri" w:hAnsi="Arial" w:cs="Times New Roman"/>
      <w:sz w:val="20"/>
      <w:szCs w:val="20"/>
    </w:rPr>
  </w:style>
  <w:style w:type="character" w:styleId="FootnoteReference">
    <w:name w:val="footnote reference"/>
    <w:basedOn w:val="DefaultParagraphFont"/>
    <w:unhideWhenUsed/>
    <w:rsid w:val="00030D81"/>
    <w:rPr>
      <w:vertAlign w:val="superscript"/>
    </w:rPr>
  </w:style>
  <w:style w:type="paragraph" w:styleId="PlainText">
    <w:name w:val="Plain Text"/>
    <w:basedOn w:val="Normal"/>
    <w:link w:val="PlainTextChar"/>
    <w:uiPriority w:val="99"/>
    <w:unhideWhenUsed/>
    <w:rsid w:val="00A85A7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5A7A"/>
    <w:rPr>
      <w:rFonts w:ascii="Consolas" w:hAnsi="Consolas"/>
      <w:sz w:val="21"/>
      <w:szCs w:val="21"/>
    </w:rPr>
  </w:style>
  <w:style w:type="table" w:styleId="TableGrid">
    <w:name w:val="Table Grid"/>
    <w:basedOn w:val="TableNormal"/>
    <w:uiPriority w:val="39"/>
    <w:rsid w:val="00DC3D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A1A"/>
    <w:pPr>
      <w:tabs>
        <w:tab w:val="center" w:pos="4680"/>
        <w:tab w:val="right" w:pos="9360"/>
      </w:tabs>
    </w:pPr>
  </w:style>
  <w:style w:type="character" w:customStyle="1" w:styleId="HeaderChar">
    <w:name w:val="Header Char"/>
    <w:basedOn w:val="DefaultParagraphFont"/>
    <w:link w:val="Header"/>
    <w:uiPriority w:val="99"/>
    <w:rsid w:val="00F57A1A"/>
    <w:rPr>
      <w:rFonts w:ascii="Times New Roman" w:eastAsia="Calibri" w:hAnsi="Times New Roman" w:cs="Times New Roman"/>
      <w:sz w:val="20"/>
      <w:szCs w:val="24"/>
    </w:rPr>
  </w:style>
  <w:style w:type="paragraph" w:styleId="Footer">
    <w:name w:val="footer"/>
    <w:basedOn w:val="Normal"/>
    <w:link w:val="FooterChar"/>
    <w:uiPriority w:val="99"/>
    <w:unhideWhenUsed/>
    <w:rsid w:val="00F57A1A"/>
    <w:pPr>
      <w:tabs>
        <w:tab w:val="center" w:pos="4680"/>
        <w:tab w:val="right" w:pos="9360"/>
      </w:tabs>
    </w:pPr>
  </w:style>
  <w:style w:type="character" w:customStyle="1" w:styleId="FooterChar">
    <w:name w:val="Footer Char"/>
    <w:basedOn w:val="DefaultParagraphFont"/>
    <w:link w:val="Footer"/>
    <w:uiPriority w:val="99"/>
    <w:rsid w:val="00F57A1A"/>
    <w:rPr>
      <w:rFonts w:ascii="Times New Roman" w:eastAsia="Calibri" w:hAnsi="Times New Roman" w:cs="Times New Roman"/>
      <w:sz w:val="20"/>
      <w:szCs w:val="24"/>
    </w:rPr>
  </w:style>
  <w:style w:type="character" w:styleId="Hyperlink">
    <w:name w:val="Hyperlink"/>
    <w:basedOn w:val="DefaultParagraphFont"/>
    <w:uiPriority w:val="99"/>
    <w:unhideWhenUsed/>
    <w:rsid w:val="008D3D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8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7BBC6-3E95-4300-819D-77E00C6C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6629</Words>
  <Characters>37790</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susan.james4</dc:creator>
  <cp:keywords/>
  <dc:description/>
  <cp:lastModifiedBy>Marico Sellers</cp:lastModifiedBy>
  <cp:revision>2</cp:revision>
  <dcterms:created xsi:type="dcterms:W3CDTF">2021-04-02T13:20:00Z</dcterms:created>
  <dcterms:modified xsi:type="dcterms:W3CDTF">2021-04-02T13:20:00Z</dcterms:modified>
</cp:coreProperties>
</file>