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92016806"/>
        <w:docPartObj>
          <w:docPartGallery w:val="Cover Pages"/>
          <w:docPartUnique/>
        </w:docPartObj>
      </w:sdtPr>
      <w:sdtEndPr>
        <w:rPr>
          <w:lang w:val="en-GB"/>
        </w:rPr>
      </w:sdtEndPr>
      <w:sdtContent>
        <w:p w14:paraId="395D3B4E" w14:textId="77777777" w:rsidR="00B46DD0" w:rsidRDefault="00B46DD0" w:rsidP="00C81505">
          <w:pPr>
            <w:spacing w:line="360" w:lineRule="auto"/>
          </w:pPr>
        </w:p>
        <w:p w14:paraId="48B8ED43" w14:textId="738B72BA" w:rsidR="00B46DD0" w:rsidRDefault="006D13FC" w:rsidP="00C81505">
          <w:pPr>
            <w:spacing w:line="360" w:lineRule="auto"/>
            <w:rPr>
              <w:lang w:val="en-GB"/>
            </w:rPr>
          </w:pPr>
          <w:r>
            <w:rPr>
              <w:noProof/>
            </w:rPr>
            <mc:AlternateContent>
              <mc:Choice Requires="wps">
                <w:drawing>
                  <wp:anchor distT="0" distB="0" distL="182880" distR="182880" simplePos="0" relativeHeight="251660288" behindDoc="0" locked="0" layoutInCell="1" allowOverlap="1" wp14:anchorId="1288F9DC" wp14:editId="096E9D0B">
                    <wp:simplePos x="0" y="0"/>
                    <mc:AlternateContent>
                      <mc:Choice Requires="wp14">
                        <wp:positionH relativeFrom="margin">
                          <wp14:pctPosHOffset>7700</wp14:pctPosHOffset>
                        </wp:positionH>
                      </mc:Choice>
                      <mc:Fallback>
                        <wp:positionH relativeFrom="page">
                          <wp:posOffset>1343025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5027930" cy="2130425"/>
                    <wp:effectExtent l="0" t="0" r="0" b="0"/>
                    <wp:wrapSquare wrapText="bothSides"/>
                    <wp:docPr id="131" name="Textfeld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7930" cy="2130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CCB714" w14:textId="77777777" w:rsidR="00D17E2F" w:rsidRPr="00B46DD0" w:rsidRDefault="00D17E2F">
                                <w:pPr>
                                  <w:pStyle w:val="KeinLeerraum"/>
                                  <w:spacing w:before="40" w:after="560" w:line="216" w:lineRule="auto"/>
                                  <w:rPr>
                                    <w:color w:val="4472C4" w:themeColor="accent1"/>
                                    <w:sz w:val="72"/>
                                    <w:szCs w:val="72"/>
                                    <w:lang w:val="en-GB"/>
                                  </w:rPr>
                                </w:pPr>
                                <w:sdt>
                                  <w:sdtPr>
                                    <w:rPr>
                                      <w:color w:val="4472C4" w:themeColor="accent1"/>
                                      <w:sz w:val="72"/>
                                      <w:szCs w:val="72"/>
                                      <w:lang w:val="en-GB"/>
                                    </w:rPr>
                                    <w:alias w:val="Titel"/>
                                    <w:tag w:val=""/>
                                    <w:id w:val="151731938"/>
                                    <w:dataBinding w:prefixMappings="xmlns:ns0='http://purl.org/dc/elements/1.1/' xmlns:ns1='http://schemas.openxmlformats.org/package/2006/metadata/core-properties' " w:xpath="/ns1:coreProperties[1]/ns0:title[1]" w:storeItemID="{6C3C8BC8-F283-45AE-878A-BAB7291924A1}"/>
                                    <w:text/>
                                  </w:sdtPr>
                                  <w:sdtContent>
                                    <w:r w:rsidRPr="00B46DD0">
                                      <w:rPr>
                                        <w:color w:val="4472C4" w:themeColor="accent1"/>
                                        <w:sz w:val="72"/>
                                        <w:szCs w:val="72"/>
                                        <w:lang w:val="en-GB"/>
                                      </w:rPr>
                                      <w:t>Judgement-drafting and Training o</w:t>
                                    </w:r>
                                    <w:r>
                                      <w:rPr>
                                        <w:color w:val="4472C4" w:themeColor="accent1"/>
                                        <w:sz w:val="72"/>
                                        <w:szCs w:val="72"/>
                                        <w:lang w:val="en-GB"/>
                                      </w:rPr>
                                      <w:t>n Legal Writing in the Republic of Moldova</w:t>
                                    </w:r>
                                  </w:sdtContent>
                                </w:sdt>
                              </w:p>
                              <w:sdt>
                                <w:sdtPr>
                                  <w:rPr>
                                    <w:caps/>
                                    <w:color w:val="1F4E79" w:themeColor="accent5" w:themeShade="80"/>
                                    <w:sz w:val="28"/>
                                    <w:szCs w:val="28"/>
                                  </w:rPr>
                                  <w:alias w:val="Untertitel"/>
                                  <w:tag w:val=""/>
                                  <w:id w:val="-2090151685"/>
                                  <w:showingPlcHdr/>
                                  <w:dataBinding w:prefixMappings="xmlns:ns0='http://purl.org/dc/elements/1.1/' xmlns:ns1='http://schemas.openxmlformats.org/package/2006/metadata/core-properties' " w:xpath="/ns1:coreProperties[1]/ns0:subject[1]" w:storeItemID="{6C3C8BC8-F283-45AE-878A-BAB7291924A1}"/>
                                  <w:text/>
                                </w:sdtPr>
                                <w:sdtContent>
                                  <w:p w14:paraId="64984664" w14:textId="77777777" w:rsidR="00D17E2F" w:rsidRPr="00B46DD0" w:rsidRDefault="00D17E2F" w:rsidP="00B46DD0">
                                    <w:pPr>
                                      <w:pStyle w:val="KeinLeerraum"/>
                                      <w:spacing w:before="40" w:after="40"/>
                                      <w:rPr>
                                        <w:caps/>
                                        <w:color w:val="1F4E79" w:themeColor="accent5" w:themeShade="80"/>
                                        <w:sz w:val="28"/>
                                        <w:szCs w:val="28"/>
                                      </w:rPr>
                                    </w:pPr>
                                    <w:r>
                                      <w:rPr>
                                        <w:caps/>
                                        <w:color w:val="1F4E79" w:themeColor="accent5" w:themeShade="80"/>
                                        <w:sz w:val="28"/>
                                        <w:szCs w:val="28"/>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1288F9DC" id="_x0000_t202" coordsize="21600,21600" o:spt="202" path="m,l,21600r21600,l21600,xe">
                    <v:stroke joinstyle="miter"/>
                    <v:path gradientshapeok="t" o:connecttype="rect"/>
                  </v:shapetype>
                  <v:shape id="Textfeld 131" o:spid="_x0000_s1026" type="#_x0000_t202" style="position:absolute;margin-left:0;margin-top:0;width:395.9pt;height:167.75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" filled="f" stroked="f" strokeweight=".5pt">
                    <v:textbox style="mso-fit-shape-to-text:t" inset="0,0,0,0">
                      <w:txbxContent>
                        <w:p w14:paraId="4CCCB714" w14:textId="77777777" w:rsidR="00D17E2F" w:rsidRPr="00B46DD0" w:rsidRDefault="00D17E2F">
                          <w:pPr>
                            <w:pStyle w:val="KeinLeerraum"/>
                            <w:spacing w:before="40" w:after="560" w:line="216" w:lineRule="auto"/>
                            <w:rPr>
                              <w:color w:val="4472C4" w:themeColor="accent1"/>
                              <w:sz w:val="72"/>
                              <w:szCs w:val="72"/>
                              <w:lang w:val="en-GB"/>
                            </w:rPr>
                          </w:pPr>
                          <w:sdt>
                            <w:sdtPr>
                              <w:rPr>
                                <w:color w:val="4472C4" w:themeColor="accent1"/>
                                <w:sz w:val="72"/>
                                <w:szCs w:val="72"/>
                                <w:lang w:val="en-GB"/>
                              </w:rPr>
                              <w:alias w:val="Titel"/>
                              <w:tag w:val=""/>
                              <w:id w:val="151731938"/>
                              <w:dataBinding w:prefixMappings="xmlns:ns0='http://purl.org/dc/elements/1.1/' xmlns:ns1='http://schemas.openxmlformats.org/package/2006/metadata/core-properties' " w:xpath="/ns1:coreProperties[1]/ns0:title[1]" w:storeItemID="{6C3C8BC8-F283-45AE-878A-BAB7291924A1}"/>
                              <w:text/>
                            </w:sdtPr>
                            <w:sdtContent>
                              <w:r w:rsidRPr="00B46DD0">
                                <w:rPr>
                                  <w:color w:val="4472C4" w:themeColor="accent1"/>
                                  <w:sz w:val="72"/>
                                  <w:szCs w:val="72"/>
                                  <w:lang w:val="en-GB"/>
                                </w:rPr>
                                <w:t>Judgement-drafting and Training o</w:t>
                              </w:r>
                              <w:r>
                                <w:rPr>
                                  <w:color w:val="4472C4" w:themeColor="accent1"/>
                                  <w:sz w:val="72"/>
                                  <w:szCs w:val="72"/>
                                  <w:lang w:val="en-GB"/>
                                </w:rPr>
                                <w:t>n Legal Writing in the Republic of Moldova</w:t>
                              </w:r>
                            </w:sdtContent>
                          </w:sdt>
                        </w:p>
                        <w:sdt>
                          <w:sdtPr>
                            <w:rPr>
                              <w:caps/>
                              <w:color w:val="1F4E79" w:themeColor="accent5" w:themeShade="80"/>
                              <w:sz w:val="28"/>
                              <w:szCs w:val="28"/>
                            </w:rPr>
                            <w:alias w:val="Untertitel"/>
                            <w:tag w:val=""/>
                            <w:id w:val="-2090151685"/>
                            <w:showingPlcHdr/>
                            <w:dataBinding w:prefixMappings="xmlns:ns0='http://purl.org/dc/elements/1.1/' xmlns:ns1='http://schemas.openxmlformats.org/package/2006/metadata/core-properties' " w:xpath="/ns1:coreProperties[1]/ns0:subject[1]" w:storeItemID="{6C3C8BC8-F283-45AE-878A-BAB7291924A1}"/>
                            <w:text/>
                          </w:sdtPr>
                          <w:sdtContent>
                            <w:p w14:paraId="64984664" w14:textId="77777777" w:rsidR="00D17E2F" w:rsidRPr="00B46DD0" w:rsidRDefault="00D17E2F" w:rsidP="00B46DD0">
                              <w:pPr>
                                <w:pStyle w:val="KeinLeerraum"/>
                                <w:spacing w:before="40" w:after="40"/>
                                <w:rPr>
                                  <w:caps/>
                                  <w:color w:val="1F4E79" w:themeColor="accent5" w:themeShade="80"/>
                                  <w:sz w:val="28"/>
                                  <w:szCs w:val="28"/>
                                </w:rPr>
                              </w:pPr>
                              <w:r>
                                <w:rPr>
                                  <w:caps/>
                                  <w:color w:val="1F4E79" w:themeColor="accent5" w:themeShade="80"/>
                                  <w:sz w:val="28"/>
                                  <w:szCs w:val="28"/>
                                </w:rPr>
                                <w:t xml:space="preserve">     </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2BE624AC" wp14:editId="7A823D5E">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74040" cy="1044575"/>
                    <wp:effectExtent l="0" t="0" r="0" b="0"/>
                    <wp:wrapNone/>
                    <wp:docPr id="132" name="Rechteck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74040" cy="10445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Jahr"/>
                                  <w:tag w:val=""/>
                                  <w:id w:val="-785116381"/>
                                  <w:dataBinding w:prefixMappings="xmlns:ns0='http://schemas.microsoft.com/office/2006/coverPageProps' " w:xpath="/ns0:CoverPageProperties[1]/ns0:PublishDate[1]" w:storeItemID="{55AF091B-3C7A-41E3-B477-F2FDAA23CFDA}"/>
                                  <w:date w:fullDate="2019-02-05T00:00:00Z">
                                    <w:dateFormat w:val="yyyy"/>
                                    <w:lid w:val="de-DE"/>
                                    <w:storeMappedDataAs w:val="dateTime"/>
                                    <w:calendar w:val="gregorian"/>
                                  </w:date>
                                </w:sdtPr>
                                <w:sdtContent>
                                  <w:p w14:paraId="3A55D315" w14:textId="77777777" w:rsidR="00D17E2F" w:rsidRDefault="00D17E2F">
                                    <w:pPr>
                                      <w:pStyle w:val="KeinLeerraum"/>
                                      <w:jc w:val="right"/>
                                      <w:rPr>
                                        <w:color w:val="FFFFFF" w:themeColor="background1"/>
                                        <w:sz w:val="24"/>
                                        <w:szCs w:val="24"/>
                                      </w:rPr>
                                    </w:pPr>
                                    <w:r>
                                      <w:rPr>
                                        <w:color w:val="FFFFFF" w:themeColor="background1"/>
                                        <w:sz w:val="24"/>
                                        <w:szCs w:val="24"/>
                                      </w:rPr>
                                      <w:t>2019</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2BE624AC" id="Rechteck 132" o:spid="_x0000_s1027" style="position:absolute;margin-left:-6pt;margin-top:0;width:45.2pt;height:82.2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" fillcolor="#4472c4 [3204]" stroked="f" strokeweight="1pt">
                    <o:lock v:ext="edit" aspectratio="t"/>
                    <v:textbox inset="3.6pt,,3.6pt">
                      <w:txbxContent>
                        <w:sdt>
                          <w:sdtPr>
                            <w:rPr>
                              <w:color w:val="FFFFFF" w:themeColor="background1"/>
                              <w:sz w:val="24"/>
                              <w:szCs w:val="24"/>
                            </w:rPr>
                            <w:alias w:val="Jahr"/>
                            <w:tag w:val=""/>
                            <w:id w:val="-785116381"/>
                            <w:dataBinding w:prefixMappings="xmlns:ns0='http://schemas.microsoft.com/office/2006/coverPageProps' " w:xpath="/ns0:CoverPageProperties[1]/ns0:PublishDate[1]" w:storeItemID="{55AF091B-3C7A-41E3-B477-F2FDAA23CFDA}"/>
                            <w:date w:fullDate="2019-02-05T00:00:00Z">
                              <w:dateFormat w:val="yyyy"/>
                              <w:lid w:val="de-DE"/>
                              <w:storeMappedDataAs w:val="dateTime"/>
                              <w:calendar w:val="gregorian"/>
                            </w:date>
                          </w:sdtPr>
                          <w:sdtContent>
                            <w:p w14:paraId="3A55D315" w14:textId="77777777" w:rsidR="00D17E2F" w:rsidRDefault="00D17E2F">
                              <w:pPr>
                                <w:pStyle w:val="KeinLeerraum"/>
                                <w:jc w:val="right"/>
                                <w:rPr>
                                  <w:color w:val="FFFFFF" w:themeColor="background1"/>
                                  <w:sz w:val="24"/>
                                  <w:szCs w:val="24"/>
                                </w:rPr>
                              </w:pPr>
                              <w:r>
                                <w:rPr>
                                  <w:color w:val="FFFFFF" w:themeColor="background1"/>
                                  <w:sz w:val="24"/>
                                  <w:szCs w:val="24"/>
                                </w:rPr>
                                <w:t>2019</w:t>
                              </w:r>
                            </w:p>
                          </w:sdtContent>
                        </w:sdt>
                      </w:txbxContent>
                    </v:textbox>
                    <w10:wrap anchorx="margin" anchory="page"/>
                  </v:rect>
                </w:pict>
              </mc:Fallback>
            </mc:AlternateContent>
          </w:r>
          <w:r w:rsidR="00B46DD0">
            <w:rPr>
              <w:lang w:val="en-GB"/>
            </w:rPr>
            <w:br w:type="page"/>
          </w:r>
        </w:p>
      </w:sdtContent>
    </w:sdt>
    <w:sdt>
      <w:sdtPr>
        <w:rPr>
          <w:rFonts w:asciiTheme="minorHAnsi" w:eastAsiaTheme="minorHAnsi" w:hAnsiTheme="minorHAnsi" w:cstheme="minorBidi"/>
          <w:color w:val="auto"/>
          <w:sz w:val="22"/>
          <w:szCs w:val="22"/>
          <w:lang w:eastAsia="en-US"/>
        </w:rPr>
        <w:id w:val="1706359363"/>
        <w:docPartObj>
          <w:docPartGallery w:val="Table of Contents"/>
          <w:docPartUnique/>
        </w:docPartObj>
      </w:sdtPr>
      <w:sdtEndPr>
        <w:rPr>
          <w:b/>
          <w:bCs/>
        </w:rPr>
      </w:sdtEndPr>
      <w:sdtContent>
        <w:p w14:paraId="7972F994" w14:textId="77777777" w:rsidR="006840FC" w:rsidRDefault="006840FC">
          <w:pPr>
            <w:pStyle w:val="Inhaltsverzeichnisberschrift"/>
          </w:pPr>
          <w:r>
            <w:t>Content</w:t>
          </w:r>
        </w:p>
        <w:p w14:paraId="4ADDA597" w14:textId="77777777" w:rsidR="006840FC" w:rsidRPr="006840FC" w:rsidRDefault="006840FC" w:rsidP="006840FC">
          <w:pPr>
            <w:rPr>
              <w:lang w:eastAsia="de-DE"/>
            </w:rPr>
          </w:pPr>
        </w:p>
        <w:p w14:paraId="661C9685" w14:textId="5C33EA3F" w:rsidR="00D52C0C" w:rsidRDefault="001E5D47">
          <w:pPr>
            <w:pStyle w:val="Verzeichnis1"/>
            <w:tabs>
              <w:tab w:val="right" w:leader="dot" w:pos="9062"/>
            </w:tabs>
            <w:rPr>
              <w:rFonts w:eastAsiaTheme="minorEastAsia"/>
              <w:noProof/>
              <w:lang w:eastAsia="de-DE"/>
            </w:rPr>
          </w:pPr>
          <w:r>
            <w:rPr>
              <w:b/>
              <w:bCs/>
            </w:rPr>
            <w:fldChar w:fldCharType="begin"/>
          </w:r>
          <w:r w:rsidR="006840FC">
            <w:rPr>
              <w:b/>
              <w:bCs/>
            </w:rPr>
            <w:instrText xml:space="preserve"> TOC \o "1-3" \h \z \u </w:instrText>
          </w:r>
          <w:r>
            <w:rPr>
              <w:b/>
              <w:bCs/>
            </w:rPr>
            <w:fldChar w:fldCharType="separate"/>
          </w:r>
          <w:hyperlink w:anchor="_Toc3821696" w:history="1">
            <w:r w:rsidR="00D52C0C" w:rsidRPr="00AF537D">
              <w:rPr>
                <w:rStyle w:val="Hyperlink"/>
                <w:noProof/>
                <w:lang w:val="en-GB"/>
              </w:rPr>
              <w:t>Background and methodology</w:t>
            </w:r>
            <w:r w:rsidR="00D52C0C">
              <w:rPr>
                <w:noProof/>
                <w:webHidden/>
              </w:rPr>
              <w:tab/>
            </w:r>
            <w:r w:rsidR="00D52C0C">
              <w:rPr>
                <w:noProof/>
                <w:webHidden/>
              </w:rPr>
              <w:fldChar w:fldCharType="begin"/>
            </w:r>
            <w:r w:rsidR="00D52C0C">
              <w:rPr>
                <w:noProof/>
                <w:webHidden/>
              </w:rPr>
              <w:instrText xml:space="preserve"> PAGEREF _Toc3821696 \h </w:instrText>
            </w:r>
            <w:r w:rsidR="00D52C0C">
              <w:rPr>
                <w:noProof/>
                <w:webHidden/>
              </w:rPr>
            </w:r>
            <w:r w:rsidR="00D52C0C">
              <w:rPr>
                <w:noProof/>
                <w:webHidden/>
              </w:rPr>
              <w:fldChar w:fldCharType="separate"/>
            </w:r>
            <w:r w:rsidR="00D52C0C">
              <w:rPr>
                <w:noProof/>
                <w:webHidden/>
              </w:rPr>
              <w:t>3</w:t>
            </w:r>
            <w:r w:rsidR="00D52C0C">
              <w:rPr>
                <w:noProof/>
                <w:webHidden/>
              </w:rPr>
              <w:fldChar w:fldCharType="end"/>
            </w:r>
          </w:hyperlink>
        </w:p>
        <w:p w14:paraId="71C76B18" w14:textId="7C432606" w:rsidR="00D52C0C" w:rsidRDefault="00D52C0C">
          <w:pPr>
            <w:pStyle w:val="Verzeichnis1"/>
            <w:tabs>
              <w:tab w:val="right" w:leader="dot" w:pos="9062"/>
            </w:tabs>
            <w:rPr>
              <w:rFonts w:eastAsiaTheme="minorEastAsia"/>
              <w:noProof/>
              <w:lang w:eastAsia="de-DE"/>
            </w:rPr>
          </w:pPr>
          <w:hyperlink w:anchor="_Toc3821697" w:history="1">
            <w:r w:rsidRPr="00AF537D">
              <w:rPr>
                <w:rStyle w:val="Hyperlink"/>
                <w:noProof/>
                <w:lang w:val="en-GB"/>
              </w:rPr>
              <w:t>Summary</w:t>
            </w:r>
            <w:r>
              <w:rPr>
                <w:noProof/>
                <w:webHidden/>
              </w:rPr>
              <w:tab/>
            </w:r>
            <w:r>
              <w:rPr>
                <w:noProof/>
                <w:webHidden/>
              </w:rPr>
              <w:fldChar w:fldCharType="begin"/>
            </w:r>
            <w:r>
              <w:rPr>
                <w:noProof/>
                <w:webHidden/>
              </w:rPr>
              <w:instrText xml:space="preserve"> PAGEREF _Toc3821697 \h </w:instrText>
            </w:r>
            <w:r>
              <w:rPr>
                <w:noProof/>
                <w:webHidden/>
              </w:rPr>
            </w:r>
            <w:r>
              <w:rPr>
                <w:noProof/>
                <w:webHidden/>
              </w:rPr>
              <w:fldChar w:fldCharType="separate"/>
            </w:r>
            <w:r>
              <w:rPr>
                <w:noProof/>
                <w:webHidden/>
              </w:rPr>
              <w:t>4</w:t>
            </w:r>
            <w:r>
              <w:rPr>
                <w:noProof/>
                <w:webHidden/>
              </w:rPr>
              <w:fldChar w:fldCharType="end"/>
            </w:r>
          </w:hyperlink>
        </w:p>
        <w:p w14:paraId="0A645E73" w14:textId="6E53CD9E" w:rsidR="00D52C0C" w:rsidRDefault="00D52C0C">
          <w:pPr>
            <w:pStyle w:val="Verzeichnis1"/>
            <w:tabs>
              <w:tab w:val="right" w:leader="dot" w:pos="9062"/>
            </w:tabs>
            <w:rPr>
              <w:rFonts w:eastAsiaTheme="minorEastAsia"/>
              <w:noProof/>
              <w:lang w:eastAsia="de-DE"/>
            </w:rPr>
          </w:pPr>
          <w:hyperlink w:anchor="_Toc3821698" w:history="1">
            <w:r w:rsidRPr="00AF537D">
              <w:rPr>
                <w:rStyle w:val="Hyperlink"/>
                <w:noProof/>
                <w:lang w:val="en-GB"/>
              </w:rPr>
              <w:t>International standards</w:t>
            </w:r>
            <w:r>
              <w:rPr>
                <w:noProof/>
                <w:webHidden/>
              </w:rPr>
              <w:tab/>
            </w:r>
            <w:r>
              <w:rPr>
                <w:noProof/>
                <w:webHidden/>
              </w:rPr>
              <w:fldChar w:fldCharType="begin"/>
            </w:r>
            <w:r>
              <w:rPr>
                <w:noProof/>
                <w:webHidden/>
              </w:rPr>
              <w:instrText xml:space="preserve"> PAGEREF _Toc3821698 \h </w:instrText>
            </w:r>
            <w:r>
              <w:rPr>
                <w:noProof/>
                <w:webHidden/>
              </w:rPr>
            </w:r>
            <w:r>
              <w:rPr>
                <w:noProof/>
                <w:webHidden/>
              </w:rPr>
              <w:fldChar w:fldCharType="separate"/>
            </w:r>
            <w:r>
              <w:rPr>
                <w:noProof/>
                <w:webHidden/>
              </w:rPr>
              <w:t>6</w:t>
            </w:r>
            <w:r>
              <w:rPr>
                <w:noProof/>
                <w:webHidden/>
              </w:rPr>
              <w:fldChar w:fldCharType="end"/>
            </w:r>
          </w:hyperlink>
        </w:p>
        <w:p w14:paraId="47881674" w14:textId="5523D6D4" w:rsidR="00D52C0C" w:rsidRDefault="00D52C0C">
          <w:pPr>
            <w:pStyle w:val="Verzeichnis2"/>
            <w:tabs>
              <w:tab w:val="right" w:leader="dot" w:pos="9062"/>
            </w:tabs>
            <w:rPr>
              <w:rFonts w:eastAsiaTheme="minorEastAsia"/>
              <w:noProof/>
              <w:lang w:eastAsia="de-DE"/>
            </w:rPr>
          </w:pPr>
          <w:hyperlink w:anchor="_Toc3821699" w:history="1">
            <w:r w:rsidRPr="00AF537D">
              <w:rPr>
                <w:rStyle w:val="Hyperlink"/>
                <w:noProof/>
                <w:lang w:val="en-GB"/>
              </w:rPr>
              <w:t>Opinion no. 11 of the Consultative Council of European Judges</w:t>
            </w:r>
            <w:r>
              <w:rPr>
                <w:noProof/>
                <w:webHidden/>
              </w:rPr>
              <w:tab/>
            </w:r>
            <w:r>
              <w:rPr>
                <w:noProof/>
                <w:webHidden/>
              </w:rPr>
              <w:fldChar w:fldCharType="begin"/>
            </w:r>
            <w:r>
              <w:rPr>
                <w:noProof/>
                <w:webHidden/>
              </w:rPr>
              <w:instrText xml:space="preserve"> PAGEREF _Toc3821699 \h </w:instrText>
            </w:r>
            <w:r>
              <w:rPr>
                <w:noProof/>
                <w:webHidden/>
              </w:rPr>
            </w:r>
            <w:r>
              <w:rPr>
                <w:noProof/>
                <w:webHidden/>
              </w:rPr>
              <w:fldChar w:fldCharType="separate"/>
            </w:r>
            <w:r>
              <w:rPr>
                <w:noProof/>
                <w:webHidden/>
              </w:rPr>
              <w:t>6</w:t>
            </w:r>
            <w:r>
              <w:rPr>
                <w:noProof/>
                <w:webHidden/>
              </w:rPr>
              <w:fldChar w:fldCharType="end"/>
            </w:r>
          </w:hyperlink>
        </w:p>
        <w:p w14:paraId="4AD22E37" w14:textId="41D3C496" w:rsidR="00D52C0C" w:rsidRDefault="00D52C0C">
          <w:pPr>
            <w:pStyle w:val="Verzeichnis2"/>
            <w:tabs>
              <w:tab w:val="right" w:leader="dot" w:pos="9062"/>
            </w:tabs>
            <w:rPr>
              <w:rFonts w:eastAsiaTheme="minorEastAsia"/>
              <w:noProof/>
              <w:lang w:eastAsia="de-DE"/>
            </w:rPr>
          </w:pPr>
          <w:hyperlink w:anchor="_Toc3821700" w:history="1">
            <w:r w:rsidRPr="00AF537D">
              <w:rPr>
                <w:rStyle w:val="Hyperlink"/>
                <w:noProof/>
                <w:lang w:val="en-GB"/>
              </w:rPr>
              <w:t>Article 14 ICCPR</w:t>
            </w:r>
            <w:r>
              <w:rPr>
                <w:noProof/>
                <w:webHidden/>
              </w:rPr>
              <w:tab/>
            </w:r>
            <w:r>
              <w:rPr>
                <w:noProof/>
                <w:webHidden/>
              </w:rPr>
              <w:fldChar w:fldCharType="begin"/>
            </w:r>
            <w:r>
              <w:rPr>
                <w:noProof/>
                <w:webHidden/>
              </w:rPr>
              <w:instrText xml:space="preserve"> PAGEREF _Toc3821700 \h </w:instrText>
            </w:r>
            <w:r>
              <w:rPr>
                <w:noProof/>
                <w:webHidden/>
              </w:rPr>
            </w:r>
            <w:r>
              <w:rPr>
                <w:noProof/>
                <w:webHidden/>
              </w:rPr>
              <w:fldChar w:fldCharType="separate"/>
            </w:r>
            <w:r>
              <w:rPr>
                <w:noProof/>
                <w:webHidden/>
              </w:rPr>
              <w:t>7</w:t>
            </w:r>
            <w:r>
              <w:rPr>
                <w:noProof/>
                <w:webHidden/>
              </w:rPr>
              <w:fldChar w:fldCharType="end"/>
            </w:r>
          </w:hyperlink>
        </w:p>
        <w:p w14:paraId="7C43D828" w14:textId="5C4435C3" w:rsidR="00D52C0C" w:rsidRDefault="00D52C0C">
          <w:pPr>
            <w:pStyle w:val="Verzeichnis2"/>
            <w:tabs>
              <w:tab w:val="right" w:leader="dot" w:pos="9062"/>
            </w:tabs>
            <w:rPr>
              <w:rFonts w:eastAsiaTheme="minorEastAsia"/>
              <w:noProof/>
              <w:lang w:eastAsia="de-DE"/>
            </w:rPr>
          </w:pPr>
          <w:hyperlink w:anchor="_Toc3821701" w:history="1">
            <w:r w:rsidRPr="00AF537D">
              <w:rPr>
                <w:rStyle w:val="Hyperlink"/>
                <w:noProof/>
                <w:lang w:val="en-GB"/>
              </w:rPr>
              <w:t>Requirements under the European Convention on Human Rights</w:t>
            </w:r>
            <w:r>
              <w:rPr>
                <w:noProof/>
                <w:webHidden/>
              </w:rPr>
              <w:tab/>
            </w:r>
            <w:r>
              <w:rPr>
                <w:noProof/>
                <w:webHidden/>
              </w:rPr>
              <w:fldChar w:fldCharType="begin"/>
            </w:r>
            <w:r>
              <w:rPr>
                <w:noProof/>
                <w:webHidden/>
              </w:rPr>
              <w:instrText xml:space="preserve"> PAGEREF _Toc3821701 \h </w:instrText>
            </w:r>
            <w:r>
              <w:rPr>
                <w:noProof/>
                <w:webHidden/>
              </w:rPr>
            </w:r>
            <w:r>
              <w:rPr>
                <w:noProof/>
                <w:webHidden/>
              </w:rPr>
              <w:fldChar w:fldCharType="separate"/>
            </w:r>
            <w:r>
              <w:rPr>
                <w:noProof/>
                <w:webHidden/>
              </w:rPr>
              <w:t>7</w:t>
            </w:r>
            <w:r>
              <w:rPr>
                <w:noProof/>
                <w:webHidden/>
              </w:rPr>
              <w:fldChar w:fldCharType="end"/>
            </w:r>
          </w:hyperlink>
        </w:p>
        <w:p w14:paraId="51C8711D" w14:textId="090FD7D6" w:rsidR="00D52C0C" w:rsidRDefault="00D52C0C">
          <w:pPr>
            <w:pStyle w:val="Verzeichnis3"/>
            <w:tabs>
              <w:tab w:val="right" w:leader="dot" w:pos="9062"/>
            </w:tabs>
            <w:rPr>
              <w:rFonts w:eastAsiaTheme="minorEastAsia"/>
              <w:noProof/>
              <w:lang w:eastAsia="de-DE"/>
            </w:rPr>
          </w:pPr>
          <w:hyperlink w:anchor="_Toc3821702" w:history="1">
            <w:r w:rsidRPr="00AF537D">
              <w:rPr>
                <w:rStyle w:val="Hyperlink"/>
                <w:noProof/>
                <w:lang w:val="en-GB"/>
              </w:rPr>
              <w:t>Article 6 ECHR</w:t>
            </w:r>
            <w:r>
              <w:rPr>
                <w:noProof/>
                <w:webHidden/>
              </w:rPr>
              <w:tab/>
            </w:r>
            <w:r>
              <w:rPr>
                <w:noProof/>
                <w:webHidden/>
              </w:rPr>
              <w:fldChar w:fldCharType="begin"/>
            </w:r>
            <w:r>
              <w:rPr>
                <w:noProof/>
                <w:webHidden/>
              </w:rPr>
              <w:instrText xml:space="preserve"> PAGEREF _Toc3821702 \h </w:instrText>
            </w:r>
            <w:r>
              <w:rPr>
                <w:noProof/>
                <w:webHidden/>
              </w:rPr>
            </w:r>
            <w:r>
              <w:rPr>
                <w:noProof/>
                <w:webHidden/>
              </w:rPr>
              <w:fldChar w:fldCharType="separate"/>
            </w:r>
            <w:r>
              <w:rPr>
                <w:noProof/>
                <w:webHidden/>
              </w:rPr>
              <w:t>7</w:t>
            </w:r>
            <w:r>
              <w:rPr>
                <w:noProof/>
                <w:webHidden/>
              </w:rPr>
              <w:fldChar w:fldCharType="end"/>
            </w:r>
          </w:hyperlink>
        </w:p>
        <w:p w14:paraId="11A845AC" w14:textId="5BC318C4" w:rsidR="00D52C0C" w:rsidRDefault="00D52C0C">
          <w:pPr>
            <w:pStyle w:val="Verzeichnis3"/>
            <w:tabs>
              <w:tab w:val="right" w:leader="dot" w:pos="9062"/>
            </w:tabs>
            <w:rPr>
              <w:rFonts w:eastAsiaTheme="minorEastAsia"/>
              <w:noProof/>
              <w:lang w:eastAsia="de-DE"/>
            </w:rPr>
          </w:pPr>
          <w:hyperlink w:anchor="_Toc3821703" w:history="1">
            <w:r w:rsidRPr="00AF537D">
              <w:rPr>
                <w:rStyle w:val="Hyperlink"/>
                <w:noProof/>
                <w:lang w:val="en-GB"/>
              </w:rPr>
              <w:t>Obligation to provide reasons which are relevant and sufficient</w:t>
            </w:r>
            <w:r>
              <w:rPr>
                <w:noProof/>
                <w:webHidden/>
              </w:rPr>
              <w:tab/>
            </w:r>
            <w:r>
              <w:rPr>
                <w:noProof/>
                <w:webHidden/>
              </w:rPr>
              <w:fldChar w:fldCharType="begin"/>
            </w:r>
            <w:r>
              <w:rPr>
                <w:noProof/>
                <w:webHidden/>
              </w:rPr>
              <w:instrText xml:space="preserve"> PAGEREF _Toc3821703 \h </w:instrText>
            </w:r>
            <w:r>
              <w:rPr>
                <w:noProof/>
                <w:webHidden/>
              </w:rPr>
            </w:r>
            <w:r>
              <w:rPr>
                <w:noProof/>
                <w:webHidden/>
              </w:rPr>
              <w:fldChar w:fldCharType="separate"/>
            </w:r>
            <w:r>
              <w:rPr>
                <w:noProof/>
                <w:webHidden/>
              </w:rPr>
              <w:t>9</w:t>
            </w:r>
            <w:r>
              <w:rPr>
                <w:noProof/>
                <w:webHidden/>
              </w:rPr>
              <w:fldChar w:fldCharType="end"/>
            </w:r>
          </w:hyperlink>
        </w:p>
        <w:p w14:paraId="7F858CAE" w14:textId="592C6A7E" w:rsidR="00D52C0C" w:rsidRDefault="00D52C0C">
          <w:pPr>
            <w:pStyle w:val="Verzeichnis1"/>
            <w:tabs>
              <w:tab w:val="right" w:leader="dot" w:pos="9062"/>
            </w:tabs>
            <w:rPr>
              <w:rFonts w:eastAsiaTheme="minorEastAsia"/>
              <w:noProof/>
              <w:lang w:eastAsia="de-DE"/>
            </w:rPr>
          </w:pPr>
          <w:hyperlink w:anchor="_Toc3821704" w:history="1">
            <w:r w:rsidRPr="00AF537D">
              <w:rPr>
                <w:rStyle w:val="Hyperlink"/>
                <w:noProof/>
                <w:lang w:val="en-GB"/>
              </w:rPr>
              <w:t>Current practices in the area of judgment writing and perceived short-comings</w:t>
            </w:r>
            <w:r>
              <w:rPr>
                <w:noProof/>
                <w:webHidden/>
              </w:rPr>
              <w:tab/>
            </w:r>
            <w:r>
              <w:rPr>
                <w:noProof/>
                <w:webHidden/>
              </w:rPr>
              <w:fldChar w:fldCharType="begin"/>
            </w:r>
            <w:r>
              <w:rPr>
                <w:noProof/>
                <w:webHidden/>
              </w:rPr>
              <w:instrText xml:space="preserve"> PAGEREF _Toc3821704 \h </w:instrText>
            </w:r>
            <w:r>
              <w:rPr>
                <w:noProof/>
                <w:webHidden/>
              </w:rPr>
            </w:r>
            <w:r>
              <w:rPr>
                <w:noProof/>
                <w:webHidden/>
              </w:rPr>
              <w:fldChar w:fldCharType="separate"/>
            </w:r>
            <w:r>
              <w:rPr>
                <w:noProof/>
                <w:webHidden/>
              </w:rPr>
              <w:t>10</w:t>
            </w:r>
            <w:r>
              <w:rPr>
                <w:noProof/>
                <w:webHidden/>
              </w:rPr>
              <w:fldChar w:fldCharType="end"/>
            </w:r>
          </w:hyperlink>
        </w:p>
        <w:p w14:paraId="4172EE11" w14:textId="6638977F" w:rsidR="00D52C0C" w:rsidRDefault="00D52C0C">
          <w:pPr>
            <w:pStyle w:val="Verzeichnis2"/>
            <w:tabs>
              <w:tab w:val="right" w:leader="dot" w:pos="9062"/>
            </w:tabs>
            <w:rPr>
              <w:rFonts w:eastAsiaTheme="minorEastAsia"/>
              <w:noProof/>
              <w:lang w:eastAsia="de-DE"/>
            </w:rPr>
          </w:pPr>
          <w:hyperlink w:anchor="_Toc3821705" w:history="1">
            <w:r w:rsidRPr="00AF537D">
              <w:rPr>
                <w:rStyle w:val="Hyperlink"/>
                <w:noProof/>
                <w:lang w:val="en-GB"/>
              </w:rPr>
              <w:t>Analysis of judgments</w:t>
            </w:r>
            <w:r>
              <w:rPr>
                <w:noProof/>
                <w:webHidden/>
              </w:rPr>
              <w:tab/>
            </w:r>
            <w:r>
              <w:rPr>
                <w:noProof/>
                <w:webHidden/>
              </w:rPr>
              <w:fldChar w:fldCharType="begin"/>
            </w:r>
            <w:r>
              <w:rPr>
                <w:noProof/>
                <w:webHidden/>
              </w:rPr>
              <w:instrText xml:space="preserve"> PAGEREF _Toc3821705 \h </w:instrText>
            </w:r>
            <w:r>
              <w:rPr>
                <w:noProof/>
                <w:webHidden/>
              </w:rPr>
            </w:r>
            <w:r>
              <w:rPr>
                <w:noProof/>
                <w:webHidden/>
              </w:rPr>
              <w:fldChar w:fldCharType="separate"/>
            </w:r>
            <w:r>
              <w:rPr>
                <w:noProof/>
                <w:webHidden/>
              </w:rPr>
              <w:t>10</w:t>
            </w:r>
            <w:r>
              <w:rPr>
                <w:noProof/>
                <w:webHidden/>
              </w:rPr>
              <w:fldChar w:fldCharType="end"/>
            </w:r>
          </w:hyperlink>
        </w:p>
        <w:p w14:paraId="7123C994" w14:textId="404762A2" w:rsidR="00D52C0C" w:rsidRDefault="00D52C0C">
          <w:pPr>
            <w:pStyle w:val="Verzeichnis3"/>
            <w:tabs>
              <w:tab w:val="right" w:leader="dot" w:pos="9062"/>
            </w:tabs>
            <w:rPr>
              <w:rFonts w:eastAsiaTheme="minorEastAsia"/>
              <w:noProof/>
              <w:lang w:eastAsia="de-DE"/>
            </w:rPr>
          </w:pPr>
          <w:hyperlink w:anchor="_Toc3821706" w:history="1">
            <w:r w:rsidRPr="00AF537D">
              <w:rPr>
                <w:rStyle w:val="Hyperlink"/>
                <w:noProof/>
                <w:lang w:val="en-GB"/>
              </w:rPr>
              <w:t>Language</w:t>
            </w:r>
            <w:r>
              <w:rPr>
                <w:noProof/>
                <w:webHidden/>
              </w:rPr>
              <w:tab/>
            </w:r>
            <w:r>
              <w:rPr>
                <w:noProof/>
                <w:webHidden/>
              </w:rPr>
              <w:fldChar w:fldCharType="begin"/>
            </w:r>
            <w:r>
              <w:rPr>
                <w:noProof/>
                <w:webHidden/>
              </w:rPr>
              <w:instrText xml:space="preserve"> PAGEREF _Toc3821706 \h </w:instrText>
            </w:r>
            <w:r>
              <w:rPr>
                <w:noProof/>
                <w:webHidden/>
              </w:rPr>
            </w:r>
            <w:r>
              <w:rPr>
                <w:noProof/>
                <w:webHidden/>
              </w:rPr>
              <w:fldChar w:fldCharType="separate"/>
            </w:r>
            <w:r>
              <w:rPr>
                <w:noProof/>
                <w:webHidden/>
              </w:rPr>
              <w:t>10</w:t>
            </w:r>
            <w:r>
              <w:rPr>
                <w:noProof/>
                <w:webHidden/>
              </w:rPr>
              <w:fldChar w:fldCharType="end"/>
            </w:r>
          </w:hyperlink>
        </w:p>
        <w:p w14:paraId="04F936F1" w14:textId="024D50EE" w:rsidR="00D52C0C" w:rsidRDefault="00D52C0C">
          <w:pPr>
            <w:pStyle w:val="Verzeichnis3"/>
            <w:tabs>
              <w:tab w:val="right" w:leader="dot" w:pos="9062"/>
            </w:tabs>
            <w:rPr>
              <w:rFonts w:eastAsiaTheme="minorEastAsia"/>
              <w:noProof/>
              <w:lang w:eastAsia="de-DE"/>
            </w:rPr>
          </w:pPr>
          <w:hyperlink w:anchor="_Toc3821707" w:history="1">
            <w:r w:rsidRPr="00AF537D">
              <w:rPr>
                <w:rStyle w:val="Hyperlink"/>
                <w:noProof/>
                <w:lang w:val="en-US"/>
              </w:rPr>
              <w:t>Assessment of evidence</w:t>
            </w:r>
            <w:r>
              <w:rPr>
                <w:noProof/>
                <w:webHidden/>
              </w:rPr>
              <w:tab/>
            </w:r>
            <w:r>
              <w:rPr>
                <w:noProof/>
                <w:webHidden/>
              </w:rPr>
              <w:fldChar w:fldCharType="begin"/>
            </w:r>
            <w:r>
              <w:rPr>
                <w:noProof/>
                <w:webHidden/>
              </w:rPr>
              <w:instrText xml:space="preserve"> PAGEREF _Toc3821707 \h </w:instrText>
            </w:r>
            <w:r>
              <w:rPr>
                <w:noProof/>
                <w:webHidden/>
              </w:rPr>
            </w:r>
            <w:r>
              <w:rPr>
                <w:noProof/>
                <w:webHidden/>
              </w:rPr>
              <w:fldChar w:fldCharType="separate"/>
            </w:r>
            <w:r>
              <w:rPr>
                <w:noProof/>
                <w:webHidden/>
              </w:rPr>
              <w:t>12</w:t>
            </w:r>
            <w:r>
              <w:rPr>
                <w:noProof/>
                <w:webHidden/>
              </w:rPr>
              <w:fldChar w:fldCharType="end"/>
            </w:r>
          </w:hyperlink>
        </w:p>
        <w:p w14:paraId="67BD7EE9" w14:textId="3F81E1D0" w:rsidR="00D52C0C" w:rsidRDefault="00D52C0C">
          <w:pPr>
            <w:pStyle w:val="Verzeichnis3"/>
            <w:tabs>
              <w:tab w:val="right" w:leader="dot" w:pos="9062"/>
            </w:tabs>
            <w:rPr>
              <w:rFonts w:eastAsiaTheme="minorEastAsia"/>
              <w:noProof/>
              <w:lang w:eastAsia="de-DE"/>
            </w:rPr>
          </w:pPr>
          <w:hyperlink w:anchor="_Toc3821708" w:history="1">
            <w:r w:rsidRPr="00AF537D">
              <w:rPr>
                <w:rStyle w:val="Hyperlink"/>
                <w:noProof/>
                <w:lang w:val="en-GB"/>
              </w:rPr>
              <w:t>Legal assessment</w:t>
            </w:r>
            <w:r>
              <w:rPr>
                <w:noProof/>
                <w:webHidden/>
              </w:rPr>
              <w:tab/>
            </w:r>
            <w:r>
              <w:rPr>
                <w:noProof/>
                <w:webHidden/>
              </w:rPr>
              <w:fldChar w:fldCharType="begin"/>
            </w:r>
            <w:r>
              <w:rPr>
                <w:noProof/>
                <w:webHidden/>
              </w:rPr>
              <w:instrText xml:space="preserve"> PAGEREF _Toc3821708 \h </w:instrText>
            </w:r>
            <w:r>
              <w:rPr>
                <w:noProof/>
                <w:webHidden/>
              </w:rPr>
            </w:r>
            <w:r>
              <w:rPr>
                <w:noProof/>
                <w:webHidden/>
              </w:rPr>
              <w:fldChar w:fldCharType="separate"/>
            </w:r>
            <w:r>
              <w:rPr>
                <w:noProof/>
                <w:webHidden/>
              </w:rPr>
              <w:t>26</w:t>
            </w:r>
            <w:r>
              <w:rPr>
                <w:noProof/>
                <w:webHidden/>
              </w:rPr>
              <w:fldChar w:fldCharType="end"/>
            </w:r>
          </w:hyperlink>
        </w:p>
        <w:p w14:paraId="6BBA95CC" w14:textId="4C553C6A" w:rsidR="00D52C0C" w:rsidRDefault="00D52C0C">
          <w:pPr>
            <w:pStyle w:val="Verzeichnis2"/>
            <w:tabs>
              <w:tab w:val="right" w:leader="dot" w:pos="9062"/>
            </w:tabs>
            <w:rPr>
              <w:rFonts w:eastAsiaTheme="minorEastAsia"/>
              <w:noProof/>
              <w:lang w:eastAsia="de-DE"/>
            </w:rPr>
          </w:pPr>
          <w:hyperlink w:anchor="_Toc3821709" w:history="1">
            <w:r w:rsidRPr="00AF537D">
              <w:rPr>
                <w:rStyle w:val="Hyperlink"/>
                <w:noProof/>
                <w:lang w:val="en-US"/>
              </w:rPr>
              <w:t>Possible reasons for short-comings</w:t>
            </w:r>
            <w:r>
              <w:rPr>
                <w:noProof/>
                <w:webHidden/>
              </w:rPr>
              <w:tab/>
            </w:r>
            <w:r>
              <w:rPr>
                <w:noProof/>
                <w:webHidden/>
              </w:rPr>
              <w:fldChar w:fldCharType="begin"/>
            </w:r>
            <w:r>
              <w:rPr>
                <w:noProof/>
                <w:webHidden/>
              </w:rPr>
              <w:instrText xml:space="preserve"> PAGEREF _Toc3821709 \h </w:instrText>
            </w:r>
            <w:r>
              <w:rPr>
                <w:noProof/>
                <w:webHidden/>
              </w:rPr>
            </w:r>
            <w:r>
              <w:rPr>
                <w:noProof/>
                <w:webHidden/>
              </w:rPr>
              <w:fldChar w:fldCharType="separate"/>
            </w:r>
            <w:r>
              <w:rPr>
                <w:noProof/>
                <w:webHidden/>
              </w:rPr>
              <w:t>37</w:t>
            </w:r>
            <w:r>
              <w:rPr>
                <w:noProof/>
                <w:webHidden/>
              </w:rPr>
              <w:fldChar w:fldCharType="end"/>
            </w:r>
          </w:hyperlink>
        </w:p>
        <w:p w14:paraId="70119530" w14:textId="09D6BBD6" w:rsidR="00D52C0C" w:rsidRDefault="00D52C0C">
          <w:pPr>
            <w:pStyle w:val="Verzeichnis3"/>
            <w:tabs>
              <w:tab w:val="right" w:leader="dot" w:pos="9062"/>
            </w:tabs>
            <w:rPr>
              <w:rFonts w:eastAsiaTheme="minorEastAsia"/>
              <w:noProof/>
              <w:lang w:eastAsia="de-DE"/>
            </w:rPr>
          </w:pPr>
          <w:hyperlink w:anchor="_Toc3821710" w:history="1">
            <w:r w:rsidRPr="00AF537D">
              <w:rPr>
                <w:rStyle w:val="Hyperlink"/>
                <w:noProof/>
                <w:lang w:val="en-US"/>
              </w:rPr>
              <w:t>Workload</w:t>
            </w:r>
            <w:r>
              <w:rPr>
                <w:noProof/>
                <w:webHidden/>
              </w:rPr>
              <w:tab/>
            </w:r>
            <w:r>
              <w:rPr>
                <w:noProof/>
                <w:webHidden/>
              </w:rPr>
              <w:fldChar w:fldCharType="begin"/>
            </w:r>
            <w:r>
              <w:rPr>
                <w:noProof/>
                <w:webHidden/>
              </w:rPr>
              <w:instrText xml:space="preserve"> PAGEREF _Toc3821710 \h </w:instrText>
            </w:r>
            <w:r>
              <w:rPr>
                <w:noProof/>
                <w:webHidden/>
              </w:rPr>
            </w:r>
            <w:r>
              <w:rPr>
                <w:noProof/>
                <w:webHidden/>
              </w:rPr>
              <w:fldChar w:fldCharType="separate"/>
            </w:r>
            <w:r>
              <w:rPr>
                <w:noProof/>
                <w:webHidden/>
              </w:rPr>
              <w:t>37</w:t>
            </w:r>
            <w:r>
              <w:rPr>
                <w:noProof/>
                <w:webHidden/>
              </w:rPr>
              <w:fldChar w:fldCharType="end"/>
            </w:r>
          </w:hyperlink>
        </w:p>
        <w:p w14:paraId="6D9549CC" w14:textId="4A2ADBC1" w:rsidR="00D52C0C" w:rsidRDefault="00D52C0C">
          <w:pPr>
            <w:pStyle w:val="Verzeichnis3"/>
            <w:tabs>
              <w:tab w:val="right" w:leader="dot" w:pos="9062"/>
            </w:tabs>
            <w:rPr>
              <w:rFonts w:eastAsiaTheme="minorEastAsia"/>
              <w:noProof/>
              <w:lang w:eastAsia="de-DE"/>
            </w:rPr>
          </w:pPr>
          <w:hyperlink w:anchor="_Toc3821711" w:history="1">
            <w:r w:rsidRPr="00AF537D">
              <w:rPr>
                <w:rStyle w:val="Hyperlink"/>
                <w:noProof/>
                <w:lang w:val="en-US"/>
              </w:rPr>
              <w:t>Corruption</w:t>
            </w:r>
            <w:r>
              <w:rPr>
                <w:noProof/>
                <w:webHidden/>
              </w:rPr>
              <w:tab/>
            </w:r>
            <w:r>
              <w:rPr>
                <w:noProof/>
                <w:webHidden/>
              </w:rPr>
              <w:fldChar w:fldCharType="begin"/>
            </w:r>
            <w:r>
              <w:rPr>
                <w:noProof/>
                <w:webHidden/>
              </w:rPr>
              <w:instrText xml:space="preserve"> PAGEREF _Toc3821711 \h </w:instrText>
            </w:r>
            <w:r>
              <w:rPr>
                <w:noProof/>
                <w:webHidden/>
              </w:rPr>
            </w:r>
            <w:r>
              <w:rPr>
                <w:noProof/>
                <w:webHidden/>
              </w:rPr>
              <w:fldChar w:fldCharType="separate"/>
            </w:r>
            <w:r>
              <w:rPr>
                <w:noProof/>
                <w:webHidden/>
              </w:rPr>
              <w:t>38</w:t>
            </w:r>
            <w:r>
              <w:rPr>
                <w:noProof/>
                <w:webHidden/>
              </w:rPr>
              <w:fldChar w:fldCharType="end"/>
            </w:r>
          </w:hyperlink>
        </w:p>
        <w:p w14:paraId="133CFE97" w14:textId="6FFAD978" w:rsidR="00D52C0C" w:rsidRDefault="00D52C0C">
          <w:pPr>
            <w:pStyle w:val="Verzeichnis3"/>
            <w:tabs>
              <w:tab w:val="right" w:leader="dot" w:pos="9062"/>
            </w:tabs>
            <w:rPr>
              <w:rFonts w:eastAsiaTheme="minorEastAsia"/>
              <w:noProof/>
              <w:lang w:eastAsia="de-DE"/>
            </w:rPr>
          </w:pPr>
          <w:hyperlink w:anchor="_Toc3821712" w:history="1">
            <w:r w:rsidRPr="00AF537D">
              <w:rPr>
                <w:rStyle w:val="Hyperlink"/>
                <w:noProof/>
                <w:lang w:val="en-US"/>
              </w:rPr>
              <w:t>Lack of training</w:t>
            </w:r>
            <w:r>
              <w:rPr>
                <w:noProof/>
                <w:webHidden/>
              </w:rPr>
              <w:tab/>
            </w:r>
            <w:r>
              <w:rPr>
                <w:noProof/>
                <w:webHidden/>
              </w:rPr>
              <w:fldChar w:fldCharType="begin"/>
            </w:r>
            <w:r>
              <w:rPr>
                <w:noProof/>
                <w:webHidden/>
              </w:rPr>
              <w:instrText xml:space="preserve"> PAGEREF _Toc3821712 \h </w:instrText>
            </w:r>
            <w:r>
              <w:rPr>
                <w:noProof/>
                <w:webHidden/>
              </w:rPr>
            </w:r>
            <w:r>
              <w:rPr>
                <w:noProof/>
                <w:webHidden/>
              </w:rPr>
              <w:fldChar w:fldCharType="separate"/>
            </w:r>
            <w:r>
              <w:rPr>
                <w:noProof/>
                <w:webHidden/>
              </w:rPr>
              <w:t>39</w:t>
            </w:r>
            <w:r>
              <w:rPr>
                <w:noProof/>
                <w:webHidden/>
              </w:rPr>
              <w:fldChar w:fldCharType="end"/>
            </w:r>
          </w:hyperlink>
        </w:p>
        <w:p w14:paraId="25FF947D" w14:textId="2C7DC245" w:rsidR="00D52C0C" w:rsidRDefault="00D52C0C">
          <w:pPr>
            <w:pStyle w:val="Verzeichnis1"/>
            <w:tabs>
              <w:tab w:val="right" w:leader="dot" w:pos="9062"/>
            </w:tabs>
            <w:rPr>
              <w:rFonts w:eastAsiaTheme="minorEastAsia"/>
              <w:noProof/>
              <w:lang w:eastAsia="de-DE"/>
            </w:rPr>
          </w:pPr>
          <w:hyperlink w:anchor="_Toc3821713" w:history="1">
            <w:r w:rsidRPr="00AF537D">
              <w:rPr>
                <w:rStyle w:val="Hyperlink"/>
                <w:noProof/>
                <w:lang w:val="en-US"/>
              </w:rPr>
              <w:t>Training on legal drafting</w:t>
            </w:r>
            <w:r>
              <w:rPr>
                <w:noProof/>
                <w:webHidden/>
              </w:rPr>
              <w:tab/>
            </w:r>
            <w:r>
              <w:rPr>
                <w:noProof/>
                <w:webHidden/>
              </w:rPr>
              <w:fldChar w:fldCharType="begin"/>
            </w:r>
            <w:r>
              <w:rPr>
                <w:noProof/>
                <w:webHidden/>
              </w:rPr>
              <w:instrText xml:space="preserve"> PAGEREF _Toc3821713 \h </w:instrText>
            </w:r>
            <w:r>
              <w:rPr>
                <w:noProof/>
                <w:webHidden/>
              </w:rPr>
            </w:r>
            <w:r>
              <w:rPr>
                <w:noProof/>
                <w:webHidden/>
              </w:rPr>
              <w:fldChar w:fldCharType="separate"/>
            </w:r>
            <w:r>
              <w:rPr>
                <w:noProof/>
                <w:webHidden/>
              </w:rPr>
              <w:t>39</w:t>
            </w:r>
            <w:r>
              <w:rPr>
                <w:noProof/>
                <w:webHidden/>
              </w:rPr>
              <w:fldChar w:fldCharType="end"/>
            </w:r>
          </w:hyperlink>
        </w:p>
        <w:p w14:paraId="58F04AA3" w14:textId="436BABF1" w:rsidR="00D52C0C" w:rsidRDefault="00D52C0C">
          <w:pPr>
            <w:pStyle w:val="Verzeichnis2"/>
            <w:tabs>
              <w:tab w:val="right" w:leader="dot" w:pos="9062"/>
            </w:tabs>
            <w:rPr>
              <w:rFonts w:eastAsiaTheme="minorEastAsia"/>
              <w:noProof/>
              <w:lang w:eastAsia="de-DE"/>
            </w:rPr>
          </w:pPr>
          <w:hyperlink w:anchor="_Toc3821714" w:history="1">
            <w:r w:rsidRPr="00AF537D">
              <w:rPr>
                <w:rStyle w:val="Hyperlink"/>
                <w:noProof/>
                <w:lang w:val="en-US"/>
              </w:rPr>
              <w:t>Training on legal writing at the National Institute for Justice</w:t>
            </w:r>
            <w:r>
              <w:rPr>
                <w:noProof/>
                <w:webHidden/>
              </w:rPr>
              <w:tab/>
            </w:r>
            <w:r>
              <w:rPr>
                <w:noProof/>
                <w:webHidden/>
              </w:rPr>
              <w:fldChar w:fldCharType="begin"/>
            </w:r>
            <w:r>
              <w:rPr>
                <w:noProof/>
                <w:webHidden/>
              </w:rPr>
              <w:instrText xml:space="preserve"> PAGEREF _Toc3821714 \h </w:instrText>
            </w:r>
            <w:r>
              <w:rPr>
                <w:noProof/>
                <w:webHidden/>
              </w:rPr>
            </w:r>
            <w:r>
              <w:rPr>
                <w:noProof/>
                <w:webHidden/>
              </w:rPr>
              <w:fldChar w:fldCharType="separate"/>
            </w:r>
            <w:r>
              <w:rPr>
                <w:noProof/>
                <w:webHidden/>
              </w:rPr>
              <w:t>39</w:t>
            </w:r>
            <w:r>
              <w:rPr>
                <w:noProof/>
                <w:webHidden/>
              </w:rPr>
              <w:fldChar w:fldCharType="end"/>
            </w:r>
          </w:hyperlink>
        </w:p>
        <w:p w14:paraId="156C3725" w14:textId="68AC53B7" w:rsidR="00D52C0C" w:rsidRDefault="00D52C0C">
          <w:pPr>
            <w:pStyle w:val="Verzeichnis2"/>
            <w:tabs>
              <w:tab w:val="right" w:leader="dot" w:pos="9062"/>
            </w:tabs>
            <w:rPr>
              <w:rFonts w:eastAsiaTheme="minorEastAsia"/>
              <w:noProof/>
              <w:lang w:eastAsia="de-DE"/>
            </w:rPr>
          </w:pPr>
          <w:hyperlink w:anchor="_Toc3821715" w:history="1">
            <w:r w:rsidRPr="00AF537D">
              <w:rPr>
                <w:rStyle w:val="Hyperlink"/>
                <w:noProof/>
                <w:lang w:val="en-US"/>
              </w:rPr>
              <w:t>The case for separate courses on legal writing</w:t>
            </w:r>
            <w:r>
              <w:rPr>
                <w:noProof/>
                <w:webHidden/>
              </w:rPr>
              <w:tab/>
            </w:r>
            <w:r>
              <w:rPr>
                <w:noProof/>
                <w:webHidden/>
              </w:rPr>
              <w:fldChar w:fldCharType="begin"/>
            </w:r>
            <w:r>
              <w:rPr>
                <w:noProof/>
                <w:webHidden/>
              </w:rPr>
              <w:instrText xml:space="preserve"> PAGEREF _Toc3821715 \h </w:instrText>
            </w:r>
            <w:r>
              <w:rPr>
                <w:noProof/>
                <w:webHidden/>
              </w:rPr>
            </w:r>
            <w:r>
              <w:rPr>
                <w:noProof/>
                <w:webHidden/>
              </w:rPr>
              <w:fldChar w:fldCharType="separate"/>
            </w:r>
            <w:r>
              <w:rPr>
                <w:noProof/>
                <w:webHidden/>
              </w:rPr>
              <w:t>40</w:t>
            </w:r>
            <w:r>
              <w:rPr>
                <w:noProof/>
                <w:webHidden/>
              </w:rPr>
              <w:fldChar w:fldCharType="end"/>
            </w:r>
          </w:hyperlink>
        </w:p>
        <w:p w14:paraId="738C3771" w14:textId="764E401B" w:rsidR="00D52C0C" w:rsidRDefault="00D52C0C">
          <w:pPr>
            <w:pStyle w:val="Verzeichnis1"/>
            <w:tabs>
              <w:tab w:val="right" w:leader="dot" w:pos="9062"/>
            </w:tabs>
            <w:rPr>
              <w:rFonts w:eastAsiaTheme="minorEastAsia"/>
              <w:noProof/>
              <w:lang w:eastAsia="de-DE"/>
            </w:rPr>
          </w:pPr>
          <w:hyperlink w:anchor="_Toc3821716" w:history="1">
            <w:r w:rsidRPr="00AF537D">
              <w:rPr>
                <w:rStyle w:val="Hyperlink"/>
                <w:noProof/>
                <w:lang w:val="en-US"/>
              </w:rPr>
              <w:t>Examples from international practices</w:t>
            </w:r>
            <w:r>
              <w:rPr>
                <w:noProof/>
                <w:webHidden/>
              </w:rPr>
              <w:tab/>
            </w:r>
            <w:r>
              <w:rPr>
                <w:noProof/>
                <w:webHidden/>
              </w:rPr>
              <w:fldChar w:fldCharType="begin"/>
            </w:r>
            <w:r>
              <w:rPr>
                <w:noProof/>
                <w:webHidden/>
              </w:rPr>
              <w:instrText xml:space="preserve"> PAGEREF _Toc3821716 \h </w:instrText>
            </w:r>
            <w:r>
              <w:rPr>
                <w:noProof/>
                <w:webHidden/>
              </w:rPr>
            </w:r>
            <w:r>
              <w:rPr>
                <w:noProof/>
                <w:webHidden/>
              </w:rPr>
              <w:fldChar w:fldCharType="separate"/>
            </w:r>
            <w:r>
              <w:rPr>
                <w:noProof/>
                <w:webHidden/>
              </w:rPr>
              <w:t>47</w:t>
            </w:r>
            <w:r>
              <w:rPr>
                <w:noProof/>
                <w:webHidden/>
              </w:rPr>
              <w:fldChar w:fldCharType="end"/>
            </w:r>
          </w:hyperlink>
        </w:p>
        <w:p w14:paraId="6537E24F" w14:textId="474C67E4" w:rsidR="00D52C0C" w:rsidRDefault="00D52C0C">
          <w:pPr>
            <w:pStyle w:val="Verzeichnis2"/>
            <w:tabs>
              <w:tab w:val="right" w:leader="dot" w:pos="9062"/>
            </w:tabs>
            <w:rPr>
              <w:rFonts w:eastAsiaTheme="minorEastAsia"/>
              <w:noProof/>
              <w:lang w:eastAsia="de-DE"/>
            </w:rPr>
          </w:pPr>
          <w:hyperlink w:anchor="_Toc3821717" w:history="1">
            <w:r w:rsidRPr="00AF537D">
              <w:rPr>
                <w:rStyle w:val="Hyperlink"/>
                <w:noProof/>
                <w:lang w:val="en-US"/>
              </w:rPr>
              <w:t>Dealing with evidence</w:t>
            </w:r>
            <w:r>
              <w:rPr>
                <w:noProof/>
                <w:webHidden/>
              </w:rPr>
              <w:tab/>
            </w:r>
            <w:r>
              <w:rPr>
                <w:noProof/>
                <w:webHidden/>
              </w:rPr>
              <w:fldChar w:fldCharType="begin"/>
            </w:r>
            <w:r>
              <w:rPr>
                <w:noProof/>
                <w:webHidden/>
              </w:rPr>
              <w:instrText xml:space="preserve"> PAGEREF _Toc3821717 \h </w:instrText>
            </w:r>
            <w:r>
              <w:rPr>
                <w:noProof/>
                <w:webHidden/>
              </w:rPr>
            </w:r>
            <w:r>
              <w:rPr>
                <w:noProof/>
                <w:webHidden/>
              </w:rPr>
              <w:fldChar w:fldCharType="separate"/>
            </w:r>
            <w:r>
              <w:rPr>
                <w:noProof/>
                <w:webHidden/>
              </w:rPr>
              <w:t>48</w:t>
            </w:r>
            <w:r>
              <w:rPr>
                <w:noProof/>
                <w:webHidden/>
              </w:rPr>
              <w:fldChar w:fldCharType="end"/>
            </w:r>
          </w:hyperlink>
        </w:p>
        <w:p w14:paraId="2BF1DF12" w14:textId="0CFFA805" w:rsidR="00D52C0C" w:rsidRDefault="00D52C0C">
          <w:pPr>
            <w:pStyle w:val="Verzeichnis2"/>
            <w:tabs>
              <w:tab w:val="right" w:leader="dot" w:pos="9062"/>
            </w:tabs>
            <w:rPr>
              <w:rFonts w:eastAsiaTheme="minorEastAsia"/>
              <w:noProof/>
              <w:lang w:eastAsia="de-DE"/>
            </w:rPr>
          </w:pPr>
          <w:hyperlink w:anchor="_Toc3821718" w:history="1">
            <w:r w:rsidRPr="00AF537D">
              <w:rPr>
                <w:rStyle w:val="Hyperlink"/>
                <w:noProof/>
                <w:lang w:val="en-GB"/>
              </w:rPr>
              <w:t>Breaking down legal provisions and defining legal terms</w:t>
            </w:r>
            <w:r>
              <w:rPr>
                <w:noProof/>
                <w:webHidden/>
              </w:rPr>
              <w:tab/>
            </w:r>
            <w:r>
              <w:rPr>
                <w:noProof/>
                <w:webHidden/>
              </w:rPr>
              <w:fldChar w:fldCharType="begin"/>
            </w:r>
            <w:r>
              <w:rPr>
                <w:noProof/>
                <w:webHidden/>
              </w:rPr>
              <w:instrText xml:space="preserve"> PAGEREF _Toc3821718 \h </w:instrText>
            </w:r>
            <w:r>
              <w:rPr>
                <w:noProof/>
                <w:webHidden/>
              </w:rPr>
            </w:r>
            <w:r>
              <w:rPr>
                <w:noProof/>
                <w:webHidden/>
              </w:rPr>
              <w:fldChar w:fldCharType="separate"/>
            </w:r>
            <w:r>
              <w:rPr>
                <w:noProof/>
                <w:webHidden/>
              </w:rPr>
              <w:t>51</w:t>
            </w:r>
            <w:r>
              <w:rPr>
                <w:noProof/>
                <w:webHidden/>
              </w:rPr>
              <w:fldChar w:fldCharType="end"/>
            </w:r>
          </w:hyperlink>
        </w:p>
        <w:p w14:paraId="79077E5E" w14:textId="4AC3BA11" w:rsidR="00D52C0C" w:rsidRDefault="00D52C0C">
          <w:pPr>
            <w:pStyle w:val="Verzeichnis1"/>
            <w:tabs>
              <w:tab w:val="right" w:leader="dot" w:pos="9062"/>
            </w:tabs>
            <w:rPr>
              <w:rFonts w:eastAsiaTheme="minorEastAsia"/>
              <w:noProof/>
              <w:lang w:eastAsia="de-DE"/>
            </w:rPr>
          </w:pPr>
          <w:hyperlink w:anchor="_Toc3821719" w:history="1">
            <w:r w:rsidRPr="00AF537D">
              <w:rPr>
                <w:rStyle w:val="Hyperlink"/>
                <w:noProof/>
                <w:lang w:val="en-GB"/>
              </w:rPr>
              <w:t>Recommendations</w:t>
            </w:r>
            <w:r>
              <w:rPr>
                <w:noProof/>
                <w:webHidden/>
              </w:rPr>
              <w:tab/>
            </w:r>
            <w:r>
              <w:rPr>
                <w:noProof/>
                <w:webHidden/>
              </w:rPr>
              <w:fldChar w:fldCharType="begin"/>
            </w:r>
            <w:r>
              <w:rPr>
                <w:noProof/>
                <w:webHidden/>
              </w:rPr>
              <w:instrText xml:space="preserve"> PAGEREF _Toc3821719 \h </w:instrText>
            </w:r>
            <w:r>
              <w:rPr>
                <w:noProof/>
                <w:webHidden/>
              </w:rPr>
            </w:r>
            <w:r>
              <w:rPr>
                <w:noProof/>
                <w:webHidden/>
              </w:rPr>
              <w:fldChar w:fldCharType="separate"/>
            </w:r>
            <w:r>
              <w:rPr>
                <w:noProof/>
                <w:webHidden/>
              </w:rPr>
              <w:t>57</w:t>
            </w:r>
            <w:r>
              <w:rPr>
                <w:noProof/>
                <w:webHidden/>
              </w:rPr>
              <w:fldChar w:fldCharType="end"/>
            </w:r>
          </w:hyperlink>
        </w:p>
        <w:p w14:paraId="660B7D5C" w14:textId="5B805A7F" w:rsidR="006840FC" w:rsidRDefault="001E5D47">
          <w:r>
            <w:rPr>
              <w:b/>
              <w:bCs/>
            </w:rPr>
            <w:fldChar w:fldCharType="end"/>
          </w:r>
        </w:p>
      </w:sdtContent>
    </w:sdt>
    <w:p w14:paraId="61D5310D" w14:textId="77777777" w:rsidR="00300E45" w:rsidRDefault="00300E45" w:rsidP="00C81505">
      <w:pPr>
        <w:pStyle w:val="berschrift1"/>
        <w:spacing w:line="360" w:lineRule="auto"/>
        <w:rPr>
          <w:lang w:val="en-GB"/>
        </w:rPr>
      </w:pPr>
    </w:p>
    <w:p w14:paraId="4AC79883" w14:textId="77777777" w:rsidR="00300E45" w:rsidRDefault="00300E45" w:rsidP="00C81505">
      <w:pPr>
        <w:spacing w:line="360" w:lineRule="auto"/>
        <w:rPr>
          <w:rFonts w:asciiTheme="majorHAnsi" w:eastAsiaTheme="majorEastAsia" w:hAnsiTheme="majorHAnsi" w:cstheme="majorBidi"/>
          <w:color w:val="2F5496" w:themeColor="accent1" w:themeShade="BF"/>
          <w:sz w:val="32"/>
          <w:szCs w:val="32"/>
          <w:lang w:val="en-GB"/>
        </w:rPr>
      </w:pPr>
      <w:r>
        <w:rPr>
          <w:lang w:val="en-GB"/>
        </w:rPr>
        <w:br w:type="page"/>
      </w:r>
    </w:p>
    <w:p w14:paraId="6632BCCB" w14:textId="77777777" w:rsidR="00C71B5B" w:rsidRDefault="00C71B5B" w:rsidP="00C71B5B">
      <w:pPr>
        <w:rPr>
          <w:lang w:val="en-GB"/>
        </w:rPr>
      </w:pPr>
    </w:p>
    <w:p w14:paraId="4381A478" w14:textId="77777777" w:rsidR="00C71B5B" w:rsidRDefault="00C71B5B" w:rsidP="00C71B5B">
      <w:pPr>
        <w:pStyle w:val="berschrift1"/>
        <w:rPr>
          <w:lang w:val="en-GB"/>
        </w:rPr>
      </w:pPr>
      <w:bookmarkStart w:id="0" w:name="_Toc3821696"/>
      <w:r>
        <w:rPr>
          <w:lang w:val="en-GB"/>
        </w:rPr>
        <w:t>Background and methodology</w:t>
      </w:r>
      <w:bookmarkEnd w:id="0"/>
    </w:p>
    <w:p w14:paraId="5F8F5893" w14:textId="77777777" w:rsidR="00C71B5B" w:rsidRPr="00C71B5B" w:rsidRDefault="00C71B5B" w:rsidP="00C71B5B">
      <w:pPr>
        <w:spacing w:line="360" w:lineRule="auto"/>
        <w:jc w:val="both"/>
        <w:rPr>
          <w:lang w:val="en-GB"/>
        </w:rPr>
      </w:pPr>
      <w:r w:rsidRPr="00C71B5B">
        <w:rPr>
          <w:lang w:val="en-GB"/>
        </w:rPr>
        <w:t xml:space="preserve">This report was drafted in the frame of </w:t>
      </w:r>
      <w:r>
        <w:rPr>
          <w:lang w:val="en-GB"/>
        </w:rPr>
        <w:t>a</w:t>
      </w:r>
      <w:r w:rsidRPr="00C71B5B">
        <w:rPr>
          <w:lang w:val="en-GB"/>
        </w:rPr>
        <w:t xml:space="preserve"> project financed by the US embassy and implemented by UNDP Moldova. The project aims to increase the overall quality of judgements and legal drafting in the Republic of Moldova; the report provides an assessment of current practices in the area of the judgement drafting and describes (perceived) shortcomings. It also depicts the way legal writing is taught at the National Institute of Justice (NIJ), the institution mandated to train future judges and prosecutors, and furnishes recommendations with a view to improving the training offered.</w:t>
      </w:r>
    </w:p>
    <w:p w14:paraId="1945D619" w14:textId="77777777" w:rsidR="004E0D26" w:rsidRDefault="00C71B5B" w:rsidP="00C71B5B">
      <w:pPr>
        <w:spacing w:line="360" w:lineRule="auto"/>
        <w:jc w:val="both"/>
        <w:rPr>
          <w:lang w:val="en-GB"/>
        </w:rPr>
      </w:pPr>
      <w:r w:rsidRPr="00C71B5B">
        <w:rPr>
          <w:lang w:val="en-GB"/>
        </w:rPr>
        <w:t xml:space="preserve">The report is based on the analysis of some 25 judgements rendered by courts across Moldova in various matters, which have been provided translated into English, as well as on a visit to Chisinau. During the visit, which lasted from 11 to 20 July, I conducted numerous interviews with judges, prosecutors, attorneys, candidates undergoing training at the NIJ and with staff of the NIJ and staff members of the Equality Council. </w:t>
      </w:r>
      <w:r w:rsidR="004E0D26">
        <w:rPr>
          <w:lang w:val="en-GB"/>
        </w:rPr>
        <w:t>I also participated in a three-day training on decisions in pre-trial detention cases taught at the NIJ by two US-Federal judges mostly (but not exclusively) attended by candidates undergoing training at the NIJ</w:t>
      </w:r>
    </w:p>
    <w:p w14:paraId="273336A1" w14:textId="77777777" w:rsidR="00C71B5B" w:rsidRPr="00C71B5B" w:rsidRDefault="00C71B5B" w:rsidP="00C71B5B">
      <w:pPr>
        <w:spacing w:line="360" w:lineRule="auto"/>
        <w:jc w:val="both"/>
        <w:rPr>
          <w:lang w:val="en-GB"/>
        </w:rPr>
      </w:pPr>
      <w:r w:rsidRPr="00C71B5B">
        <w:rPr>
          <w:lang w:val="en-GB"/>
        </w:rPr>
        <w:t>Finally, I have drawn on research which I conducted for purposes of other projects in the Republic of Moldova I had been engaged in.</w:t>
      </w:r>
      <w:r w:rsidR="006374D5">
        <w:rPr>
          <w:lang w:val="en-GB"/>
        </w:rPr>
        <w:t xml:space="preserve"> They included also 30 judgements given by the Supreme Court in corruption cases in the past years.</w:t>
      </w:r>
    </w:p>
    <w:p w14:paraId="72C38525" w14:textId="77777777" w:rsidR="00C71B5B" w:rsidRPr="00C71B5B" w:rsidRDefault="00C71B5B" w:rsidP="00C71B5B">
      <w:pPr>
        <w:spacing w:line="360" w:lineRule="auto"/>
        <w:jc w:val="both"/>
        <w:rPr>
          <w:lang w:val="en-GB"/>
        </w:rPr>
      </w:pPr>
      <w:r w:rsidRPr="00C71B5B">
        <w:rPr>
          <w:lang w:val="en-GB"/>
        </w:rPr>
        <w:t>This report does not deal with the merits of cases adjudged. I.e., it is not concerned with the question whether a defendant convicted in a criminal case should, in fact, have been acquitted or whether the plaintiff’s claim in a civil matter should have been granted rather than rejected. The report deals with the way in which judgements are drafted, their structure, clarity, and coherence.</w:t>
      </w:r>
    </w:p>
    <w:p w14:paraId="51D7C14B" w14:textId="77777777" w:rsidR="00C71B5B" w:rsidRPr="00C71B5B" w:rsidRDefault="00C71B5B" w:rsidP="00C71B5B">
      <w:pPr>
        <w:spacing w:line="360" w:lineRule="auto"/>
        <w:jc w:val="both"/>
        <w:rPr>
          <w:lang w:val="en-GB"/>
        </w:rPr>
      </w:pPr>
      <w:r w:rsidRPr="00C71B5B">
        <w:rPr>
          <w:lang w:val="en-GB"/>
        </w:rPr>
        <w:t>It may seem counter-intuitive to ask a person who has not undergone any legal training in the Republic of Moldova (in my case: a German attorney) for his opinion on the quality of judgements given by Moldovan courts. I would argue that I am well-positioned to asses to what extent the judgments I examined meet the criteria mentioned above, though.</w:t>
      </w:r>
    </w:p>
    <w:p w14:paraId="5D1F46F7" w14:textId="77777777" w:rsidR="00C71B5B" w:rsidRPr="00C71B5B" w:rsidRDefault="00C71B5B" w:rsidP="00C71B5B">
      <w:pPr>
        <w:spacing w:line="360" w:lineRule="auto"/>
        <w:jc w:val="both"/>
        <w:rPr>
          <w:lang w:val="en-GB"/>
        </w:rPr>
      </w:pPr>
      <w:r w:rsidRPr="00C71B5B">
        <w:rPr>
          <w:lang w:val="en-GB"/>
        </w:rPr>
        <w:t xml:space="preserve">International documents or research papers regarding the quality of judgements usually indicate that the language the judge employs should be clear, simple and concise and that the reasoning should be well structured, logical and coherent. These terms are not well defined; clarity is hard to measure. A workable (if not very academic) definition could be that a judgement is clear and coherent if an average reader is able to understand what the facts of the case were, how the court established them and how it applied the law to the facts. In his classic book on legal writing, Bryan Garner wrote: </w:t>
      </w:r>
    </w:p>
    <w:p w14:paraId="13F26114" w14:textId="77777777" w:rsidR="00C71B5B" w:rsidRPr="00C71B5B" w:rsidRDefault="00C71B5B" w:rsidP="00C71B5B">
      <w:pPr>
        <w:spacing w:line="360" w:lineRule="auto"/>
        <w:jc w:val="both"/>
        <w:rPr>
          <w:lang w:val="en-GB"/>
        </w:rPr>
      </w:pPr>
      <w:r w:rsidRPr="00C71B5B">
        <w:rPr>
          <w:i/>
          <w:lang w:val="en-GB"/>
        </w:rPr>
        <w:lastRenderedPageBreak/>
        <w:t xml:space="preserve">‘Some of the most effective judicial writers have a person of average intelligence and average education in mind as their reader. Many judges acknowledge that people other than lawyers or law students might actually read their opinions. In his Supreme Court confirmation hearings, Justice Stephen </w:t>
      </w:r>
      <w:proofErr w:type="spellStart"/>
      <w:r w:rsidRPr="00C71B5B">
        <w:rPr>
          <w:i/>
          <w:lang w:val="en-GB"/>
        </w:rPr>
        <w:t>Breyer</w:t>
      </w:r>
      <w:proofErr w:type="spellEnd"/>
      <w:r w:rsidRPr="00C71B5B">
        <w:rPr>
          <w:i/>
          <w:lang w:val="en-GB"/>
        </w:rPr>
        <w:t xml:space="preserve"> said that as an appellate judge, he wanted his opinions to be understandable to a high-school student</w:t>
      </w:r>
      <w:r w:rsidRPr="00C71B5B">
        <w:rPr>
          <w:lang w:val="en-GB"/>
        </w:rPr>
        <w:t>’</w:t>
      </w:r>
      <w:r w:rsidRPr="00C71B5B">
        <w:rPr>
          <w:vertAlign w:val="superscript"/>
          <w:lang w:val="en-GB"/>
        </w:rPr>
        <w:footnoteReference w:id="1"/>
      </w:r>
      <w:r w:rsidRPr="00C71B5B">
        <w:rPr>
          <w:lang w:val="en-GB"/>
        </w:rPr>
        <w:t xml:space="preserve"> </w:t>
      </w:r>
    </w:p>
    <w:p w14:paraId="5482EC98" w14:textId="77777777" w:rsidR="00C71B5B" w:rsidRPr="00C71B5B" w:rsidRDefault="00C71B5B" w:rsidP="00C71B5B">
      <w:pPr>
        <w:spacing w:line="360" w:lineRule="auto"/>
        <w:jc w:val="both"/>
        <w:rPr>
          <w:lang w:val="en-GB"/>
        </w:rPr>
      </w:pPr>
      <w:r w:rsidRPr="00C71B5B">
        <w:rPr>
          <w:lang w:val="en-GB"/>
        </w:rPr>
        <w:t>This is the standard I applied when assessing the reasoning of the judgements I read when preparing this report.</w:t>
      </w:r>
    </w:p>
    <w:p w14:paraId="3DBB6321" w14:textId="77777777" w:rsidR="00C71B5B" w:rsidRPr="00C71B5B" w:rsidRDefault="00C71B5B" w:rsidP="00C71B5B">
      <w:pPr>
        <w:spacing w:line="360" w:lineRule="auto"/>
        <w:jc w:val="both"/>
        <w:rPr>
          <w:lang w:val="en-GB"/>
        </w:rPr>
      </w:pPr>
      <w:r w:rsidRPr="00C71B5B">
        <w:rPr>
          <w:lang w:val="en-GB"/>
        </w:rPr>
        <w:t>Most readers will not be familiar with the judgments on which I based the report. This created a dilemma: I could either try to substantiate my findings by using examples, which would entail citing (often: lengthy) extracts from judgments and render the report hard to read. Or I could just present my conclusions, inviting the criticism that the report criticizing the reasoning of judgments was itself not substantiated very well. I opted for the first alternative, hoping that the increased validity would outweigh the inconvenience.</w:t>
      </w:r>
    </w:p>
    <w:p w14:paraId="58D6AFA5" w14:textId="77777777" w:rsidR="00C71B5B" w:rsidRDefault="00C71B5B" w:rsidP="00C71B5B">
      <w:pPr>
        <w:spacing w:line="360" w:lineRule="auto"/>
        <w:jc w:val="both"/>
        <w:rPr>
          <w:lang w:val="en-GB"/>
        </w:rPr>
      </w:pPr>
    </w:p>
    <w:p w14:paraId="3F1D31CC" w14:textId="77777777" w:rsidR="00C71B5B" w:rsidRDefault="00C71B5B" w:rsidP="00C71B5B">
      <w:pPr>
        <w:spacing w:line="360" w:lineRule="auto"/>
        <w:jc w:val="both"/>
        <w:rPr>
          <w:lang w:val="en-GB"/>
        </w:rPr>
      </w:pPr>
    </w:p>
    <w:p w14:paraId="5E0C2551" w14:textId="77777777" w:rsidR="00C71B5B" w:rsidRDefault="00C71B5B" w:rsidP="00C71B5B">
      <w:pPr>
        <w:rPr>
          <w:lang w:val="en-GB"/>
        </w:rPr>
      </w:pPr>
    </w:p>
    <w:p w14:paraId="130075D6" w14:textId="77777777" w:rsidR="007E6D19" w:rsidRDefault="007E6D19" w:rsidP="00C71B5B">
      <w:pPr>
        <w:pStyle w:val="berschrift1"/>
        <w:rPr>
          <w:lang w:val="en-GB"/>
        </w:rPr>
      </w:pPr>
      <w:bookmarkStart w:id="1" w:name="_Toc3821697"/>
      <w:r>
        <w:rPr>
          <w:lang w:val="en-GB"/>
        </w:rPr>
        <w:t>Summary</w:t>
      </w:r>
      <w:bookmarkEnd w:id="1"/>
      <w:r w:rsidR="00CB7715">
        <w:rPr>
          <w:lang w:val="en-GB"/>
        </w:rPr>
        <w:t xml:space="preserve"> </w:t>
      </w:r>
    </w:p>
    <w:p w14:paraId="13B54B51" w14:textId="77777777" w:rsidR="00B96923" w:rsidRDefault="00B96923" w:rsidP="00C81505">
      <w:pPr>
        <w:spacing w:line="360" w:lineRule="auto"/>
        <w:rPr>
          <w:lang w:val="en-GB"/>
        </w:rPr>
      </w:pPr>
    </w:p>
    <w:p w14:paraId="2D171B39" w14:textId="77777777" w:rsidR="003A778B" w:rsidRDefault="00B96923" w:rsidP="00C81505">
      <w:pPr>
        <w:spacing w:line="360" w:lineRule="auto"/>
        <w:jc w:val="both"/>
        <w:rPr>
          <w:lang w:val="en-GB"/>
        </w:rPr>
      </w:pPr>
      <w:r>
        <w:rPr>
          <w:lang w:val="en-GB"/>
        </w:rPr>
        <w:t xml:space="preserve">A number of judgements rendered by various courts in the Republic of Moldova have been analysed for purposes of this report. Their reasoning was frequently flawed.  Judges tend to describe the evidence before them rather than to analyse it. They often rephrase witness testimony at length but fail to </w:t>
      </w:r>
      <w:r w:rsidR="00F31AF8">
        <w:rPr>
          <w:lang w:val="en-GB"/>
        </w:rPr>
        <w:t xml:space="preserve">elaborate on the relationship between different pieces of evidence or testimonies (corroboration, inconsistencies etc.). When assessing evidence, judges often </w:t>
      </w:r>
      <w:r w:rsidR="001E0CA0">
        <w:rPr>
          <w:lang w:val="en-GB"/>
        </w:rPr>
        <w:t>confine</w:t>
      </w:r>
      <w:r w:rsidR="00F31AF8">
        <w:rPr>
          <w:lang w:val="en-GB"/>
        </w:rPr>
        <w:t xml:space="preserve"> themselves to standard phrases (‘the court a</w:t>
      </w:r>
      <w:r w:rsidR="003A778B">
        <w:rPr>
          <w:lang w:val="en-GB"/>
        </w:rPr>
        <w:t xml:space="preserve">ssesses the testimony of witness </w:t>
      </w:r>
      <w:r w:rsidR="001E0CA0">
        <w:rPr>
          <w:lang w:val="en-GB"/>
        </w:rPr>
        <w:t>X</w:t>
      </w:r>
      <w:r w:rsidR="003A778B">
        <w:rPr>
          <w:lang w:val="en-GB"/>
        </w:rPr>
        <w:t xml:space="preserve"> critically</w:t>
      </w:r>
      <w:r w:rsidR="00BD739F">
        <w:rPr>
          <w:lang w:val="en-GB"/>
        </w:rPr>
        <w:t>’</w:t>
      </w:r>
      <w:r w:rsidR="003A778B">
        <w:rPr>
          <w:lang w:val="en-GB"/>
        </w:rPr>
        <w:t>) instead of dealing with the specificities of a given piece of evidence and providing reasons for their assessment.</w:t>
      </w:r>
    </w:p>
    <w:p w14:paraId="6A7C2768" w14:textId="77777777" w:rsidR="003A778B" w:rsidRDefault="003A778B" w:rsidP="00C81505">
      <w:pPr>
        <w:spacing w:line="360" w:lineRule="auto"/>
        <w:jc w:val="both"/>
        <w:rPr>
          <w:lang w:val="en-GB"/>
        </w:rPr>
      </w:pPr>
      <w:r>
        <w:rPr>
          <w:lang w:val="en-GB"/>
        </w:rPr>
        <w:t xml:space="preserve">Judgment frequently refer to an abundance of legal provisions or statutes. It does not always become clear what impact these statutes have </w:t>
      </w:r>
      <w:r w:rsidR="003D7265">
        <w:rPr>
          <w:lang w:val="en-GB"/>
        </w:rPr>
        <w:t>on</w:t>
      </w:r>
      <w:r>
        <w:rPr>
          <w:lang w:val="en-GB"/>
        </w:rPr>
        <w:t xml:space="preserve"> the ruling in the case</w:t>
      </w:r>
      <w:r w:rsidR="003D7265">
        <w:rPr>
          <w:lang w:val="en-GB"/>
        </w:rPr>
        <w:t xml:space="preserve"> or in how far they are even relevant</w:t>
      </w:r>
      <w:r>
        <w:rPr>
          <w:lang w:val="en-GB"/>
        </w:rPr>
        <w:t xml:space="preserve">. </w:t>
      </w:r>
    </w:p>
    <w:p w14:paraId="3800A87C" w14:textId="77777777" w:rsidR="003D7265" w:rsidRDefault="00D94D1E" w:rsidP="00C81505">
      <w:pPr>
        <w:spacing w:line="360" w:lineRule="auto"/>
        <w:jc w:val="both"/>
        <w:rPr>
          <w:lang w:val="en-GB"/>
        </w:rPr>
      </w:pPr>
      <w:r>
        <w:rPr>
          <w:lang w:val="en-GB"/>
        </w:rPr>
        <w:t>When applying legal provisions to the facts of the case, judges generally do not break down the provision in question into its requirements. They apply the section or article in its entirety to the facts of the case (‘</w:t>
      </w:r>
      <w:r w:rsidRPr="00E65068">
        <w:rPr>
          <w:i/>
          <w:lang w:val="en-GB"/>
        </w:rPr>
        <w:t xml:space="preserve">On the basis of the above mentioned, the court qualifies the actions of the defendant on the basis of art.145 par. (2) </w:t>
      </w:r>
      <w:proofErr w:type="gramStart"/>
      <w:r w:rsidRPr="00E65068">
        <w:rPr>
          <w:i/>
          <w:lang w:val="en-GB"/>
        </w:rPr>
        <w:t>lit.e</w:t>
      </w:r>
      <w:proofErr w:type="gramEnd"/>
      <w:r w:rsidRPr="00E65068">
        <w:rPr>
          <w:i/>
          <w:lang w:val="en-GB"/>
        </w:rPr>
        <w:t xml:space="preserve">1) j) Criminal Code of the Republic of Moldova, following the signs: </w:t>
      </w:r>
      <w:r w:rsidRPr="00E65068">
        <w:rPr>
          <w:i/>
          <w:lang w:val="en-GB"/>
        </w:rPr>
        <w:lastRenderedPageBreak/>
        <w:t>killing a person committed against a family member and with great cruelty.’</w:t>
      </w:r>
      <w:r>
        <w:rPr>
          <w:lang w:val="en-GB"/>
        </w:rPr>
        <w:t>) Thus, it does not become clear how specific facts the court has established correspond to specific legal requirements contained in a legal provision. The application of the law to the facts remains obscure.</w:t>
      </w:r>
    </w:p>
    <w:p w14:paraId="0C4C5F83" w14:textId="77777777" w:rsidR="00C81505" w:rsidRDefault="00C81505" w:rsidP="00C81505">
      <w:pPr>
        <w:spacing w:line="360" w:lineRule="auto"/>
        <w:jc w:val="both"/>
        <w:rPr>
          <w:lang w:val="en-GB"/>
        </w:rPr>
      </w:pPr>
      <w:r>
        <w:rPr>
          <w:lang w:val="en-GB"/>
        </w:rPr>
        <w:t>The language employed is often convoluted and hard to understand.</w:t>
      </w:r>
    </w:p>
    <w:p w14:paraId="68F8DC7C" w14:textId="77777777" w:rsidR="00D94D1E" w:rsidRDefault="001E0CA0" w:rsidP="00C81505">
      <w:pPr>
        <w:spacing w:line="360" w:lineRule="auto"/>
        <w:jc w:val="both"/>
        <w:rPr>
          <w:lang w:val="en-GB"/>
        </w:rPr>
      </w:pPr>
      <w:r>
        <w:rPr>
          <w:lang w:val="en-GB"/>
        </w:rPr>
        <w:t xml:space="preserve">Since the judgments analysed had been given by courts from various regions of Moldova in different areas of law, it may be assumed that the aforementioned short-comings do not reflect only on a small number of judgments but are widespread and systemic. </w:t>
      </w:r>
      <w:r w:rsidR="00655BCA">
        <w:rPr>
          <w:lang w:val="en-GB"/>
        </w:rPr>
        <w:t>This seems to be attributable</w:t>
      </w:r>
      <w:r w:rsidR="000B7C5E">
        <w:rPr>
          <w:lang w:val="en-GB"/>
        </w:rPr>
        <w:t>,</w:t>
      </w:r>
      <w:r w:rsidR="00655BCA">
        <w:rPr>
          <w:lang w:val="en-GB"/>
        </w:rPr>
        <w:t xml:space="preserve"> at least in part to the training on legal drafting judges receive. </w:t>
      </w:r>
      <w:r w:rsidR="006A5524">
        <w:rPr>
          <w:lang w:val="en-GB"/>
        </w:rPr>
        <w:t xml:space="preserve">During their university education, law students do not receive any formal training on legal writing. Judges have to acquire their writing-skills </w:t>
      </w:r>
      <w:r w:rsidR="00F24791">
        <w:rPr>
          <w:lang w:val="en-GB"/>
        </w:rPr>
        <w:t xml:space="preserve">practicing law </w:t>
      </w:r>
      <w:r w:rsidR="00896A4F">
        <w:rPr>
          <w:lang w:val="en-GB"/>
        </w:rPr>
        <w:t>or during their traineeship. Since 2007, the National Institute of Justice (NIJ) is entrusted with the initial and continuing education of judges.  The NIJ has recently changed its methodology. The initial training is now mainly conducted on the basis of mock t</w:t>
      </w:r>
      <w:r w:rsidR="00C62C11">
        <w:rPr>
          <w:lang w:val="en-GB"/>
        </w:rPr>
        <w:t>rials</w:t>
      </w:r>
      <w:r w:rsidR="00896A4F">
        <w:rPr>
          <w:lang w:val="en-GB"/>
        </w:rPr>
        <w:t>, in which candidates enrolled in the NIJ assume the roles</w:t>
      </w:r>
      <w:r w:rsidR="00D029EA">
        <w:rPr>
          <w:lang w:val="en-GB"/>
        </w:rPr>
        <w:t xml:space="preserve"> of judges, prosecutors etc. under the guidance of experienced legal practitioners (mostly practicing judges and prosecutors). </w:t>
      </w:r>
    </w:p>
    <w:p w14:paraId="2E2F6E38" w14:textId="77777777" w:rsidR="00AB1460" w:rsidRDefault="00AB1460" w:rsidP="00C81505">
      <w:pPr>
        <w:spacing w:line="360" w:lineRule="auto"/>
        <w:jc w:val="both"/>
        <w:rPr>
          <w:lang w:val="en-GB"/>
        </w:rPr>
      </w:pPr>
      <w:r>
        <w:rPr>
          <w:lang w:val="en-GB"/>
        </w:rPr>
        <w:t xml:space="preserve">While this methodology is promising in many ways, it remains doubtful whether it is </w:t>
      </w:r>
      <w:r w:rsidR="00C62C11">
        <w:rPr>
          <w:lang w:val="en-GB"/>
        </w:rPr>
        <w:t>suitable to provide candidate with the necessary drafting skills. The time dedicated to legal drafting is insufficient; candidates do not receive enough writing assignments and the feedback mentors provide on</w:t>
      </w:r>
      <w:r w:rsidR="00D634F0">
        <w:rPr>
          <w:lang w:val="en-GB"/>
        </w:rPr>
        <w:t xml:space="preserve"> documents drafted in the course of the mock trials is too superficial.</w:t>
      </w:r>
    </w:p>
    <w:p w14:paraId="6CA426C5" w14:textId="77777777" w:rsidR="00C25F26" w:rsidRDefault="007E6D19" w:rsidP="00C71B5B">
      <w:pPr>
        <w:spacing w:line="360" w:lineRule="auto"/>
        <w:rPr>
          <w:lang w:val="en-GB"/>
        </w:rPr>
      </w:pPr>
      <w:r>
        <w:rPr>
          <w:lang w:val="en-GB"/>
        </w:rPr>
        <w:br w:type="page"/>
      </w:r>
    </w:p>
    <w:p w14:paraId="707037E5" w14:textId="77777777" w:rsidR="000F6833" w:rsidRDefault="00BC162D" w:rsidP="00C81505">
      <w:pPr>
        <w:pStyle w:val="berschrift1"/>
        <w:spacing w:line="360" w:lineRule="auto"/>
        <w:rPr>
          <w:lang w:val="en-GB"/>
        </w:rPr>
      </w:pPr>
      <w:bookmarkStart w:id="2" w:name="_Toc3821698"/>
      <w:r>
        <w:rPr>
          <w:lang w:val="en-GB"/>
        </w:rPr>
        <w:lastRenderedPageBreak/>
        <w:t>International standards</w:t>
      </w:r>
      <w:bookmarkEnd w:id="2"/>
    </w:p>
    <w:p w14:paraId="1C1D2E6D" w14:textId="77777777" w:rsidR="00BC162D" w:rsidRDefault="007764B0" w:rsidP="00C81505">
      <w:pPr>
        <w:pStyle w:val="berschrift2"/>
        <w:spacing w:line="360" w:lineRule="auto"/>
        <w:rPr>
          <w:lang w:val="en-GB"/>
        </w:rPr>
      </w:pPr>
      <w:bookmarkStart w:id="3" w:name="_Toc3821699"/>
      <w:r>
        <w:rPr>
          <w:lang w:val="en-GB"/>
        </w:rPr>
        <w:t>Opinion no. 11 of the Consultative Council of European Judges</w:t>
      </w:r>
      <w:bookmarkEnd w:id="3"/>
    </w:p>
    <w:p w14:paraId="268AC42C" w14:textId="77777777" w:rsidR="007764B0" w:rsidRDefault="007764B0" w:rsidP="00C81505">
      <w:pPr>
        <w:pStyle w:val="berschrift2"/>
        <w:spacing w:line="360" w:lineRule="auto"/>
        <w:rPr>
          <w:lang w:val="en-GB"/>
        </w:rPr>
      </w:pPr>
    </w:p>
    <w:p w14:paraId="349484C8" w14:textId="77777777" w:rsidR="007764B0" w:rsidRPr="007764B0" w:rsidRDefault="007764B0" w:rsidP="00C81505">
      <w:pPr>
        <w:spacing w:line="360" w:lineRule="auto"/>
        <w:jc w:val="both"/>
        <w:rPr>
          <w:lang w:val="en-GB"/>
        </w:rPr>
      </w:pPr>
      <w:r w:rsidRPr="007764B0">
        <w:rPr>
          <w:lang w:val="en-GB"/>
        </w:rPr>
        <w:t xml:space="preserve">The Consultative Council of European Judges has dealt with the quality of judgments in its opinion no. 11 of 8 November 2007. </w:t>
      </w:r>
    </w:p>
    <w:p w14:paraId="40B6BA5B" w14:textId="77777777" w:rsidR="007764B0" w:rsidRPr="007764B0" w:rsidRDefault="007764B0" w:rsidP="00C81505">
      <w:pPr>
        <w:spacing w:line="360" w:lineRule="auto"/>
        <w:jc w:val="both"/>
        <w:rPr>
          <w:lang w:val="en-GB"/>
        </w:rPr>
      </w:pPr>
      <w:r w:rsidRPr="007764B0">
        <w:rPr>
          <w:lang w:val="en-GB"/>
        </w:rPr>
        <w:t xml:space="preserve">The </w:t>
      </w:r>
      <w:r w:rsidR="00CA69D0">
        <w:rPr>
          <w:lang w:val="en-GB"/>
        </w:rPr>
        <w:t>O</w:t>
      </w:r>
      <w:r w:rsidRPr="007764B0">
        <w:rPr>
          <w:lang w:val="en-GB"/>
        </w:rPr>
        <w:t xml:space="preserve">pinion distinguishes between external factors which impact the quality of judicial decisions and factors inherent to the decisions themselves. External factors include </w:t>
      </w:r>
      <w:r w:rsidR="000E34E1">
        <w:rPr>
          <w:lang w:val="en-GB"/>
        </w:rPr>
        <w:t xml:space="preserve">the </w:t>
      </w:r>
      <w:r w:rsidRPr="007764B0">
        <w:rPr>
          <w:lang w:val="en-GB"/>
        </w:rPr>
        <w:t xml:space="preserve">resources available to judges, </w:t>
      </w:r>
      <w:r w:rsidR="000E34E1">
        <w:rPr>
          <w:lang w:val="en-GB"/>
        </w:rPr>
        <w:t xml:space="preserve">the </w:t>
      </w:r>
      <w:r w:rsidRPr="007764B0">
        <w:rPr>
          <w:lang w:val="en-GB"/>
        </w:rPr>
        <w:t xml:space="preserve">training they undergo and the legal framework within which judges operate. </w:t>
      </w:r>
    </w:p>
    <w:p w14:paraId="3D181CC3" w14:textId="77777777" w:rsidR="007764B0" w:rsidRPr="007764B0" w:rsidRDefault="007764B0" w:rsidP="00C81505">
      <w:pPr>
        <w:spacing w:line="360" w:lineRule="auto"/>
        <w:jc w:val="both"/>
        <w:rPr>
          <w:lang w:val="en-GB"/>
        </w:rPr>
      </w:pPr>
      <w:r w:rsidRPr="007764B0">
        <w:rPr>
          <w:lang w:val="en-GB"/>
        </w:rPr>
        <w:t>With regard to factors inherent to a judicial decision</w:t>
      </w:r>
      <w:r>
        <w:rPr>
          <w:lang w:val="en-GB"/>
        </w:rPr>
        <w:t xml:space="preserve">, </w:t>
      </w:r>
      <w:r w:rsidR="00CA69D0">
        <w:rPr>
          <w:lang w:val="en-GB"/>
        </w:rPr>
        <w:t>O</w:t>
      </w:r>
      <w:r w:rsidRPr="007764B0">
        <w:rPr>
          <w:lang w:val="en-GB"/>
        </w:rPr>
        <w:t>pinion no. 11 highlights the clarity of decisions and their reasoning</w:t>
      </w:r>
      <w:r w:rsidR="00B11BFE">
        <w:rPr>
          <w:lang w:val="en-GB"/>
        </w:rPr>
        <w:t xml:space="preserve"> as </w:t>
      </w:r>
      <w:r w:rsidR="00CC0BAF">
        <w:rPr>
          <w:lang w:val="en-GB"/>
        </w:rPr>
        <w:t>characteristics</w:t>
      </w:r>
      <w:r w:rsidR="00B11BFE">
        <w:rPr>
          <w:lang w:val="en-GB"/>
        </w:rPr>
        <w:t xml:space="preserve"> </w:t>
      </w:r>
      <w:r w:rsidR="00CC0BAF">
        <w:rPr>
          <w:lang w:val="en-GB"/>
        </w:rPr>
        <w:t>of high-</w:t>
      </w:r>
      <w:r w:rsidR="00B11BFE">
        <w:rPr>
          <w:lang w:val="en-GB"/>
        </w:rPr>
        <w:t>quality judgments</w:t>
      </w:r>
      <w:r w:rsidRPr="007764B0">
        <w:rPr>
          <w:lang w:val="en-GB"/>
        </w:rPr>
        <w:t xml:space="preserve">. </w:t>
      </w:r>
      <w:r>
        <w:rPr>
          <w:lang w:val="en-GB"/>
        </w:rPr>
        <w:t>It</w:t>
      </w:r>
      <w:r w:rsidRPr="007764B0">
        <w:rPr>
          <w:lang w:val="en-GB"/>
        </w:rPr>
        <w:t xml:space="preserve"> underscores that judicial decision</w:t>
      </w:r>
      <w:r>
        <w:rPr>
          <w:lang w:val="en-GB"/>
        </w:rPr>
        <w:t>s</w:t>
      </w:r>
      <w:r w:rsidRPr="007764B0">
        <w:rPr>
          <w:lang w:val="en-GB"/>
        </w:rPr>
        <w:t xml:space="preserve"> should be </w:t>
      </w:r>
      <w:r w:rsidRPr="007764B0">
        <w:rPr>
          <w:i/>
          <w:lang w:val="en-GB"/>
        </w:rPr>
        <w:t>‘intelligible, drafted in clear and simple language - a prerequisite to their being understood by the parties and the general public. This requires them to be coherently organised with reasoning in a clear style accessible to everyone’.</w:t>
      </w:r>
    </w:p>
    <w:p w14:paraId="6114274D" w14:textId="77777777" w:rsidR="007764B0" w:rsidRDefault="007764B0" w:rsidP="00C81505">
      <w:pPr>
        <w:spacing w:line="360" w:lineRule="auto"/>
        <w:jc w:val="both"/>
        <w:rPr>
          <w:lang w:val="en-GB"/>
        </w:rPr>
      </w:pPr>
      <w:r>
        <w:rPr>
          <w:lang w:val="en-GB"/>
        </w:rPr>
        <w:t>A</w:t>
      </w:r>
      <w:r w:rsidRPr="007764B0">
        <w:rPr>
          <w:lang w:val="en-GB"/>
        </w:rPr>
        <w:t>s a core element determining the quality of judicial decisions</w:t>
      </w:r>
      <w:r>
        <w:rPr>
          <w:lang w:val="en-GB"/>
        </w:rPr>
        <w:t xml:space="preserve"> the Opinion identifies</w:t>
      </w:r>
      <w:r w:rsidRPr="007764B0">
        <w:rPr>
          <w:lang w:val="en-GB"/>
        </w:rPr>
        <w:t xml:space="preserve"> their reasoning, which has to </w:t>
      </w:r>
      <w:r w:rsidRPr="007764B0">
        <w:rPr>
          <w:i/>
          <w:lang w:val="en-GB"/>
        </w:rPr>
        <w:t>‘be consistent, clear, unambiguous and not contradictory’</w:t>
      </w:r>
      <w:r w:rsidRPr="007764B0">
        <w:rPr>
          <w:lang w:val="en-GB"/>
        </w:rPr>
        <w:t xml:space="preserve"> and </w:t>
      </w:r>
      <w:r w:rsidRPr="007764B0">
        <w:rPr>
          <w:i/>
          <w:lang w:val="en-GB"/>
        </w:rPr>
        <w:t>‘must allow the reader to follow the chain of reasoning which led the judge to the decision’.</w:t>
      </w:r>
      <w:r w:rsidRPr="007764B0">
        <w:rPr>
          <w:lang w:val="en-GB"/>
        </w:rPr>
        <w:t xml:space="preserve"> In this context, the opinion highlights that proper reasoning of judicial decisions is above all a </w:t>
      </w:r>
      <w:r>
        <w:rPr>
          <w:i/>
          <w:lang w:val="en-GB"/>
        </w:rPr>
        <w:t>‘</w:t>
      </w:r>
      <w:r w:rsidRPr="007764B0">
        <w:rPr>
          <w:i/>
          <w:lang w:val="en-GB"/>
        </w:rPr>
        <w:t>safeguard against arbitrariness</w:t>
      </w:r>
      <w:r>
        <w:rPr>
          <w:lang w:val="en-GB"/>
        </w:rPr>
        <w:t>’</w:t>
      </w:r>
      <w:r w:rsidRPr="007764B0">
        <w:rPr>
          <w:lang w:val="en-GB"/>
        </w:rPr>
        <w:t xml:space="preserve">. </w:t>
      </w:r>
    </w:p>
    <w:p w14:paraId="5D34933B" w14:textId="77777777" w:rsidR="007764B0" w:rsidRPr="007764B0" w:rsidRDefault="007764B0" w:rsidP="00C81505">
      <w:pPr>
        <w:spacing w:line="360" w:lineRule="auto"/>
        <w:jc w:val="both"/>
        <w:rPr>
          <w:lang w:val="en-GB"/>
        </w:rPr>
      </w:pPr>
      <w:r w:rsidRPr="007764B0">
        <w:rPr>
          <w:lang w:val="en-GB"/>
        </w:rPr>
        <w:t>I</w:t>
      </w:r>
      <w:r>
        <w:rPr>
          <w:lang w:val="en-GB"/>
        </w:rPr>
        <w:t>n line with the jurisprudence of the European Court of Human Rights, the Opinion set</w:t>
      </w:r>
      <w:r w:rsidR="00CA69D0">
        <w:rPr>
          <w:lang w:val="en-GB"/>
        </w:rPr>
        <w:t>s</w:t>
      </w:r>
      <w:r>
        <w:rPr>
          <w:lang w:val="en-GB"/>
        </w:rPr>
        <w:t xml:space="preserve"> out that judgments should address the </w:t>
      </w:r>
      <w:r w:rsidR="00CA69D0">
        <w:rPr>
          <w:lang w:val="en-GB"/>
        </w:rPr>
        <w:t>parties’ main arguments</w:t>
      </w:r>
      <w:r>
        <w:rPr>
          <w:lang w:val="en-GB"/>
        </w:rPr>
        <w:t xml:space="preserve">, but do not have to answer </w:t>
      </w:r>
      <w:r w:rsidR="00CA69D0">
        <w:rPr>
          <w:lang w:val="en-GB"/>
        </w:rPr>
        <w:t>to every single submission.</w:t>
      </w:r>
    </w:p>
    <w:p w14:paraId="45012B9B" w14:textId="77777777" w:rsidR="007764B0" w:rsidRPr="007764B0" w:rsidRDefault="007764B0" w:rsidP="00C81505">
      <w:pPr>
        <w:spacing w:line="360" w:lineRule="auto"/>
        <w:jc w:val="both"/>
        <w:rPr>
          <w:lang w:val="en-GB"/>
        </w:rPr>
      </w:pPr>
      <w:r w:rsidRPr="007764B0">
        <w:rPr>
          <w:lang w:val="en-GB"/>
        </w:rPr>
        <w:t xml:space="preserve">In addition to that, </w:t>
      </w:r>
      <w:r w:rsidR="00CA69D0">
        <w:rPr>
          <w:lang w:val="en-GB"/>
        </w:rPr>
        <w:t>O</w:t>
      </w:r>
      <w:r w:rsidRPr="007764B0">
        <w:rPr>
          <w:lang w:val="en-GB"/>
        </w:rPr>
        <w:t xml:space="preserve">pinion no. 11 stresses that judicial decisions should </w:t>
      </w:r>
      <w:r w:rsidR="00CC0BAF">
        <w:rPr>
          <w:lang w:val="en-GB"/>
        </w:rPr>
        <w:t>deal with</w:t>
      </w:r>
      <w:r w:rsidRPr="007764B0">
        <w:rPr>
          <w:lang w:val="en-GB"/>
        </w:rPr>
        <w:t xml:space="preserve"> the </w:t>
      </w:r>
      <w:r w:rsidRPr="007764B0">
        <w:rPr>
          <w:i/>
          <w:lang w:val="en-GB"/>
        </w:rPr>
        <w:t>‘factual and legal issues lying at the heart of the dispute’</w:t>
      </w:r>
      <w:r w:rsidRPr="007764B0">
        <w:rPr>
          <w:lang w:val="en-GB"/>
        </w:rPr>
        <w:t xml:space="preserve">. In regard to factual issues, the opinion states that </w:t>
      </w:r>
      <w:r w:rsidRPr="007764B0">
        <w:rPr>
          <w:i/>
          <w:lang w:val="en-GB"/>
        </w:rPr>
        <w:t>‘the judge may have to address objections to the evidence, especially in terms of its admissibility. The judge will also consider the weight of the factual evidence likely to be relevant for the resolution of the dispute’</w:t>
      </w:r>
      <w:r w:rsidRPr="007764B0">
        <w:rPr>
          <w:lang w:val="en-GB"/>
        </w:rPr>
        <w:t>.</w:t>
      </w:r>
    </w:p>
    <w:p w14:paraId="58F2A5BC" w14:textId="77777777" w:rsidR="007764B0" w:rsidRPr="007764B0" w:rsidRDefault="007764B0" w:rsidP="00C81505">
      <w:pPr>
        <w:spacing w:line="360" w:lineRule="auto"/>
        <w:jc w:val="both"/>
        <w:rPr>
          <w:lang w:val="en-GB"/>
        </w:rPr>
      </w:pPr>
      <w:r w:rsidRPr="007764B0">
        <w:rPr>
          <w:lang w:val="en-GB"/>
        </w:rPr>
        <w:t>As far as the legal issues are concerned, the opinion states that ‘</w:t>
      </w:r>
      <w:r w:rsidRPr="007764B0">
        <w:rPr>
          <w:i/>
          <w:lang w:val="en-GB"/>
        </w:rPr>
        <w:t xml:space="preserve">examining the legal issues entails applying the rules of national, European and international law. The reasons should refer to the relevant provisions of the Constitution or relevant national, European and international law. Where appropriate, reference to national, European or international case-law, including reference to case-law from courts of other countries, as well as reference to legal literature, can be useful’ </w:t>
      </w:r>
    </w:p>
    <w:p w14:paraId="6FCD01A0" w14:textId="77777777" w:rsidR="007764B0" w:rsidRPr="007764B0" w:rsidRDefault="007764B0" w:rsidP="00C81505">
      <w:pPr>
        <w:spacing w:line="360" w:lineRule="auto"/>
        <w:jc w:val="both"/>
        <w:rPr>
          <w:i/>
          <w:lang w:val="en-GB"/>
        </w:rPr>
      </w:pPr>
      <w:r w:rsidRPr="007764B0">
        <w:rPr>
          <w:lang w:val="en-GB"/>
        </w:rPr>
        <w:lastRenderedPageBreak/>
        <w:t xml:space="preserve">While these issues should be addressed, the </w:t>
      </w:r>
      <w:r w:rsidR="00CA69D0">
        <w:rPr>
          <w:lang w:val="en-GB"/>
        </w:rPr>
        <w:t>O</w:t>
      </w:r>
      <w:r w:rsidRPr="007764B0">
        <w:rPr>
          <w:lang w:val="en-GB"/>
        </w:rPr>
        <w:t>pinion underlines that judgment and other judicial decisions should not necessarily</w:t>
      </w:r>
      <w:r w:rsidR="00CC0BAF">
        <w:rPr>
          <w:lang w:val="en-GB"/>
        </w:rPr>
        <w:t xml:space="preserve"> be</w:t>
      </w:r>
      <w:r w:rsidRPr="007764B0">
        <w:rPr>
          <w:lang w:val="en-GB"/>
        </w:rPr>
        <w:t xml:space="preserve"> long. Rather, they have to strike </w:t>
      </w:r>
      <w:r w:rsidRPr="007764B0">
        <w:rPr>
          <w:i/>
          <w:lang w:val="en-GB"/>
        </w:rPr>
        <w:t>‘a proper balance (…) between the conciseness and the proper understanding of the decision’</w:t>
      </w:r>
    </w:p>
    <w:p w14:paraId="26C43948" w14:textId="77777777" w:rsidR="006C5D20" w:rsidRDefault="006C5D20" w:rsidP="00C81505">
      <w:pPr>
        <w:spacing w:line="360" w:lineRule="auto"/>
        <w:jc w:val="both"/>
        <w:rPr>
          <w:lang w:val="en-GB"/>
        </w:rPr>
      </w:pPr>
    </w:p>
    <w:p w14:paraId="50D65732" w14:textId="77777777" w:rsidR="006C5D20" w:rsidRDefault="006C5D20" w:rsidP="00C81505">
      <w:pPr>
        <w:pStyle w:val="berschrift2"/>
        <w:spacing w:line="360" w:lineRule="auto"/>
        <w:rPr>
          <w:lang w:val="en-GB"/>
        </w:rPr>
      </w:pPr>
      <w:bookmarkStart w:id="4" w:name="_Toc3821700"/>
      <w:r>
        <w:rPr>
          <w:lang w:val="en-GB"/>
        </w:rPr>
        <w:t>Article 14 ICCPR</w:t>
      </w:r>
      <w:bookmarkEnd w:id="4"/>
    </w:p>
    <w:p w14:paraId="49DC0369" w14:textId="77777777" w:rsidR="006C5D20" w:rsidRDefault="00C90C5F" w:rsidP="00C81505">
      <w:pPr>
        <w:spacing w:line="360" w:lineRule="auto"/>
        <w:jc w:val="both"/>
        <w:rPr>
          <w:lang w:val="en-GB"/>
        </w:rPr>
      </w:pPr>
      <w:r w:rsidRPr="00C90C5F">
        <w:rPr>
          <w:lang w:val="en-GB"/>
        </w:rPr>
        <w:t xml:space="preserve">Article 14 of the International </w:t>
      </w:r>
      <w:r w:rsidR="006C5D20">
        <w:rPr>
          <w:lang w:val="en-GB"/>
        </w:rPr>
        <w:t>C</w:t>
      </w:r>
      <w:r w:rsidRPr="00C90C5F">
        <w:rPr>
          <w:lang w:val="en-GB"/>
        </w:rPr>
        <w:t xml:space="preserve">ovenant on </w:t>
      </w:r>
      <w:r w:rsidR="006C5D20">
        <w:rPr>
          <w:lang w:val="en-GB"/>
        </w:rPr>
        <w:t>C</w:t>
      </w:r>
      <w:r w:rsidRPr="00C90C5F">
        <w:rPr>
          <w:lang w:val="en-GB"/>
        </w:rPr>
        <w:t xml:space="preserve">ivil and </w:t>
      </w:r>
      <w:r w:rsidR="006C5D20">
        <w:rPr>
          <w:lang w:val="en-GB"/>
        </w:rPr>
        <w:t>P</w:t>
      </w:r>
      <w:r w:rsidRPr="00C90C5F">
        <w:rPr>
          <w:lang w:val="en-GB"/>
        </w:rPr>
        <w:t xml:space="preserve">olitical </w:t>
      </w:r>
      <w:r w:rsidR="006C5D20">
        <w:rPr>
          <w:lang w:val="en-GB"/>
        </w:rPr>
        <w:t>R</w:t>
      </w:r>
      <w:r w:rsidRPr="00C90C5F">
        <w:rPr>
          <w:lang w:val="en-GB"/>
        </w:rPr>
        <w:t>ights</w:t>
      </w:r>
      <w:r w:rsidR="006C5D20">
        <w:rPr>
          <w:lang w:val="en-GB"/>
        </w:rPr>
        <w:t xml:space="preserve"> (ICCPR)</w:t>
      </w:r>
      <w:r w:rsidRPr="00C90C5F">
        <w:rPr>
          <w:lang w:val="en-GB"/>
        </w:rPr>
        <w:t xml:space="preserve"> </w:t>
      </w:r>
      <w:r w:rsidR="00CC0BAF">
        <w:rPr>
          <w:lang w:val="en-GB"/>
        </w:rPr>
        <w:t>enshrines</w:t>
      </w:r>
      <w:r w:rsidRPr="00C90C5F">
        <w:rPr>
          <w:lang w:val="en-GB"/>
        </w:rPr>
        <w:t xml:space="preserve"> the right to a fair trial. While the right to reasoned judgement is</w:t>
      </w:r>
      <w:r w:rsidR="006C5D20">
        <w:rPr>
          <w:lang w:val="en-GB"/>
        </w:rPr>
        <w:t xml:space="preserve"> not</w:t>
      </w:r>
      <w:r w:rsidRPr="00C90C5F">
        <w:rPr>
          <w:lang w:val="en-GB"/>
        </w:rPr>
        <w:t xml:space="preserve"> expressly mentioned in that provision, it is generally acknowledged that it forms part of the guarantees afforded by article 14. </w:t>
      </w:r>
    </w:p>
    <w:p w14:paraId="187BC2B7" w14:textId="77777777" w:rsidR="00C90C5F" w:rsidRPr="00C90C5F" w:rsidRDefault="00C90C5F" w:rsidP="00C81505">
      <w:pPr>
        <w:spacing w:line="360" w:lineRule="auto"/>
        <w:jc w:val="both"/>
        <w:rPr>
          <w:lang w:val="en-GB"/>
        </w:rPr>
      </w:pPr>
      <w:r w:rsidRPr="00C90C5F">
        <w:rPr>
          <w:lang w:val="en-GB"/>
        </w:rPr>
        <w:t>However, case law on that issue appears to be scarce</w:t>
      </w:r>
      <w:r w:rsidR="006C5D20">
        <w:rPr>
          <w:lang w:val="en-GB"/>
        </w:rPr>
        <w:t xml:space="preserve">. </w:t>
      </w:r>
      <w:r w:rsidRPr="00C90C5F">
        <w:rPr>
          <w:lang w:val="en-GB"/>
        </w:rPr>
        <w:t xml:space="preserve">The </w:t>
      </w:r>
      <w:r w:rsidR="006C5D20">
        <w:rPr>
          <w:lang w:val="en-GB"/>
        </w:rPr>
        <w:t>H</w:t>
      </w:r>
      <w:r w:rsidRPr="00C90C5F">
        <w:rPr>
          <w:lang w:val="en-GB"/>
        </w:rPr>
        <w:t xml:space="preserve">uman </w:t>
      </w:r>
      <w:r w:rsidR="006C5D20">
        <w:rPr>
          <w:lang w:val="en-GB"/>
        </w:rPr>
        <w:t>R</w:t>
      </w:r>
      <w:r w:rsidRPr="00C90C5F">
        <w:rPr>
          <w:lang w:val="en-GB"/>
        </w:rPr>
        <w:t xml:space="preserve">ights </w:t>
      </w:r>
      <w:r w:rsidR="006C5D20">
        <w:rPr>
          <w:lang w:val="en-GB"/>
        </w:rPr>
        <w:t>C</w:t>
      </w:r>
      <w:r w:rsidRPr="00C90C5F">
        <w:rPr>
          <w:lang w:val="en-GB"/>
        </w:rPr>
        <w:t xml:space="preserve">ommittee has mainly examined cases regarding the failure of appeal courts provide sufficient reasoning for their judgements. </w:t>
      </w:r>
      <w:r w:rsidR="006C5D20">
        <w:rPr>
          <w:lang w:val="en-GB"/>
        </w:rPr>
        <w:t>E.g., i</w:t>
      </w:r>
      <w:r w:rsidRPr="00C90C5F">
        <w:rPr>
          <w:lang w:val="en-GB"/>
        </w:rPr>
        <w:t>n Collins v</w:t>
      </w:r>
      <w:r w:rsidR="006C5D20">
        <w:rPr>
          <w:lang w:val="en-GB"/>
        </w:rPr>
        <w:t>.</w:t>
      </w:r>
      <w:r w:rsidRPr="00C90C5F">
        <w:rPr>
          <w:lang w:val="en-GB"/>
        </w:rPr>
        <w:t xml:space="preserve"> Jamaica, the author had been sentenced to death; upon appeal, the Court of Appeal upheld the judgement rendered by the court of first instance. However, it had failed to provide written reasons for its decision for several years. The author had argued that the lack of written motivation to judgement had prevented him from exercising his right to appeal to the </w:t>
      </w:r>
      <w:r w:rsidR="006C5D20">
        <w:rPr>
          <w:lang w:val="en-GB"/>
        </w:rPr>
        <w:t>P</w:t>
      </w:r>
      <w:r w:rsidRPr="00C90C5F">
        <w:rPr>
          <w:lang w:val="en-GB"/>
        </w:rPr>
        <w:t xml:space="preserve">rivy Council. The </w:t>
      </w:r>
      <w:r w:rsidR="006C5D20">
        <w:rPr>
          <w:lang w:val="en-GB"/>
        </w:rPr>
        <w:t>H</w:t>
      </w:r>
      <w:r w:rsidRPr="00C90C5F">
        <w:rPr>
          <w:lang w:val="en-GB"/>
        </w:rPr>
        <w:t xml:space="preserve">uman </w:t>
      </w:r>
      <w:r w:rsidR="006C5D20">
        <w:rPr>
          <w:lang w:val="en-GB"/>
        </w:rPr>
        <w:t>R</w:t>
      </w:r>
      <w:r w:rsidRPr="00C90C5F">
        <w:rPr>
          <w:lang w:val="en-GB"/>
        </w:rPr>
        <w:t xml:space="preserve">ights </w:t>
      </w:r>
      <w:r w:rsidR="006C5D20">
        <w:rPr>
          <w:lang w:val="en-GB"/>
        </w:rPr>
        <w:t>C</w:t>
      </w:r>
      <w:r w:rsidRPr="00C90C5F">
        <w:rPr>
          <w:lang w:val="en-GB"/>
        </w:rPr>
        <w:t>ommittee found a violation of the right to a fair trial pursuant to article 14.</w:t>
      </w:r>
    </w:p>
    <w:p w14:paraId="5EE9ABB6" w14:textId="77777777" w:rsidR="007764B0" w:rsidRPr="007764B0" w:rsidRDefault="007764B0" w:rsidP="00C81505">
      <w:pPr>
        <w:spacing w:line="360" w:lineRule="auto"/>
        <w:jc w:val="both"/>
        <w:rPr>
          <w:lang w:val="en-GB"/>
        </w:rPr>
      </w:pPr>
    </w:p>
    <w:p w14:paraId="456D5F07" w14:textId="77777777" w:rsidR="00F2533B" w:rsidRDefault="00F2533B" w:rsidP="00C81505">
      <w:pPr>
        <w:pStyle w:val="berschrift2"/>
        <w:spacing w:line="360" w:lineRule="auto"/>
        <w:rPr>
          <w:lang w:val="en-GB"/>
        </w:rPr>
      </w:pPr>
      <w:bookmarkStart w:id="5" w:name="_Toc3821701"/>
      <w:r>
        <w:rPr>
          <w:lang w:val="en-GB"/>
        </w:rPr>
        <w:t>Requirements under the European Convention on Human Rights</w:t>
      </w:r>
      <w:bookmarkEnd w:id="5"/>
    </w:p>
    <w:p w14:paraId="0FE35754" w14:textId="77777777" w:rsidR="00684939" w:rsidRPr="00F2533B" w:rsidRDefault="00684939" w:rsidP="00C81505">
      <w:pPr>
        <w:pStyle w:val="berschrift3"/>
        <w:spacing w:line="360" w:lineRule="auto"/>
        <w:rPr>
          <w:lang w:val="en-GB"/>
        </w:rPr>
      </w:pPr>
      <w:bookmarkStart w:id="6" w:name="_Toc3821702"/>
      <w:r>
        <w:rPr>
          <w:lang w:val="en-GB"/>
        </w:rPr>
        <w:t>Article 6 ECHR</w:t>
      </w:r>
      <w:bookmarkEnd w:id="6"/>
    </w:p>
    <w:p w14:paraId="1F99E571" w14:textId="77777777" w:rsidR="00F2533B" w:rsidRPr="00F2533B" w:rsidRDefault="00F2533B" w:rsidP="00C81505">
      <w:pPr>
        <w:spacing w:line="360" w:lineRule="auto"/>
        <w:jc w:val="both"/>
        <w:rPr>
          <w:lang w:val="en-GB"/>
        </w:rPr>
      </w:pPr>
      <w:r w:rsidRPr="00F2533B">
        <w:rPr>
          <w:lang w:val="en-GB"/>
        </w:rPr>
        <w:t xml:space="preserve">Article 6 ECHR enshrines the right to fair trial. It is long-standing jurisprudence of the European Court of Human Rights that this right also implies a right to reasoned judgement. </w:t>
      </w:r>
    </w:p>
    <w:p w14:paraId="6E03F52B" w14:textId="77777777" w:rsidR="00F2533B" w:rsidRPr="00CC0BAF" w:rsidRDefault="00F2533B" w:rsidP="00C81505">
      <w:pPr>
        <w:spacing w:line="360" w:lineRule="auto"/>
        <w:jc w:val="both"/>
        <w:rPr>
          <w:i/>
          <w:lang w:val="en-GB"/>
        </w:rPr>
      </w:pPr>
      <w:r w:rsidRPr="00F2533B">
        <w:rPr>
          <w:lang w:val="en-GB"/>
        </w:rPr>
        <w:t xml:space="preserve">Courts are obliged to examine the arguments </w:t>
      </w:r>
      <w:r w:rsidR="00684939">
        <w:rPr>
          <w:lang w:val="en-GB"/>
        </w:rPr>
        <w:t>raised</w:t>
      </w:r>
      <w:r w:rsidRPr="00F2533B">
        <w:rPr>
          <w:lang w:val="en-GB"/>
        </w:rPr>
        <w:t xml:space="preserve"> by the parties to the trial. Art. 6 ECHR places a </w:t>
      </w:r>
      <w:r w:rsidRPr="00F2533B">
        <w:rPr>
          <w:i/>
          <w:lang w:val="en-GB"/>
        </w:rPr>
        <w:t>‘tribunal under a duty to conduct a proper examination of the submissions, arguments and evidence adduced by the parties, without prejudice to its assessment of whether they are relevant to its decision</w:t>
      </w:r>
      <w:r w:rsidR="00684939">
        <w:rPr>
          <w:rStyle w:val="Funotenzeichen"/>
          <w:i/>
          <w:lang w:val="en-GB"/>
        </w:rPr>
        <w:footnoteReference w:id="2"/>
      </w:r>
      <w:r w:rsidRPr="00F2533B">
        <w:rPr>
          <w:i/>
          <w:lang w:val="en-GB"/>
        </w:rPr>
        <w:t>’</w:t>
      </w:r>
      <w:r w:rsidR="00684939">
        <w:rPr>
          <w:i/>
          <w:lang w:val="en-GB"/>
        </w:rPr>
        <w:t xml:space="preserve">. </w:t>
      </w:r>
      <w:r w:rsidR="00684939">
        <w:rPr>
          <w:lang w:val="en-GB"/>
        </w:rPr>
        <w:t>The purpose of this is to satisfy the parties that they have been heard, ‘</w:t>
      </w:r>
      <w:r w:rsidR="00684939" w:rsidRPr="00CC0BAF">
        <w:rPr>
          <w:i/>
          <w:lang w:val="en-GB"/>
        </w:rPr>
        <w:t>thereby contributing to a more willing acceptance of the decision on their part’</w:t>
      </w:r>
      <w:r w:rsidR="00684939" w:rsidRPr="00CC0BAF">
        <w:rPr>
          <w:rStyle w:val="Funotenzeichen"/>
          <w:i/>
          <w:lang w:val="en-GB"/>
        </w:rPr>
        <w:footnoteReference w:id="3"/>
      </w:r>
    </w:p>
    <w:p w14:paraId="28E159A6" w14:textId="77777777" w:rsidR="00EF25B9" w:rsidRPr="00EF25B9" w:rsidRDefault="00F2533B" w:rsidP="00C81505">
      <w:pPr>
        <w:spacing w:line="360" w:lineRule="auto"/>
        <w:jc w:val="both"/>
        <w:rPr>
          <w:lang w:val="en-GB"/>
        </w:rPr>
      </w:pPr>
      <w:r w:rsidRPr="00F2533B">
        <w:rPr>
          <w:lang w:val="en-GB"/>
        </w:rPr>
        <w:t>Th</w:t>
      </w:r>
      <w:r w:rsidR="00AB2B13">
        <w:rPr>
          <w:lang w:val="en-GB"/>
        </w:rPr>
        <w:t>is</w:t>
      </w:r>
      <w:r w:rsidRPr="00F2533B">
        <w:rPr>
          <w:lang w:val="en-GB"/>
        </w:rPr>
        <w:t xml:space="preserve"> does not imply, however, that the court is obliged to give a detailed answer to every argument</w:t>
      </w:r>
      <w:r w:rsidR="00684939">
        <w:rPr>
          <w:lang w:val="en-GB"/>
        </w:rPr>
        <w:t xml:space="preserve"> advanced by the parties</w:t>
      </w:r>
      <w:r w:rsidR="00FA220E">
        <w:rPr>
          <w:lang w:val="en-GB"/>
        </w:rPr>
        <w:t>. The scope of the obligation to provide reasons will vary according to the nature of the decision and must be determined in the light of the circumstances of the case</w:t>
      </w:r>
      <w:r w:rsidR="00FA220E">
        <w:rPr>
          <w:rStyle w:val="Funotenzeichen"/>
          <w:lang w:val="en-GB"/>
        </w:rPr>
        <w:footnoteReference w:id="4"/>
      </w:r>
      <w:r w:rsidR="00EF25B9">
        <w:rPr>
          <w:lang w:val="en-GB"/>
        </w:rPr>
        <w:t xml:space="preserve">. The assessment of the scope of reasoning warranted by the circumstances of the case may differ, though.  </w:t>
      </w:r>
      <w:r w:rsidR="00EF25B9" w:rsidRPr="00EF25B9">
        <w:rPr>
          <w:lang w:val="en-GB"/>
        </w:rPr>
        <w:lastRenderedPageBreak/>
        <w:t xml:space="preserve">In </w:t>
      </w:r>
      <w:proofErr w:type="spellStart"/>
      <w:r w:rsidR="00EF25B9" w:rsidRPr="00EF25B9">
        <w:rPr>
          <w:lang w:val="en-GB"/>
        </w:rPr>
        <w:t>Vetrenko</w:t>
      </w:r>
      <w:proofErr w:type="spellEnd"/>
      <w:r w:rsidR="00EF25B9" w:rsidRPr="00EF25B9">
        <w:rPr>
          <w:lang w:val="en-GB"/>
        </w:rPr>
        <w:t xml:space="preserve"> v. Moldova</w:t>
      </w:r>
      <w:r w:rsidR="00EF25B9">
        <w:rPr>
          <w:rStyle w:val="Funotenzeichen"/>
          <w:lang w:val="en-GB"/>
        </w:rPr>
        <w:footnoteReference w:id="5"/>
      </w:r>
      <w:r w:rsidR="00EF25B9" w:rsidRPr="00EF25B9">
        <w:rPr>
          <w:lang w:val="en-GB"/>
        </w:rPr>
        <w:t>, the applicant had been convicted of murder</w:t>
      </w:r>
      <w:r w:rsidR="00CC0BAF">
        <w:rPr>
          <w:lang w:val="en-GB"/>
        </w:rPr>
        <w:t xml:space="preserve"> following a confession</w:t>
      </w:r>
      <w:r w:rsidR="00EF25B9" w:rsidRPr="00EF25B9">
        <w:rPr>
          <w:lang w:val="en-GB"/>
        </w:rPr>
        <w:t xml:space="preserve">. He maintained that he had </w:t>
      </w:r>
      <w:r w:rsidR="00CC0BAF">
        <w:rPr>
          <w:lang w:val="en-GB"/>
        </w:rPr>
        <w:t>confessed</w:t>
      </w:r>
      <w:r w:rsidR="00EF25B9" w:rsidRPr="00EF25B9">
        <w:rPr>
          <w:lang w:val="en-GB"/>
        </w:rPr>
        <w:t xml:space="preserve"> under duress. He contended that the way he had described the commitment of the crime in his confession did not match the actual events</w:t>
      </w:r>
      <w:r w:rsidR="00CC0BAF">
        <w:rPr>
          <w:lang w:val="en-GB"/>
        </w:rPr>
        <w:t xml:space="preserve">. </w:t>
      </w:r>
      <w:r w:rsidR="00EF25B9" w:rsidRPr="00EF25B9">
        <w:rPr>
          <w:lang w:val="en-GB"/>
        </w:rPr>
        <w:t xml:space="preserve">He also asserted that he had had an alibi for the night in question. The court of first instance acquitted the applicant on these grounds. The prosecution appealed; the acquittal was ultimately quashed and the case sent back for retrial. The applicant was convicted of murder. He appealed and pointed again to the discrepancies between his confession and the findings of the forensic experts. The Supreme Court did not examine these arguments. The European Court of Human Rights found a violation of the right to a reasoned judgment. It attached particular weight to the fact that during the retrial the courts had not dealt with the very arguments which had led the first court to acquit the applicant. </w:t>
      </w:r>
      <w:r w:rsidR="00EF25B9">
        <w:rPr>
          <w:lang w:val="en-GB"/>
        </w:rPr>
        <w:t>However, three dissenting judges found that the Moldovan</w:t>
      </w:r>
      <w:r w:rsidR="00AB2B13">
        <w:rPr>
          <w:lang w:val="en-GB"/>
        </w:rPr>
        <w:t xml:space="preserve"> courts</w:t>
      </w:r>
      <w:r w:rsidR="00EF25B9">
        <w:rPr>
          <w:lang w:val="en-GB"/>
        </w:rPr>
        <w:t xml:space="preserve"> had discharged their duty to provide reasons in a satisfactory manner.</w:t>
      </w:r>
    </w:p>
    <w:p w14:paraId="683905DA" w14:textId="77777777" w:rsidR="00F2533B" w:rsidRPr="00F2533B" w:rsidRDefault="00F2533B" w:rsidP="00C81505">
      <w:pPr>
        <w:spacing w:line="360" w:lineRule="auto"/>
        <w:jc w:val="both"/>
        <w:rPr>
          <w:lang w:val="en-GB"/>
        </w:rPr>
      </w:pPr>
      <w:r w:rsidRPr="00F2533B">
        <w:rPr>
          <w:lang w:val="en-GB"/>
        </w:rPr>
        <w:t xml:space="preserve">At any rate, arguments which may be decisive for the outcome of the case </w:t>
      </w:r>
      <w:r w:rsidR="00A13DA2">
        <w:rPr>
          <w:lang w:val="en-GB"/>
        </w:rPr>
        <w:t>have</w:t>
      </w:r>
      <w:r w:rsidR="00A13DA2" w:rsidRPr="00F2533B">
        <w:rPr>
          <w:lang w:val="en-GB"/>
        </w:rPr>
        <w:t xml:space="preserve"> </w:t>
      </w:r>
      <w:r w:rsidRPr="00F2533B">
        <w:rPr>
          <w:lang w:val="en-GB"/>
        </w:rPr>
        <w:t xml:space="preserve">to be addressed. For example, in Hiro </w:t>
      </w:r>
      <w:proofErr w:type="spellStart"/>
      <w:r w:rsidRPr="00F2533B">
        <w:rPr>
          <w:lang w:val="en-GB"/>
        </w:rPr>
        <w:t>Balani</w:t>
      </w:r>
      <w:proofErr w:type="spellEnd"/>
      <w:r w:rsidRPr="00F2533B">
        <w:rPr>
          <w:lang w:val="en-GB"/>
        </w:rPr>
        <w:t xml:space="preserve"> v</w:t>
      </w:r>
      <w:r w:rsidR="00EF25B9">
        <w:rPr>
          <w:lang w:val="en-GB"/>
        </w:rPr>
        <w:t>.</w:t>
      </w:r>
      <w:r w:rsidRPr="00F2533B">
        <w:rPr>
          <w:lang w:val="en-GB"/>
        </w:rPr>
        <w:t xml:space="preserve"> Spain, a Japanese company had filed a motion to delete a trademark which had been registered under the applicant’s name. The company claimed that it had registered the trademark in Japan in 1951 and was therefore entitled to hold the trademark globally. The applicant had submitted several submissions in her defence. Inter alia she had claimed that her husband had already registered the trademark in 1934. The case was ultimately decided by the Supreme Court, which ruled in favour of the Japanese company. The Supreme Court did not address the applicant’ s argument that the trademark had already been registered in 1934. The European Court of Human Rights held that the applicants right to a reasoned judgement had been breached. It stated that, if the Spanish Supreme Court had found the applicants submission to be well founded, it would necessarily have had to find in the applicant’s favour. Consequently, the submission was relevant and the Spanish courts had been</w:t>
      </w:r>
      <w:r w:rsidR="00D17E2F">
        <w:rPr>
          <w:lang w:val="en-GB"/>
        </w:rPr>
        <w:t xml:space="preserve"> obliged</w:t>
      </w:r>
      <w:r w:rsidRPr="00F2533B">
        <w:rPr>
          <w:lang w:val="en-GB"/>
        </w:rPr>
        <w:t xml:space="preserve"> to deal with it</w:t>
      </w:r>
      <w:r w:rsidR="00D17E2F">
        <w:rPr>
          <w:rStyle w:val="Funotenzeichen"/>
          <w:lang w:val="en-GB"/>
        </w:rPr>
        <w:footnoteReference w:id="6"/>
      </w:r>
      <w:r w:rsidRPr="00F2533B">
        <w:rPr>
          <w:lang w:val="en-GB"/>
        </w:rPr>
        <w:t>.</w:t>
      </w:r>
    </w:p>
    <w:p w14:paraId="6EA26026" w14:textId="77777777" w:rsidR="00F2533B" w:rsidRDefault="00F2533B" w:rsidP="00C81505">
      <w:pPr>
        <w:spacing w:line="360" w:lineRule="auto"/>
        <w:jc w:val="both"/>
        <w:rPr>
          <w:lang w:val="en-GB"/>
        </w:rPr>
      </w:pPr>
      <w:r w:rsidRPr="00F2533B">
        <w:rPr>
          <w:lang w:val="en-GB"/>
        </w:rPr>
        <w:t>In addition to that, the European Court of Human Rights has held that national courts are obliged to examine arguments advanced by the parties to proceedings with particular care if the parties invoke rights and freedoms enshrined in the ECHR</w:t>
      </w:r>
      <w:r w:rsidRPr="00F2533B">
        <w:rPr>
          <w:vertAlign w:val="superscript"/>
          <w:lang w:val="en-GB"/>
        </w:rPr>
        <w:footnoteReference w:id="7"/>
      </w:r>
      <w:r w:rsidRPr="00F2533B">
        <w:rPr>
          <w:lang w:val="en-GB"/>
        </w:rPr>
        <w:t>. This means that domestic courts will, as a rule, be required to answer to these arguments.</w:t>
      </w:r>
    </w:p>
    <w:p w14:paraId="664F777B" w14:textId="77777777" w:rsidR="00FC14A4" w:rsidRPr="00F2533B" w:rsidRDefault="00FC14A4" w:rsidP="00C81505">
      <w:pPr>
        <w:spacing w:line="360" w:lineRule="auto"/>
        <w:jc w:val="both"/>
        <w:rPr>
          <w:lang w:val="en-GB"/>
        </w:rPr>
      </w:pPr>
    </w:p>
    <w:p w14:paraId="11A79642" w14:textId="77777777" w:rsidR="00F2533B" w:rsidRPr="00F2533B" w:rsidRDefault="00F2533B" w:rsidP="00C81505">
      <w:pPr>
        <w:spacing w:line="360" w:lineRule="auto"/>
        <w:jc w:val="both"/>
        <w:rPr>
          <w:lang w:val="en-GB"/>
        </w:rPr>
      </w:pPr>
    </w:p>
    <w:p w14:paraId="653C1D05" w14:textId="77777777" w:rsidR="00F2533B" w:rsidRPr="00F2533B" w:rsidRDefault="00F2533B" w:rsidP="00C81505">
      <w:pPr>
        <w:pStyle w:val="berschrift3"/>
        <w:spacing w:line="360" w:lineRule="auto"/>
        <w:rPr>
          <w:lang w:val="en-GB"/>
        </w:rPr>
      </w:pPr>
      <w:bookmarkStart w:id="7" w:name="_Toc3821703"/>
      <w:r w:rsidRPr="00F2533B">
        <w:rPr>
          <w:lang w:val="en-GB"/>
        </w:rPr>
        <w:lastRenderedPageBreak/>
        <w:t>Obligation to provide reasons which are relevant and sufficient</w:t>
      </w:r>
      <w:bookmarkEnd w:id="7"/>
    </w:p>
    <w:p w14:paraId="4E3227C0" w14:textId="77777777" w:rsidR="00F92465" w:rsidRDefault="00F2533B" w:rsidP="00C81505">
      <w:pPr>
        <w:spacing w:line="360" w:lineRule="auto"/>
        <w:jc w:val="both"/>
        <w:rPr>
          <w:lang w:val="en-GB"/>
        </w:rPr>
      </w:pPr>
      <w:r w:rsidRPr="00F2533B">
        <w:rPr>
          <w:lang w:val="en-GB"/>
        </w:rPr>
        <w:t xml:space="preserve">Obligations to provide sufficient reasoning for judicial decisions do not only flow from article 6 ECHR. They are also entailed by other articles of the Convention and the additional protocols </w:t>
      </w:r>
      <w:r w:rsidR="002C4DC4">
        <w:rPr>
          <w:lang w:val="en-GB"/>
        </w:rPr>
        <w:t>thereto</w:t>
      </w:r>
      <w:r w:rsidRPr="00F2533B">
        <w:rPr>
          <w:lang w:val="en-GB"/>
        </w:rPr>
        <w:t>. Several of the fundamental rights and freedoms guaranteed by the European Convention on Human Rights are not absolute but may be limited subject to certain conditions. Examples</w:t>
      </w:r>
      <w:r w:rsidR="00CC0BAF">
        <w:rPr>
          <w:lang w:val="en-GB"/>
        </w:rPr>
        <w:t xml:space="preserve"> of such rights</w:t>
      </w:r>
      <w:r w:rsidRPr="00F2533B">
        <w:rPr>
          <w:lang w:val="en-GB"/>
        </w:rPr>
        <w:t xml:space="preserve"> are the right to private life (article 8), freedom of conscience (article 9), freedom of expression (article 10), freedom of association (article 11) and the right to property (article 1 of </w:t>
      </w:r>
      <w:r w:rsidR="00F92465">
        <w:rPr>
          <w:lang w:val="en-GB"/>
        </w:rPr>
        <w:t>P</w:t>
      </w:r>
      <w:r w:rsidRPr="00F2533B">
        <w:rPr>
          <w:lang w:val="en-GB"/>
        </w:rPr>
        <w:t xml:space="preserve">rotocol 1 to the ECHR). </w:t>
      </w:r>
    </w:p>
    <w:p w14:paraId="752BCFE8" w14:textId="77777777" w:rsidR="00F92465" w:rsidRDefault="00F2533B" w:rsidP="00C81505">
      <w:pPr>
        <w:spacing w:line="360" w:lineRule="auto"/>
        <w:jc w:val="both"/>
        <w:rPr>
          <w:lang w:val="en-GB"/>
        </w:rPr>
      </w:pPr>
      <w:r w:rsidRPr="00F2533B">
        <w:rPr>
          <w:lang w:val="en-GB"/>
        </w:rPr>
        <w:t xml:space="preserve">Limitations on these rights are generally justified if they have a sufficient basis in domestic law, serve a legitimate aim and are necessary in a democratic society. In the context of the </w:t>
      </w:r>
      <w:r w:rsidR="00F92465">
        <w:rPr>
          <w:lang w:val="en-GB"/>
        </w:rPr>
        <w:t>latter requirement</w:t>
      </w:r>
      <w:r w:rsidRPr="00F2533B">
        <w:rPr>
          <w:lang w:val="en-GB"/>
        </w:rPr>
        <w:t xml:space="preserve">, the </w:t>
      </w:r>
      <w:r w:rsidR="00CC0BAF">
        <w:rPr>
          <w:lang w:val="en-GB"/>
        </w:rPr>
        <w:t>European Court of Human Rights</w:t>
      </w:r>
      <w:r w:rsidRPr="00F2533B">
        <w:rPr>
          <w:lang w:val="en-GB"/>
        </w:rPr>
        <w:t xml:space="preserve"> also </w:t>
      </w:r>
      <w:r w:rsidR="00F92465">
        <w:rPr>
          <w:lang w:val="en-GB"/>
        </w:rPr>
        <w:t>pays</w:t>
      </w:r>
      <w:r w:rsidRPr="00F2533B">
        <w:rPr>
          <w:lang w:val="en-GB"/>
        </w:rPr>
        <w:t xml:space="preserve"> considerable attention to the question whether the domestic courts involved in the review of the measure in question have </w:t>
      </w:r>
      <w:r w:rsidR="00F92465">
        <w:rPr>
          <w:lang w:val="en-GB"/>
        </w:rPr>
        <w:t xml:space="preserve">supported their ruling with reasons that are ‘relevant </w:t>
      </w:r>
      <w:r w:rsidR="00CE03F9">
        <w:rPr>
          <w:lang w:val="en-GB"/>
        </w:rPr>
        <w:t>a</w:t>
      </w:r>
      <w:r w:rsidR="00F92465">
        <w:rPr>
          <w:lang w:val="en-GB"/>
        </w:rPr>
        <w:t>nd sufficient’</w:t>
      </w:r>
      <w:r w:rsidRPr="00F2533B">
        <w:rPr>
          <w:lang w:val="en-GB"/>
        </w:rPr>
        <w:t xml:space="preserve">. </w:t>
      </w:r>
      <w:r w:rsidR="00F92465">
        <w:rPr>
          <w:lang w:val="en-GB"/>
        </w:rPr>
        <w:t xml:space="preserve">In </w:t>
      </w:r>
      <w:r w:rsidR="00626559">
        <w:rPr>
          <w:lang w:val="en-GB"/>
        </w:rPr>
        <w:t xml:space="preserve">Lindon, </w:t>
      </w:r>
      <w:proofErr w:type="spellStart"/>
      <w:r w:rsidR="00626559">
        <w:rPr>
          <w:lang w:val="en-GB"/>
        </w:rPr>
        <w:t>Otchakovsky</w:t>
      </w:r>
      <w:proofErr w:type="spellEnd"/>
      <w:r w:rsidR="00626559">
        <w:rPr>
          <w:lang w:val="en-GB"/>
        </w:rPr>
        <w:t>-Laurens and July v France</w:t>
      </w:r>
      <w:r w:rsidR="00626559">
        <w:rPr>
          <w:rStyle w:val="Funotenzeichen"/>
          <w:lang w:val="en-GB"/>
        </w:rPr>
        <w:footnoteReference w:id="8"/>
      </w:r>
      <w:r w:rsidR="00F92465">
        <w:rPr>
          <w:lang w:val="en-GB"/>
        </w:rPr>
        <w:t>, the Court’s Grand Chamber held:</w:t>
      </w:r>
    </w:p>
    <w:p w14:paraId="2CD3EB59" w14:textId="77777777" w:rsidR="00F2533B" w:rsidRPr="00F2533B" w:rsidRDefault="00F2533B" w:rsidP="00C81505">
      <w:pPr>
        <w:spacing w:line="360" w:lineRule="auto"/>
        <w:ind w:left="708"/>
        <w:jc w:val="both"/>
        <w:rPr>
          <w:i/>
          <w:lang w:val="en-GB"/>
        </w:rPr>
      </w:pPr>
      <w:r w:rsidRPr="00F2533B">
        <w:rPr>
          <w:lang w:val="en-GB"/>
        </w:rPr>
        <w:t xml:space="preserve">‘ </w:t>
      </w:r>
      <w:r w:rsidRPr="00F2533B">
        <w:rPr>
          <w:i/>
          <w:lang w:val="en-GB"/>
        </w:rPr>
        <w:t>what the Court has to do is to look at the interference complained of in the light of the case as a whole and determine whether it was ‘proportionate to the legitimate aim pursued’ and whether the reasons adduced by the national authorities to justify it are ‘relevant and sufficient’.... In doing so, the Court has to satisfy itself that the national authorities applied standards which were in conformity with the principles embodied in Article 10 and, moreover, that they relied on an acceptable assessment of the relevant facts ....’</w:t>
      </w:r>
    </w:p>
    <w:p w14:paraId="58F876BE" w14:textId="77777777" w:rsidR="00F2533B" w:rsidRPr="00F2533B" w:rsidRDefault="00F2533B" w:rsidP="00C81505">
      <w:pPr>
        <w:spacing w:line="360" w:lineRule="auto"/>
        <w:jc w:val="both"/>
        <w:rPr>
          <w:lang w:val="en-GB"/>
        </w:rPr>
      </w:pPr>
      <w:r w:rsidRPr="00F2533B">
        <w:rPr>
          <w:lang w:val="en-GB"/>
        </w:rPr>
        <w:t xml:space="preserve">If the European Court of Human Rights </w:t>
      </w:r>
      <w:r w:rsidR="00626559">
        <w:rPr>
          <w:lang w:val="en-GB"/>
        </w:rPr>
        <w:t>considers that</w:t>
      </w:r>
      <w:r w:rsidRPr="00F2533B">
        <w:rPr>
          <w:lang w:val="en-GB"/>
        </w:rPr>
        <w:t xml:space="preserve"> the domestic courts failed to address important issues or neglected to deal with arguments germane to the outcome of the case, it may find a violation of the ECHR due to those shortcomings. The case </w:t>
      </w:r>
      <w:r w:rsidR="008B77A5">
        <w:rPr>
          <w:lang w:val="en-GB"/>
        </w:rPr>
        <w:t xml:space="preserve">Standard </w:t>
      </w:r>
      <w:proofErr w:type="spellStart"/>
      <w:proofErr w:type="gramStart"/>
      <w:r w:rsidR="008B77A5">
        <w:rPr>
          <w:lang w:val="en-GB"/>
        </w:rPr>
        <w:t>Verlags</w:t>
      </w:r>
      <w:proofErr w:type="spellEnd"/>
      <w:r w:rsidR="008B77A5">
        <w:rPr>
          <w:lang w:val="en-GB"/>
        </w:rPr>
        <w:t xml:space="preserve"> </w:t>
      </w:r>
      <w:r w:rsidRPr="00F2533B">
        <w:rPr>
          <w:lang w:val="en-GB"/>
        </w:rPr>
        <w:t xml:space="preserve"> GmbH</w:t>
      </w:r>
      <w:proofErr w:type="gramEnd"/>
      <w:r w:rsidRPr="00F2533B">
        <w:rPr>
          <w:lang w:val="en-GB"/>
        </w:rPr>
        <w:t xml:space="preserve"> v Austria</w:t>
      </w:r>
      <w:r w:rsidR="00D17E2F">
        <w:rPr>
          <w:rStyle w:val="Funotenzeichen"/>
          <w:lang w:val="en-GB"/>
        </w:rPr>
        <w:footnoteReference w:id="9"/>
      </w:r>
      <w:r w:rsidRPr="00F2533B">
        <w:rPr>
          <w:lang w:val="en-GB"/>
        </w:rPr>
        <w:t xml:space="preserve"> may serve as an example: The applicant company was the publisher of the </w:t>
      </w:r>
      <w:r w:rsidR="00626559">
        <w:rPr>
          <w:lang w:val="en-GB"/>
        </w:rPr>
        <w:t>‘N</w:t>
      </w:r>
      <w:r w:rsidRPr="00F2533B">
        <w:rPr>
          <w:lang w:val="en-GB"/>
        </w:rPr>
        <w:t>ewsmagazine</w:t>
      </w:r>
      <w:r w:rsidR="00626559">
        <w:rPr>
          <w:lang w:val="en-GB"/>
        </w:rPr>
        <w:t>’</w:t>
      </w:r>
      <w:r w:rsidRPr="00F2533B">
        <w:rPr>
          <w:lang w:val="en-GB"/>
        </w:rPr>
        <w:t xml:space="preserve">. It published an article on a scandal in the banking sector. In the article the treasury manager of the bank was identified with his full name. It was mentioned that he had authorised questionable actions and been told to leave his desk. The treasury manager brought proceedings against the applicant for publishing his name; ultimately, the applicant company was convicted. The European Court of Human Rights referred to a number of criteria it had developed in </w:t>
      </w:r>
      <w:r w:rsidR="001E1599">
        <w:rPr>
          <w:lang w:val="en-GB"/>
        </w:rPr>
        <w:t>its</w:t>
      </w:r>
      <w:r w:rsidR="001E1599" w:rsidRPr="00F2533B">
        <w:rPr>
          <w:lang w:val="en-GB"/>
        </w:rPr>
        <w:t xml:space="preserve"> </w:t>
      </w:r>
      <w:r w:rsidRPr="00F2533B">
        <w:rPr>
          <w:lang w:val="en-GB"/>
        </w:rPr>
        <w:t>jurisprudence regarding the balance to be struck between the right</w:t>
      </w:r>
      <w:r w:rsidR="001E1599">
        <w:rPr>
          <w:lang w:val="en-GB"/>
        </w:rPr>
        <w:t xml:space="preserve"> to</w:t>
      </w:r>
      <w:r w:rsidRPr="00F2533B">
        <w:rPr>
          <w:lang w:val="en-GB"/>
        </w:rPr>
        <w:t xml:space="preserve"> reputation and the right to freedom of expression. It noted that the Austrian courts had not addressed </w:t>
      </w:r>
      <w:r w:rsidR="00626559">
        <w:rPr>
          <w:lang w:val="en-GB"/>
        </w:rPr>
        <w:t>many</w:t>
      </w:r>
      <w:r w:rsidRPr="00F2533B">
        <w:rPr>
          <w:lang w:val="en-GB"/>
        </w:rPr>
        <w:t xml:space="preserve"> of these criteria and concluded that the reasons adduced by the Austrian courts for limitation of the right to freedom of expression had been relevant but not sufficient.</w:t>
      </w:r>
    </w:p>
    <w:p w14:paraId="4EF046D1" w14:textId="77777777" w:rsidR="00F2533B" w:rsidRPr="00F2533B" w:rsidRDefault="00F2533B" w:rsidP="00C81505">
      <w:pPr>
        <w:spacing w:line="360" w:lineRule="auto"/>
        <w:jc w:val="both"/>
        <w:rPr>
          <w:lang w:val="en-GB"/>
        </w:rPr>
      </w:pPr>
    </w:p>
    <w:p w14:paraId="72D99A10" w14:textId="77777777" w:rsidR="007E4F8B" w:rsidRDefault="007E4F8B" w:rsidP="00C81505">
      <w:pPr>
        <w:spacing w:line="360" w:lineRule="auto"/>
        <w:jc w:val="both"/>
        <w:rPr>
          <w:lang w:val="en-GB"/>
        </w:rPr>
      </w:pPr>
    </w:p>
    <w:p w14:paraId="20F8455C" w14:textId="77777777" w:rsidR="007E4F8B" w:rsidRDefault="007E4F8B" w:rsidP="00C81505">
      <w:pPr>
        <w:pStyle w:val="berschrift1"/>
        <w:spacing w:line="360" w:lineRule="auto"/>
        <w:rPr>
          <w:lang w:val="en-GB"/>
        </w:rPr>
      </w:pPr>
      <w:bookmarkStart w:id="8" w:name="_Toc3821704"/>
      <w:r>
        <w:rPr>
          <w:lang w:val="en-GB"/>
        </w:rPr>
        <w:t>Current practices in the area of judgment writing and perceived short-comings</w:t>
      </w:r>
      <w:bookmarkEnd w:id="8"/>
    </w:p>
    <w:p w14:paraId="6F89A379" w14:textId="77777777" w:rsidR="005C0FE9" w:rsidRDefault="005C0FE9" w:rsidP="00C81505">
      <w:pPr>
        <w:spacing w:line="360" w:lineRule="auto"/>
        <w:jc w:val="both"/>
        <w:rPr>
          <w:lang w:val="en-GB"/>
        </w:rPr>
      </w:pPr>
    </w:p>
    <w:p w14:paraId="0E515CFC" w14:textId="77777777" w:rsidR="005C0FE9" w:rsidRDefault="005C0FE9" w:rsidP="00C81505">
      <w:pPr>
        <w:pStyle w:val="berschrift2"/>
        <w:spacing w:line="360" w:lineRule="auto"/>
        <w:rPr>
          <w:lang w:val="en-GB"/>
        </w:rPr>
      </w:pPr>
      <w:bookmarkStart w:id="9" w:name="_Toc3821705"/>
      <w:r>
        <w:rPr>
          <w:lang w:val="en-GB"/>
        </w:rPr>
        <w:t>Analysis of judgments</w:t>
      </w:r>
      <w:bookmarkEnd w:id="9"/>
      <w:r>
        <w:rPr>
          <w:lang w:val="en-GB"/>
        </w:rPr>
        <w:t xml:space="preserve"> </w:t>
      </w:r>
    </w:p>
    <w:p w14:paraId="6268E51E" w14:textId="77777777" w:rsidR="007E4F8B" w:rsidRDefault="007E4F8B" w:rsidP="00C81505">
      <w:pPr>
        <w:pStyle w:val="berschrift3"/>
        <w:spacing w:line="360" w:lineRule="auto"/>
        <w:rPr>
          <w:lang w:val="en-GB"/>
        </w:rPr>
      </w:pPr>
      <w:bookmarkStart w:id="10" w:name="_Toc3821706"/>
      <w:r>
        <w:rPr>
          <w:lang w:val="en-GB"/>
        </w:rPr>
        <w:t>Language</w:t>
      </w:r>
      <w:bookmarkEnd w:id="10"/>
    </w:p>
    <w:p w14:paraId="6D2AAB3A" w14:textId="77777777" w:rsidR="007E4F8B" w:rsidRDefault="007E4F8B" w:rsidP="00C81505">
      <w:pPr>
        <w:spacing w:line="360" w:lineRule="auto"/>
        <w:jc w:val="both"/>
        <w:rPr>
          <w:lang w:val="en-GB"/>
        </w:rPr>
      </w:pPr>
      <w:r>
        <w:rPr>
          <w:lang w:val="en-GB"/>
        </w:rPr>
        <w:t>F</w:t>
      </w:r>
      <w:r w:rsidRPr="007E4F8B">
        <w:rPr>
          <w:lang w:val="en-GB"/>
        </w:rPr>
        <w:t xml:space="preserve">amous German jurist Rudolf von </w:t>
      </w:r>
      <w:proofErr w:type="spellStart"/>
      <w:r w:rsidRPr="007E4F8B">
        <w:rPr>
          <w:lang w:val="en-GB"/>
        </w:rPr>
        <w:t>Jhering</w:t>
      </w:r>
      <w:proofErr w:type="spellEnd"/>
      <w:r w:rsidRPr="007E4F8B">
        <w:rPr>
          <w:lang w:val="en-GB"/>
        </w:rPr>
        <w:t xml:space="preserve"> once said that the legislator should think like a philosopher and speak like a peasant (a critic added that, ever since that day, the world </w:t>
      </w:r>
      <w:r>
        <w:rPr>
          <w:lang w:val="en-GB"/>
        </w:rPr>
        <w:t>was</w:t>
      </w:r>
      <w:r w:rsidRPr="007E4F8B">
        <w:rPr>
          <w:lang w:val="en-GB"/>
        </w:rPr>
        <w:t xml:space="preserve"> waiting for the philosophers to develop s</w:t>
      </w:r>
      <w:r>
        <w:rPr>
          <w:lang w:val="en-GB"/>
        </w:rPr>
        <w:t>impler</w:t>
      </w:r>
      <w:r w:rsidRPr="007E4F8B">
        <w:rPr>
          <w:lang w:val="en-GB"/>
        </w:rPr>
        <w:t xml:space="preserve"> ideas and for the peasants to speak less understandably</w:t>
      </w:r>
      <w:r>
        <w:rPr>
          <w:lang w:val="en-GB"/>
        </w:rPr>
        <w:t>).</w:t>
      </w:r>
    </w:p>
    <w:p w14:paraId="18F7CF87" w14:textId="77777777" w:rsidR="007E4F8B" w:rsidRDefault="007E4F8B" w:rsidP="00C81505">
      <w:pPr>
        <w:spacing w:line="360" w:lineRule="auto"/>
        <w:jc w:val="both"/>
        <w:rPr>
          <w:lang w:val="en-GB"/>
        </w:rPr>
      </w:pPr>
      <w:r w:rsidRPr="007E4F8B">
        <w:rPr>
          <w:lang w:val="en-GB"/>
        </w:rPr>
        <w:t xml:space="preserve">The quote mirrors a widespread perception that legal language should be easy to understand. </w:t>
      </w:r>
      <w:r>
        <w:rPr>
          <w:lang w:val="en-GB"/>
        </w:rPr>
        <w:t>J</w:t>
      </w:r>
      <w:r w:rsidRPr="007E4F8B">
        <w:rPr>
          <w:lang w:val="en-GB"/>
        </w:rPr>
        <w:t xml:space="preserve">udgments are pronounced in the name of people - so the proverbial man or woman on the street should be able to understand them. As different as the structure of judgments and the style of judges drafting them may be in different jurisdictions, it </w:t>
      </w:r>
      <w:r>
        <w:rPr>
          <w:lang w:val="en-GB"/>
        </w:rPr>
        <w:t>seems widely accepted that t</w:t>
      </w:r>
      <w:r w:rsidR="00693BAA">
        <w:rPr>
          <w:lang w:val="en-GB"/>
        </w:rPr>
        <w:t>he</w:t>
      </w:r>
      <w:r>
        <w:rPr>
          <w:lang w:val="en-GB"/>
        </w:rPr>
        <w:t xml:space="preserve"> language</w:t>
      </w:r>
      <w:r w:rsidR="00892A3C">
        <w:rPr>
          <w:lang w:val="en-GB"/>
        </w:rPr>
        <w:t xml:space="preserve"> courts employ</w:t>
      </w:r>
      <w:r>
        <w:rPr>
          <w:lang w:val="en-GB"/>
        </w:rPr>
        <w:t xml:space="preserve"> should be clear and simple.</w:t>
      </w:r>
    </w:p>
    <w:p w14:paraId="75E12077" w14:textId="77777777" w:rsidR="0017253A" w:rsidRDefault="007E4F8B" w:rsidP="00C81505">
      <w:pPr>
        <w:spacing w:line="360" w:lineRule="auto"/>
        <w:jc w:val="both"/>
        <w:rPr>
          <w:lang w:val="en-GB"/>
        </w:rPr>
      </w:pPr>
      <w:r>
        <w:rPr>
          <w:lang w:val="en-GB"/>
        </w:rPr>
        <w:t xml:space="preserve">Assessing the language of a judgment on the basis of a translated text is a difficult undertaking. A sentence which is lithe and elegant in the original </w:t>
      </w:r>
      <w:r w:rsidR="00892A3C">
        <w:rPr>
          <w:lang w:val="en-GB"/>
        </w:rPr>
        <w:t xml:space="preserve">text </w:t>
      </w:r>
      <w:r>
        <w:rPr>
          <w:lang w:val="en-GB"/>
        </w:rPr>
        <w:t xml:space="preserve">may sound stilted and </w:t>
      </w:r>
      <w:r w:rsidR="0045631D">
        <w:rPr>
          <w:lang w:val="en-GB"/>
        </w:rPr>
        <w:t xml:space="preserve">flowery in translation. </w:t>
      </w:r>
      <w:r w:rsidR="00385E10">
        <w:rPr>
          <w:lang w:val="en-GB"/>
        </w:rPr>
        <w:t xml:space="preserve">But regardless of problems </w:t>
      </w:r>
      <w:r w:rsidR="00892A3C">
        <w:rPr>
          <w:lang w:val="en-GB"/>
        </w:rPr>
        <w:t>caused</w:t>
      </w:r>
      <w:r w:rsidR="00385E10">
        <w:rPr>
          <w:lang w:val="en-GB"/>
        </w:rPr>
        <w:t xml:space="preserve"> by translation, it is possible to form an opinion on whether a sentence is written in simple, conceivable language. </w:t>
      </w:r>
    </w:p>
    <w:p w14:paraId="58A77ECC" w14:textId="77777777" w:rsidR="00385E10" w:rsidRDefault="00385E10" w:rsidP="00C81505">
      <w:pPr>
        <w:spacing w:line="360" w:lineRule="auto"/>
        <w:jc w:val="both"/>
        <w:rPr>
          <w:lang w:val="en-GB"/>
        </w:rPr>
      </w:pPr>
      <w:r>
        <w:rPr>
          <w:lang w:val="en-GB"/>
        </w:rPr>
        <w:t>In the judgments I analysed, that was frequently not the case</w:t>
      </w:r>
      <w:r w:rsidR="00A11E89">
        <w:rPr>
          <w:lang w:val="en-GB"/>
        </w:rPr>
        <w:t>.</w:t>
      </w:r>
      <w:r>
        <w:rPr>
          <w:lang w:val="en-GB"/>
        </w:rPr>
        <w:t xml:space="preserve"> Moldovan courts </w:t>
      </w:r>
      <w:r w:rsidR="0017253A">
        <w:rPr>
          <w:lang w:val="en-GB"/>
        </w:rPr>
        <w:t>tend</w:t>
      </w:r>
      <w:r w:rsidR="00CC6089">
        <w:rPr>
          <w:lang w:val="en-GB"/>
        </w:rPr>
        <w:t>ed</w:t>
      </w:r>
      <w:r w:rsidR="0017253A">
        <w:rPr>
          <w:lang w:val="en-GB"/>
        </w:rPr>
        <w:t xml:space="preserve"> to use overly long and convoluted sentences. Sometimes, that makes judgments</w:t>
      </w:r>
      <w:r w:rsidR="00892A3C">
        <w:rPr>
          <w:lang w:val="en-GB"/>
        </w:rPr>
        <w:t xml:space="preserve"> just</w:t>
      </w:r>
      <w:r w:rsidR="0017253A">
        <w:rPr>
          <w:lang w:val="en-GB"/>
        </w:rPr>
        <w:t xml:space="preserve"> hard to read, sometimes it renders parts of them almost inconceivable. A Supreme Court decision in a corruption case</w:t>
      </w:r>
      <w:r w:rsidR="0017253A">
        <w:rPr>
          <w:rStyle w:val="Funotenzeichen"/>
          <w:lang w:val="en-GB"/>
        </w:rPr>
        <w:footnoteReference w:id="10"/>
      </w:r>
      <w:r w:rsidR="0017253A">
        <w:rPr>
          <w:lang w:val="en-GB"/>
        </w:rPr>
        <w:t xml:space="preserve"> started by summarizing the facts of the case as follows</w:t>
      </w:r>
      <w:r w:rsidR="00892A3C">
        <w:rPr>
          <w:rStyle w:val="Funotenzeichen"/>
          <w:lang w:val="en-GB"/>
        </w:rPr>
        <w:footnoteReference w:id="11"/>
      </w:r>
      <w:r w:rsidR="0017253A">
        <w:rPr>
          <w:lang w:val="en-GB"/>
        </w:rPr>
        <w:t>:</w:t>
      </w:r>
    </w:p>
    <w:p w14:paraId="2CB844D5" w14:textId="77777777" w:rsidR="0017253A" w:rsidRPr="0017253A" w:rsidRDefault="0017253A" w:rsidP="00C81505">
      <w:pPr>
        <w:spacing w:line="360" w:lineRule="auto"/>
        <w:ind w:left="708"/>
        <w:jc w:val="both"/>
        <w:rPr>
          <w:i/>
          <w:lang w:val="en-US"/>
        </w:rPr>
      </w:pPr>
      <w:r w:rsidRPr="0017253A">
        <w:rPr>
          <w:i/>
          <w:lang w:val="en-US"/>
        </w:rPr>
        <w:t xml:space="preserve">Defendant </w:t>
      </w:r>
      <w:proofErr w:type="spellStart"/>
      <w:r w:rsidRPr="0017253A">
        <w:rPr>
          <w:i/>
          <w:lang w:val="en-US"/>
        </w:rPr>
        <w:t>Covalschi</w:t>
      </w:r>
      <w:proofErr w:type="spellEnd"/>
      <w:r w:rsidRPr="0017253A">
        <w:rPr>
          <w:i/>
          <w:lang w:val="en-US"/>
        </w:rPr>
        <w:t xml:space="preserve"> </w:t>
      </w:r>
      <w:proofErr w:type="spellStart"/>
      <w:r w:rsidRPr="0017253A">
        <w:rPr>
          <w:i/>
          <w:lang w:val="en-US"/>
        </w:rPr>
        <w:t>Ghenadi</w:t>
      </w:r>
      <w:proofErr w:type="spellEnd"/>
      <w:r w:rsidRPr="0017253A">
        <w:rPr>
          <w:i/>
          <w:lang w:val="en-US"/>
        </w:rPr>
        <w:t xml:space="preserve">, as a public functionary in position of responsibility, acting as operational inspector of </w:t>
      </w:r>
      <w:proofErr w:type="spellStart"/>
      <w:r w:rsidRPr="0017253A">
        <w:rPr>
          <w:i/>
          <w:lang w:val="en-US"/>
        </w:rPr>
        <w:t>Ciocana</w:t>
      </w:r>
      <w:proofErr w:type="spellEnd"/>
      <w:r w:rsidRPr="0017253A">
        <w:rPr>
          <w:i/>
          <w:lang w:val="en-US"/>
        </w:rPr>
        <w:t xml:space="preserve"> District Police Station, in complicity with inspector of Criminal Police of </w:t>
      </w:r>
      <w:proofErr w:type="spellStart"/>
      <w:r w:rsidRPr="0017253A">
        <w:rPr>
          <w:i/>
          <w:lang w:val="en-US"/>
        </w:rPr>
        <w:t>Ciocana</w:t>
      </w:r>
      <w:proofErr w:type="spellEnd"/>
      <w:r w:rsidRPr="0017253A">
        <w:rPr>
          <w:i/>
          <w:lang w:val="en-US"/>
        </w:rPr>
        <w:t xml:space="preserve"> District Police Station </w:t>
      </w:r>
      <w:proofErr w:type="spellStart"/>
      <w:r w:rsidRPr="0017253A">
        <w:rPr>
          <w:i/>
          <w:lang w:val="en-US"/>
        </w:rPr>
        <w:t>Ciortan</w:t>
      </w:r>
      <w:proofErr w:type="spellEnd"/>
      <w:r w:rsidRPr="0017253A">
        <w:rPr>
          <w:i/>
          <w:lang w:val="en-US"/>
        </w:rPr>
        <w:t xml:space="preserve"> Ion, getting hold of operational information that in May 2010 citizen </w:t>
      </w:r>
      <w:proofErr w:type="spellStart"/>
      <w:r w:rsidRPr="0017253A">
        <w:rPr>
          <w:i/>
          <w:lang w:val="en-US"/>
        </w:rPr>
        <w:t>Bairamov</w:t>
      </w:r>
      <w:proofErr w:type="spellEnd"/>
      <w:r w:rsidRPr="0017253A">
        <w:rPr>
          <w:i/>
          <w:lang w:val="en-US"/>
        </w:rPr>
        <w:t xml:space="preserve"> </w:t>
      </w:r>
      <w:proofErr w:type="spellStart"/>
      <w:r w:rsidRPr="0017253A">
        <w:rPr>
          <w:i/>
          <w:lang w:val="en-US"/>
        </w:rPr>
        <w:t>Elidar</w:t>
      </w:r>
      <w:proofErr w:type="spellEnd"/>
      <w:r w:rsidRPr="0017253A">
        <w:rPr>
          <w:i/>
          <w:lang w:val="en-US"/>
        </w:rPr>
        <w:t xml:space="preserve"> was involved in actions related to circulation of narcotic substances, aiming to receive goods in the form of money not due to him, and taking </w:t>
      </w:r>
      <w:r w:rsidRPr="0017253A">
        <w:rPr>
          <w:i/>
          <w:lang w:val="en-US"/>
        </w:rPr>
        <w:lastRenderedPageBreak/>
        <w:t xml:space="preserve">advantage of his involvement, to discover the crime, in the working group on the case no.2010480429, initiated on 08.04.2010 on the basis of the indices of the crime provided in art.186 para.(2), let. b), d) of the Criminal Code, on the theft of money in the amount of 4300 lei from </w:t>
      </w:r>
      <w:proofErr w:type="spellStart"/>
      <w:r w:rsidRPr="0017253A">
        <w:rPr>
          <w:i/>
          <w:lang w:val="en-US"/>
        </w:rPr>
        <w:t>Liscu</w:t>
      </w:r>
      <w:proofErr w:type="spellEnd"/>
      <w:r w:rsidRPr="0017253A">
        <w:rPr>
          <w:i/>
          <w:lang w:val="en-US"/>
        </w:rPr>
        <w:t xml:space="preserve"> Valentin, committed on 29.03.2010 by unknown persons, by deceit, without any legal ground, obtained the issuance of a search order which was authorized by investigative judge Obada </w:t>
      </w:r>
      <w:proofErr w:type="spellStart"/>
      <w:r w:rsidRPr="0017253A">
        <w:rPr>
          <w:i/>
          <w:lang w:val="en-US"/>
        </w:rPr>
        <w:t>Iurie</w:t>
      </w:r>
      <w:proofErr w:type="spellEnd"/>
      <w:r w:rsidRPr="0017253A">
        <w:rPr>
          <w:i/>
          <w:lang w:val="en-US"/>
        </w:rPr>
        <w:t xml:space="preserve">. </w:t>
      </w:r>
    </w:p>
    <w:p w14:paraId="3435685C" w14:textId="77777777" w:rsidR="0017253A" w:rsidRDefault="0017253A" w:rsidP="00C81505">
      <w:pPr>
        <w:spacing w:line="360" w:lineRule="auto"/>
        <w:ind w:left="708"/>
        <w:jc w:val="both"/>
        <w:rPr>
          <w:i/>
          <w:lang w:val="en-US"/>
        </w:rPr>
      </w:pPr>
      <w:r w:rsidRPr="0017253A">
        <w:rPr>
          <w:i/>
          <w:lang w:val="en-US"/>
        </w:rPr>
        <w:t xml:space="preserve">Subsequently, on 27.08.2010, the policeman </w:t>
      </w:r>
      <w:proofErr w:type="spellStart"/>
      <w:r w:rsidRPr="0017253A">
        <w:rPr>
          <w:i/>
          <w:lang w:val="en-US"/>
        </w:rPr>
        <w:t>Ciortan</w:t>
      </w:r>
      <w:proofErr w:type="spellEnd"/>
      <w:r w:rsidRPr="0017253A">
        <w:rPr>
          <w:i/>
          <w:lang w:val="en-US"/>
        </w:rPr>
        <w:t xml:space="preserve"> Ion in complicity with inspector of Criminal Police of </w:t>
      </w:r>
      <w:proofErr w:type="spellStart"/>
      <w:r w:rsidRPr="0017253A">
        <w:rPr>
          <w:i/>
          <w:lang w:val="en-US"/>
        </w:rPr>
        <w:t>Ciocana</w:t>
      </w:r>
      <w:proofErr w:type="spellEnd"/>
      <w:r w:rsidRPr="0017253A">
        <w:rPr>
          <w:i/>
          <w:lang w:val="en-US"/>
        </w:rPr>
        <w:t xml:space="preserve"> District Police Station, </w:t>
      </w:r>
      <w:proofErr w:type="spellStart"/>
      <w:r w:rsidRPr="0017253A">
        <w:rPr>
          <w:i/>
          <w:lang w:val="en-US"/>
        </w:rPr>
        <w:t>Covalschi</w:t>
      </w:r>
      <w:proofErr w:type="spellEnd"/>
      <w:r w:rsidRPr="0017253A">
        <w:rPr>
          <w:i/>
          <w:lang w:val="en-US"/>
        </w:rPr>
        <w:t xml:space="preserve"> </w:t>
      </w:r>
      <w:proofErr w:type="spellStart"/>
      <w:r w:rsidRPr="0017253A">
        <w:rPr>
          <w:i/>
          <w:lang w:val="en-US"/>
        </w:rPr>
        <w:t>Ghenadi</w:t>
      </w:r>
      <w:proofErr w:type="spellEnd"/>
      <w:r w:rsidRPr="0017253A">
        <w:rPr>
          <w:i/>
          <w:lang w:val="en-US"/>
        </w:rPr>
        <w:t xml:space="preserve">, aiming to receive money not due to them, have stopped </w:t>
      </w:r>
      <w:proofErr w:type="spellStart"/>
      <w:r w:rsidRPr="0017253A">
        <w:rPr>
          <w:i/>
          <w:lang w:val="en-US"/>
        </w:rPr>
        <w:t>Bairamov</w:t>
      </w:r>
      <w:proofErr w:type="spellEnd"/>
      <w:r w:rsidRPr="0017253A">
        <w:rPr>
          <w:i/>
          <w:lang w:val="en-US"/>
        </w:rPr>
        <w:t xml:space="preserve"> </w:t>
      </w:r>
      <w:proofErr w:type="spellStart"/>
      <w:r w:rsidRPr="0017253A">
        <w:rPr>
          <w:i/>
          <w:lang w:val="en-US"/>
        </w:rPr>
        <w:t>Elidar</w:t>
      </w:r>
      <w:proofErr w:type="spellEnd"/>
      <w:r w:rsidRPr="0017253A">
        <w:rPr>
          <w:i/>
          <w:lang w:val="en-US"/>
        </w:rPr>
        <w:t xml:space="preserve"> who was going home, and showing him the order for carrying out the search of his domicile in the locality of Dobruja, municipality of Chisinau, searched his car, then they asked </w:t>
      </w:r>
      <w:proofErr w:type="spellStart"/>
      <w:r w:rsidRPr="0017253A">
        <w:rPr>
          <w:i/>
          <w:lang w:val="en-US"/>
        </w:rPr>
        <w:t>Bairamov</w:t>
      </w:r>
      <w:proofErr w:type="spellEnd"/>
      <w:r w:rsidRPr="0017253A">
        <w:rPr>
          <w:i/>
          <w:lang w:val="en-US"/>
        </w:rPr>
        <w:t xml:space="preserve"> </w:t>
      </w:r>
      <w:proofErr w:type="spellStart"/>
      <w:r w:rsidRPr="0017253A">
        <w:rPr>
          <w:i/>
          <w:lang w:val="en-US"/>
        </w:rPr>
        <w:t>Elidar</w:t>
      </w:r>
      <w:proofErr w:type="spellEnd"/>
      <w:r w:rsidRPr="0017253A">
        <w:rPr>
          <w:i/>
          <w:lang w:val="en-US"/>
        </w:rPr>
        <w:t xml:space="preserve"> to take them to his place of residence, in order to conduct the search of domicile. </w:t>
      </w:r>
    </w:p>
    <w:p w14:paraId="7FF1681C" w14:textId="77777777" w:rsidR="0017253A" w:rsidRDefault="0017253A" w:rsidP="00C81505">
      <w:pPr>
        <w:spacing w:line="360" w:lineRule="auto"/>
        <w:jc w:val="both"/>
        <w:rPr>
          <w:b/>
          <w:bCs/>
          <w:i/>
          <w:iCs/>
          <w:lang w:val="en-US"/>
        </w:rPr>
      </w:pPr>
    </w:p>
    <w:p w14:paraId="6B340071" w14:textId="77777777" w:rsidR="00CD3545" w:rsidRDefault="004B464E" w:rsidP="00C81505">
      <w:pPr>
        <w:spacing w:line="360" w:lineRule="auto"/>
        <w:jc w:val="both"/>
        <w:rPr>
          <w:lang w:val="en-US"/>
        </w:rPr>
      </w:pPr>
      <w:r>
        <w:rPr>
          <w:lang w:val="en-US"/>
        </w:rPr>
        <w:t>Another Supreme Court decision</w:t>
      </w:r>
      <w:r>
        <w:rPr>
          <w:rStyle w:val="Funotenzeichen"/>
          <w:lang w:val="en-US"/>
        </w:rPr>
        <w:footnoteReference w:id="12"/>
      </w:r>
      <w:r>
        <w:rPr>
          <w:lang w:val="en-US"/>
        </w:rPr>
        <w:t xml:space="preserve"> began with the introductory sentences:</w:t>
      </w:r>
    </w:p>
    <w:p w14:paraId="4501DC12" w14:textId="77777777" w:rsidR="004B464E" w:rsidRPr="004B464E" w:rsidRDefault="004B464E" w:rsidP="00C81505">
      <w:pPr>
        <w:spacing w:line="360" w:lineRule="auto"/>
        <w:ind w:left="720"/>
        <w:jc w:val="both"/>
        <w:rPr>
          <w:i/>
          <w:lang w:val="en-US"/>
        </w:rPr>
      </w:pPr>
      <w:r w:rsidRPr="004B464E">
        <w:rPr>
          <w:i/>
          <w:lang w:val="en-US"/>
        </w:rPr>
        <w:t xml:space="preserve">In order to express its view, the first instance court has found that </w:t>
      </w:r>
      <w:proofErr w:type="spellStart"/>
      <w:r w:rsidRPr="004B464E">
        <w:rPr>
          <w:i/>
          <w:lang w:val="en-US"/>
        </w:rPr>
        <w:t>Guzun</w:t>
      </w:r>
      <w:proofErr w:type="spellEnd"/>
      <w:r w:rsidRPr="004B464E">
        <w:rPr>
          <w:i/>
          <w:lang w:val="en-US"/>
        </w:rPr>
        <w:t xml:space="preserve"> Tudor, acting as a criminal investigation officer of the Criminal Investigation Unit of the Police Station of </w:t>
      </w:r>
      <w:proofErr w:type="spellStart"/>
      <w:r w:rsidRPr="004B464E">
        <w:rPr>
          <w:i/>
          <w:lang w:val="en-US"/>
        </w:rPr>
        <w:t>Riscani</w:t>
      </w:r>
      <w:proofErr w:type="spellEnd"/>
      <w:r w:rsidRPr="004B464E">
        <w:rPr>
          <w:i/>
          <w:lang w:val="en-US"/>
        </w:rPr>
        <w:t xml:space="preserve"> District of the General Police Station of the municipality of Chisinau, having the special rank of senior lieutenant of police, therefore under the provisions of art. 123 para. (2) of the Criminal Code, being an official, that is to say, a public functionary with special status, who pursuant to art. 13 para. (1) let. a), </w:t>
      </w:r>
      <w:proofErr w:type="spellStart"/>
      <w:r w:rsidRPr="004B464E">
        <w:rPr>
          <w:i/>
          <w:lang w:val="en-US"/>
        </w:rPr>
        <w:t>i</w:t>
      </w:r>
      <w:proofErr w:type="spellEnd"/>
      <w:r w:rsidRPr="004B464E">
        <w:rPr>
          <w:i/>
          <w:lang w:val="en-US"/>
        </w:rPr>
        <w:t>) of Law on the Status of Criminal Investigation Officer no. 333 of 10.11.2006, has the obligation to perform his official duties in strict compliance with the legislation as well as have a dignified conduct in society and refrain from actions which would compromise the dignity and honor of a criminal investigation officer, accepted money which are not due to him from Smirnova Tatiana, not to carry out actions in the exercise of his office</w:t>
      </w:r>
      <w:r w:rsidRPr="004B464E">
        <w:rPr>
          <w:lang w:val="en-US"/>
        </w:rPr>
        <w:t xml:space="preserve"> </w:t>
      </w:r>
      <w:r w:rsidRPr="004B464E">
        <w:rPr>
          <w:i/>
          <w:lang w:val="en-US"/>
        </w:rPr>
        <w:t xml:space="preserve">and stating that he had influence on the decision makers from </w:t>
      </w:r>
      <w:proofErr w:type="spellStart"/>
      <w:r w:rsidRPr="004B464E">
        <w:rPr>
          <w:i/>
          <w:lang w:val="en-US"/>
        </w:rPr>
        <w:t>Rascani</w:t>
      </w:r>
      <w:proofErr w:type="spellEnd"/>
      <w:r w:rsidRPr="004B464E">
        <w:rPr>
          <w:i/>
          <w:lang w:val="en-US"/>
        </w:rPr>
        <w:t xml:space="preserve"> Prosecutor’s Office, municipality of Chisinau, claimed and received money, in the following circumstances. </w:t>
      </w:r>
    </w:p>
    <w:p w14:paraId="73648377" w14:textId="77777777" w:rsidR="004B464E" w:rsidRDefault="004B464E" w:rsidP="00C81505">
      <w:pPr>
        <w:spacing w:line="360" w:lineRule="auto"/>
        <w:jc w:val="both"/>
        <w:rPr>
          <w:lang w:val="en-US"/>
        </w:rPr>
      </w:pPr>
    </w:p>
    <w:p w14:paraId="72145FC4" w14:textId="77777777" w:rsidR="004B464E" w:rsidRDefault="004B464E" w:rsidP="00C81505">
      <w:pPr>
        <w:spacing w:line="360" w:lineRule="auto"/>
        <w:jc w:val="both"/>
        <w:rPr>
          <w:lang w:val="en-US"/>
        </w:rPr>
      </w:pPr>
      <w:r>
        <w:rPr>
          <w:lang w:val="en-US"/>
        </w:rPr>
        <w:t>It also contained the sentence:</w:t>
      </w:r>
    </w:p>
    <w:p w14:paraId="12AAE601" w14:textId="77777777" w:rsidR="004B464E" w:rsidRDefault="004B464E" w:rsidP="00C81505">
      <w:pPr>
        <w:spacing w:line="360" w:lineRule="auto"/>
        <w:ind w:left="708"/>
        <w:jc w:val="both"/>
        <w:rPr>
          <w:i/>
          <w:lang w:val="en-US"/>
        </w:rPr>
      </w:pPr>
      <w:r w:rsidRPr="004B464E">
        <w:rPr>
          <w:i/>
          <w:lang w:val="en-US"/>
        </w:rPr>
        <w:t xml:space="preserve">With regard to the discussions, carried out by the defendant with Smirnova after the criminal case against her daughter was sent to the prosecutor with the proposal to terminate it, which </w:t>
      </w:r>
      <w:r w:rsidRPr="004B464E">
        <w:rPr>
          <w:i/>
          <w:lang w:val="en-US"/>
        </w:rPr>
        <w:lastRenderedPageBreak/>
        <w:t xml:space="preserve">were held while the defendant was on his annual leave, and the fact that the case materials do not contain data administered by the criminal investigation body and presented by the prosecutor during court inquiry, according to which the defendant would have been involved in committing corruption acts, the argument that in the absence of instigation to commit the crime incriminated to the defendant, he would not have committed it, is refuted by the video recording which confirms several times the refusal of T. </w:t>
      </w:r>
      <w:proofErr w:type="spellStart"/>
      <w:r w:rsidRPr="004B464E">
        <w:rPr>
          <w:i/>
          <w:lang w:val="en-US"/>
        </w:rPr>
        <w:t>Guzun</w:t>
      </w:r>
      <w:proofErr w:type="spellEnd"/>
      <w:r w:rsidRPr="004B464E">
        <w:rPr>
          <w:i/>
          <w:lang w:val="en-US"/>
        </w:rPr>
        <w:t xml:space="preserve"> to receive money, but he refuses it only until Smirnova Tatiana takes out the money and no finding is made that </w:t>
      </w:r>
      <w:proofErr w:type="spellStart"/>
      <w:r w:rsidRPr="004B464E">
        <w:rPr>
          <w:i/>
          <w:lang w:val="en-US"/>
        </w:rPr>
        <w:t>Guzun</w:t>
      </w:r>
      <w:proofErr w:type="spellEnd"/>
      <w:r w:rsidRPr="004B464E">
        <w:rPr>
          <w:i/>
          <w:lang w:val="en-US"/>
        </w:rPr>
        <w:t xml:space="preserve"> T. was instigated by her, on the contrary, when Smirnova T. put the 2 banknotes of 50 Euros each on the table, these were taken and accepted by </w:t>
      </w:r>
      <w:proofErr w:type="spellStart"/>
      <w:r w:rsidRPr="004B464E">
        <w:rPr>
          <w:i/>
          <w:lang w:val="en-US"/>
        </w:rPr>
        <w:t>Guzun</w:t>
      </w:r>
      <w:proofErr w:type="spellEnd"/>
      <w:r w:rsidRPr="004B464E">
        <w:rPr>
          <w:i/>
          <w:lang w:val="en-US"/>
        </w:rPr>
        <w:t xml:space="preserve"> T. and wrapped in 2 white paper napkins, promising her that in future he would attempt to influence the prosecutor, who was leading the criminal investigation on the case of </w:t>
      </w:r>
      <w:proofErr w:type="spellStart"/>
      <w:r w:rsidRPr="004B464E">
        <w:rPr>
          <w:i/>
          <w:lang w:val="en-US"/>
        </w:rPr>
        <w:t>Ecaterina</w:t>
      </w:r>
      <w:proofErr w:type="spellEnd"/>
      <w:r w:rsidRPr="004B464E">
        <w:rPr>
          <w:i/>
          <w:lang w:val="en-US"/>
        </w:rPr>
        <w:t xml:space="preserve"> Smirnova and would be able to determine him to terminate the criminal case against her. </w:t>
      </w:r>
    </w:p>
    <w:p w14:paraId="41467B52" w14:textId="77777777" w:rsidR="00A11E89" w:rsidRDefault="00205399" w:rsidP="00A11E89">
      <w:pPr>
        <w:spacing w:line="360" w:lineRule="auto"/>
        <w:jc w:val="both"/>
        <w:rPr>
          <w:lang w:val="en-US"/>
        </w:rPr>
      </w:pPr>
      <w:r>
        <w:rPr>
          <w:lang w:val="en-US"/>
        </w:rPr>
        <w:t xml:space="preserve">Sentences of this length and structure render the judgment hard to comprehend; they also make it difficult for readers to identify the legal issues with which the court dealt and how it applied the law to the facts. </w:t>
      </w:r>
    </w:p>
    <w:p w14:paraId="47F5D327" w14:textId="77777777" w:rsidR="00205399" w:rsidRPr="00A11E89" w:rsidRDefault="00205399" w:rsidP="00A11E89">
      <w:pPr>
        <w:spacing w:line="360" w:lineRule="auto"/>
        <w:jc w:val="both"/>
        <w:rPr>
          <w:lang w:val="en-US"/>
        </w:rPr>
      </w:pPr>
      <w:r>
        <w:rPr>
          <w:lang w:val="en-US"/>
        </w:rPr>
        <w:t xml:space="preserve">All of the judgments analyzed for purposes of this report contained verbose or overly long sentences to some extent. </w:t>
      </w:r>
    </w:p>
    <w:p w14:paraId="3CB25B41" w14:textId="77777777" w:rsidR="003F29E8" w:rsidRPr="004B464E" w:rsidRDefault="003F29E8" w:rsidP="00C81505">
      <w:pPr>
        <w:spacing w:line="360" w:lineRule="auto"/>
        <w:jc w:val="both"/>
        <w:rPr>
          <w:lang w:val="en-US"/>
        </w:rPr>
      </w:pPr>
    </w:p>
    <w:p w14:paraId="2163AF85" w14:textId="77777777" w:rsidR="004F5076" w:rsidRDefault="00011284" w:rsidP="00C81505">
      <w:pPr>
        <w:pStyle w:val="berschrift3"/>
        <w:spacing w:line="360" w:lineRule="auto"/>
        <w:rPr>
          <w:lang w:val="en-US"/>
        </w:rPr>
      </w:pPr>
      <w:bookmarkStart w:id="11" w:name="_Toc3821707"/>
      <w:r>
        <w:rPr>
          <w:lang w:val="en-US"/>
        </w:rPr>
        <w:t>Assessment of evidence</w:t>
      </w:r>
      <w:bookmarkEnd w:id="11"/>
    </w:p>
    <w:p w14:paraId="0851522B" w14:textId="77777777" w:rsidR="00011284" w:rsidRDefault="00011284" w:rsidP="00C81505">
      <w:pPr>
        <w:spacing w:line="360" w:lineRule="auto"/>
        <w:jc w:val="both"/>
        <w:rPr>
          <w:lang w:val="en-US"/>
        </w:rPr>
      </w:pPr>
      <w:r>
        <w:rPr>
          <w:lang w:val="en-US"/>
        </w:rPr>
        <w:t>In a civil law jurisdiction, the court essentially has three tasks:</w:t>
      </w:r>
    </w:p>
    <w:p w14:paraId="32C9EEB9" w14:textId="77777777" w:rsidR="00011284" w:rsidRDefault="00011284" w:rsidP="00C81505">
      <w:pPr>
        <w:pStyle w:val="Listenabsatz"/>
        <w:numPr>
          <w:ilvl w:val="0"/>
          <w:numId w:val="3"/>
        </w:numPr>
        <w:spacing w:line="360" w:lineRule="auto"/>
        <w:jc w:val="both"/>
        <w:rPr>
          <w:lang w:val="en-US"/>
        </w:rPr>
      </w:pPr>
      <w:r w:rsidRPr="00011284">
        <w:rPr>
          <w:lang w:val="en-US"/>
        </w:rPr>
        <w:t>to establish the facts of the case which are legally relevant and on which it bases its judgement</w:t>
      </w:r>
      <w:r w:rsidR="00A52138">
        <w:rPr>
          <w:lang w:val="en-US"/>
        </w:rPr>
        <w:t xml:space="preserve"> (assessment of evidence)</w:t>
      </w:r>
    </w:p>
    <w:p w14:paraId="07D80467" w14:textId="77777777" w:rsidR="00011284" w:rsidRDefault="00011284" w:rsidP="00C81505">
      <w:pPr>
        <w:pStyle w:val="Listenabsatz"/>
        <w:numPr>
          <w:ilvl w:val="0"/>
          <w:numId w:val="3"/>
        </w:numPr>
        <w:spacing w:line="360" w:lineRule="auto"/>
        <w:jc w:val="both"/>
        <w:rPr>
          <w:lang w:val="en-US"/>
        </w:rPr>
      </w:pPr>
      <w:r>
        <w:rPr>
          <w:lang w:val="en-US"/>
        </w:rPr>
        <w:t>to apply the law to the facts it has established</w:t>
      </w:r>
      <w:r w:rsidR="00A52138">
        <w:rPr>
          <w:lang w:val="en-US"/>
        </w:rPr>
        <w:t xml:space="preserve"> (legal assessment)</w:t>
      </w:r>
    </w:p>
    <w:p w14:paraId="052DAB0E" w14:textId="77777777" w:rsidR="00011284" w:rsidRDefault="00011284" w:rsidP="00C81505">
      <w:pPr>
        <w:pStyle w:val="Listenabsatz"/>
        <w:numPr>
          <w:ilvl w:val="0"/>
          <w:numId w:val="3"/>
        </w:numPr>
        <w:spacing w:line="360" w:lineRule="auto"/>
        <w:jc w:val="both"/>
        <w:rPr>
          <w:lang w:val="en-US"/>
        </w:rPr>
      </w:pPr>
      <w:r>
        <w:rPr>
          <w:lang w:val="en-US"/>
        </w:rPr>
        <w:t>to make the actual ruling as to be inferred from the application of the law</w:t>
      </w:r>
    </w:p>
    <w:p w14:paraId="4407DE13" w14:textId="77777777" w:rsidR="00011284" w:rsidRDefault="00E2420B" w:rsidP="00C81505">
      <w:pPr>
        <w:spacing w:line="360" w:lineRule="auto"/>
        <w:jc w:val="both"/>
        <w:rPr>
          <w:lang w:val="en-US"/>
        </w:rPr>
      </w:pPr>
      <w:r>
        <w:rPr>
          <w:lang w:val="en-US"/>
        </w:rPr>
        <w:t xml:space="preserve">The methods by which the facts are established may differ in criminal, civil and administrative matters. </w:t>
      </w:r>
      <w:r w:rsidR="00892A3C">
        <w:rPr>
          <w:lang w:val="en-US"/>
        </w:rPr>
        <w:t xml:space="preserve">Also, different standards of proof </w:t>
      </w:r>
      <w:r>
        <w:rPr>
          <w:lang w:val="en-US"/>
        </w:rPr>
        <w:t xml:space="preserve">and rules governing the presentation and admissibility of evidence </w:t>
      </w:r>
      <w:r w:rsidR="00892A3C">
        <w:rPr>
          <w:lang w:val="en-US"/>
        </w:rPr>
        <w:t>may apply</w:t>
      </w:r>
      <w:r>
        <w:rPr>
          <w:lang w:val="en-US"/>
        </w:rPr>
        <w:t>. Regardless of these differences, the court has to form an opinion as to what has happened and what is legally relevant- either because of the duty incumbent on the court in criminal matters to explore the truth or on account of the submissions of the parties in civil matters.</w:t>
      </w:r>
    </w:p>
    <w:p w14:paraId="7CDF5C42" w14:textId="77777777" w:rsidR="00046C5A" w:rsidRDefault="00046C5A" w:rsidP="00C81505">
      <w:pPr>
        <w:spacing w:line="360" w:lineRule="auto"/>
        <w:jc w:val="both"/>
        <w:rPr>
          <w:lang w:val="en-US"/>
        </w:rPr>
      </w:pPr>
      <w:r>
        <w:rPr>
          <w:lang w:val="en-US"/>
        </w:rPr>
        <w:t xml:space="preserve">It will </w:t>
      </w:r>
      <w:r w:rsidR="00830189">
        <w:rPr>
          <w:lang w:val="en-US"/>
        </w:rPr>
        <w:t>do so</w:t>
      </w:r>
      <w:r w:rsidR="001F1069">
        <w:rPr>
          <w:lang w:val="en-US"/>
        </w:rPr>
        <w:t xml:space="preserve"> on</w:t>
      </w:r>
      <w:r>
        <w:rPr>
          <w:lang w:val="en-US"/>
        </w:rPr>
        <w:t xml:space="preserve"> the basis of the evidence before it.</w:t>
      </w:r>
      <w:r w:rsidR="00830189">
        <w:rPr>
          <w:lang w:val="en-US"/>
        </w:rPr>
        <w:t xml:space="preserve"> The quality of the ruling made in the case depends on how thoroughly the court establishes the facts of the case; if relevant facts are omitted or distorted, the ruling is likely to be wrong. I.e. the judgement does not correspond to </w:t>
      </w:r>
      <w:r w:rsidR="00892A3C">
        <w:rPr>
          <w:lang w:val="en-US"/>
        </w:rPr>
        <w:t>the real events</w:t>
      </w:r>
      <w:r w:rsidR="00830189">
        <w:rPr>
          <w:lang w:val="en-US"/>
        </w:rPr>
        <w:t>.</w:t>
      </w:r>
    </w:p>
    <w:p w14:paraId="1FE35C9F" w14:textId="77777777" w:rsidR="00830189" w:rsidRDefault="00830189" w:rsidP="00C81505">
      <w:pPr>
        <w:spacing w:line="360" w:lineRule="auto"/>
        <w:jc w:val="both"/>
        <w:rPr>
          <w:lang w:val="en-US"/>
        </w:rPr>
      </w:pPr>
      <w:r>
        <w:rPr>
          <w:lang w:val="en-US"/>
        </w:rPr>
        <w:lastRenderedPageBreak/>
        <w:t xml:space="preserve">Therefore, the court has to display utmost </w:t>
      </w:r>
      <w:r w:rsidR="001F1069">
        <w:rPr>
          <w:lang w:val="en-US"/>
        </w:rPr>
        <w:t>thoroughness</w:t>
      </w:r>
      <w:r>
        <w:rPr>
          <w:lang w:val="en-US"/>
        </w:rPr>
        <w:t xml:space="preserve"> when </w:t>
      </w:r>
      <w:proofErr w:type="spellStart"/>
      <w:r w:rsidR="001F1069">
        <w:rPr>
          <w:lang w:val="en-US"/>
        </w:rPr>
        <w:t>analysing</w:t>
      </w:r>
      <w:proofErr w:type="spellEnd"/>
      <w:r w:rsidR="001F1069">
        <w:rPr>
          <w:lang w:val="en-US"/>
        </w:rPr>
        <w:t xml:space="preserve"> the evidence</w:t>
      </w:r>
      <w:r w:rsidR="00892A3C">
        <w:rPr>
          <w:lang w:val="en-US"/>
        </w:rPr>
        <w:t xml:space="preserve"> before</w:t>
      </w:r>
      <w:r w:rsidR="001F1069">
        <w:rPr>
          <w:lang w:val="en-US"/>
        </w:rPr>
        <w:t xml:space="preserve">. This thoroughness should be mirrored in the part of the judgement explaining what evidence the court took into consideration and how it assessed that evidence. </w:t>
      </w:r>
    </w:p>
    <w:p w14:paraId="7064F0FD" w14:textId="77777777" w:rsidR="001F1069" w:rsidRDefault="001F1069" w:rsidP="00C81505">
      <w:pPr>
        <w:spacing w:line="360" w:lineRule="auto"/>
        <w:jc w:val="both"/>
        <w:rPr>
          <w:lang w:val="en-US"/>
        </w:rPr>
      </w:pPr>
      <w:r>
        <w:rPr>
          <w:lang w:val="en-US"/>
        </w:rPr>
        <w:t>The section of the judgement dealing with evidence serves several functions:</w:t>
      </w:r>
    </w:p>
    <w:p w14:paraId="6B7E00B6" w14:textId="77777777" w:rsidR="001F1069" w:rsidRDefault="001F1069" w:rsidP="00C81505">
      <w:pPr>
        <w:pStyle w:val="Listenabsatz"/>
        <w:numPr>
          <w:ilvl w:val="0"/>
          <w:numId w:val="4"/>
        </w:numPr>
        <w:spacing w:line="360" w:lineRule="auto"/>
        <w:jc w:val="both"/>
        <w:rPr>
          <w:lang w:val="en-US"/>
        </w:rPr>
      </w:pPr>
      <w:r>
        <w:rPr>
          <w:lang w:val="en-US"/>
        </w:rPr>
        <w:t>it is a means of self-control for the judge(s) adjudicating the case. It enables the</w:t>
      </w:r>
      <w:r w:rsidR="008F2283">
        <w:rPr>
          <w:lang w:val="en-US"/>
        </w:rPr>
        <w:t xml:space="preserve"> court to test whether it has dealt with the evidence in a logical and coherent manner</w:t>
      </w:r>
    </w:p>
    <w:p w14:paraId="5BEE280C" w14:textId="77777777" w:rsidR="008F2283" w:rsidRDefault="008F2283" w:rsidP="00C81505">
      <w:pPr>
        <w:pStyle w:val="Listenabsatz"/>
        <w:numPr>
          <w:ilvl w:val="0"/>
          <w:numId w:val="4"/>
        </w:numPr>
        <w:spacing w:line="360" w:lineRule="auto"/>
        <w:jc w:val="both"/>
        <w:rPr>
          <w:lang w:val="en-US"/>
        </w:rPr>
      </w:pPr>
      <w:r>
        <w:rPr>
          <w:lang w:val="en-US"/>
        </w:rPr>
        <w:t xml:space="preserve">it enables higher courts dealing with possible appeals against the judgement to check whether the </w:t>
      </w:r>
      <w:r w:rsidR="002D6738">
        <w:rPr>
          <w:lang w:val="en-US"/>
        </w:rPr>
        <w:t>first</w:t>
      </w:r>
      <w:r>
        <w:rPr>
          <w:lang w:val="en-US"/>
        </w:rPr>
        <w:t xml:space="preserve"> instance court has committed errors when establishing the facts</w:t>
      </w:r>
    </w:p>
    <w:p w14:paraId="5A833DC8" w14:textId="77777777" w:rsidR="008F2283" w:rsidRPr="001F1069" w:rsidRDefault="008F2283" w:rsidP="00C81505">
      <w:pPr>
        <w:pStyle w:val="Listenabsatz"/>
        <w:numPr>
          <w:ilvl w:val="0"/>
          <w:numId w:val="4"/>
        </w:numPr>
        <w:spacing w:line="360" w:lineRule="auto"/>
        <w:jc w:val="both"/>
        <w:rPr>
          <w:lang w:val="en-US"/>
        </w:rPr>
      </w:pPr>
      <w:r>
        <w:rPr>
          <w:lang w:val="en-US"/>
        </w:rPr>
        <w:t>it explains to the readers why the court considered the relevant standard of proof me</w:t>
      </w:r>
      <w:r w:rsidR="002D6738">
        <w:rPr>
          <w:lang w:val="en-US"/>
        </w:rPr>
        <w:t>t</w:t>
      </w:r>
      <w:r>
        <w:rPr>
          <w:lang w:val="en-US"/>
        </w:rPr>
        <w:t xml:space="preserve"> in a certain case, why the judge considered certain witnesses or other pieces of evidence reliable and white certain pieces of evidence were not admitted or considered.</w:t>
      </w:r>
    </w:p>
    <w:p w14:paraId="5032832D" w14:textId="77777777" w:rsidR="00F94CA5" w:rsidRDefault="00F94CA5" w:rsidP="00C81505">
      <w:pPr>
        <w:spacing w:line="360" w:lineRule="auto"/>
        <w:jc w:val="both"/>
        <w:rPr>
          <w:lang w:val="en-US"/>
        </w:rPr>
      </w:pPr>
      <w:r>
        <w:rPr>
          <w:lang w:val="en-US"/>
        </w:rPr>
        <w:t xml:space="preserve">Almost all judgements I </w:t>
      </w:r>
      <w:proofErr w:type="spellStart"/>
      <w:r>
        <w:rPr>
          <w:lang w:val="en-US"/>
        </w:rPr>
        <w:t>analysed</w:t>
      </w:r>
      <w:proofErr w:type="spellEnd"/>
      <w:r>
        <w:rPr>
          <w:lang w:val="en-US"/>
        </w:rPr>
        <w:t xml:space="preserve"> for purposes of this report contain</w:t>
      </w:r>
      <w:r w:rsidR="002D6738">
        <w:rPr>
          <w:lang w:val="en-US"/>
        </w:rPr>
        <w:t>ed</w:t>
      </w:r>
      <w:r>
        <w:rPr>
          <w:lang w:val="en-US"/>
        </w:rPr>
        <w:t xml:space="preserve"> a section dealing with evidence</w:t>
      </w:r>
      <w:r w:rsidR="00F34112">
        <w:rPr>
          <w:lang w:val="en-US"/>
        </w:rPr>
        <w:t>. Several observations seem of interest in regard to the way Moldovan judges put their analysis in writing:</w:t>
      </w:r>
    </w:p>
    <w:p w14:paraId="3CDF24D9" w14:textId="77777777" w:rsidR="00F34112" w:rsidRDefault="00A72D73" w:rsidP="00C81505">
      <w:pPr>
        <w:pStyle w:val="berschrift4"/>
        <w:spacing w:line="360" w:lineRule="auto"/>
        <w:rPr>
          <w:lang w:val="en-US"/>
        </w:rPr>
      </w:pPr>
      <w:r>
        <w:rPr>
          <w:lang w:val="en-US"/>
        </w:rPr>
        <w:t>R</w:t>
      </w:r>
      <w:r w:rsidR="00F34112">
        <w:rPr>
          <w:lang w:val="en-US"/>
        </w:rPr>
        <w:t xml:space="preserve">epeating of evidence instead of </w:t>
      </w:r>
      <w:proofErr w:type="spellStart"/>
      <w:r w:rsidR="00F34112">
        <w:rPr>
          <w:lang w:val="en-US"/>
        </w:rPr>
        <w:t>analysing</w:t>
      </w:r>
      <w:proofErr w:type="spellEnd"/>
      <w:r w:rsidR="00F34112">
        <w:rPr>
          <w:lang w:val="en-US"/>
        </w:rPr>
        <w:t xml:space="preserve"> it</w:t>
      </w:r>
    </w:p>
    <w:p w14:paraId="579567F5" w14:textId="77777777" w:rsidR="005171E3" w:rsidRDefault="00422F44" w:rsidP="00C81505">
      <w:pPr>
        <w:spacing w:line="360" w:lineRule="auto"/>
        <w:jc w:val="both"/>
        <w:rPr>
          <w:lang w:val="en-US"/>
        </w:rPr>
      </w:pPr>
      <w:r>
        <w:rPr>
          <w:lang w:val="en-US"/>
        </w:rPr>
        <w:t>A c</w:t>
      </w:r>
      <w:r w:rsidR="00A72D73">
        <w:rPr>
          <w:lang w:val="en-US"/>
        </w:rPr>
        <w:t xml:space="preserve">ommon feature of many of the judgements examined is that they provide an account of the evidence presented in court, but fail to </w:t>
      </w:r>
      <w:proofErr w:type="spellStart"/>
      <w:r w:rsidR="00A72D73" w:rsidRPr="00A72D73">
        <w:rPr>
          <w:b/>
          <w:lang w:val="en-US"/>
        </w:rPr>
        <w:t>analyse</w:t>
      </w:r>
      <w:proofErr w:type="spellEnd"/>
      <w:r w:rsidR="00A72D73">
        <w:rPr>
          <w:lang w:val="en-US"/>
        </w:rPr>
        <w:t xml:space="preserve"> it. </w:t>
      </w:r>
      <w:r w:rsidR="005171E3">
        <w:rPr>
          <w:lang w:val="en-US"/>
        </w:rPr>
        <w:t>In particular,</w:t>
      </w:r>
      <w:r w:rsidR="002D623C">
        <w:rPr>
          <w:lang w:val="en-US"/>
        </w:rPr>
        <w:t xml:space="preserve"> judgments</w:t>
      </w:r>
    </w:p>
    <w:p w14:paraId="19C1F4A7" w14:textId="77777777" w:rsidR="002D623C" w:rsidRDefault="002D623C" w:rsidP="002D623C">
      <w:pPr>
        <w:pStyle w:val="Listenabsatz"/>
        <w:numPr>
          <w:ilvl w:val="0"/>
          <w:numId w:val="15"/>
        </w:numPr>
        <w:spacing w:line="360" w:lineRule="auto"/>
        <w:jc w:val="both"/>
        <w:rPr>
          <w:lang w:val="en-US"/>
        </w:rPr>
      </w:pPr>
      <w:r>
        <w:rPr>
          <w:lang w:val="en-US"/>
        </w:rPr>
        <w:t>frequently do not elaborate on the relationship between different pieces of evidence, for example w</w:t>
      </w:r>
      <w:r w:rsidR="005129A5">
        <w:rPr>
          <w:lang w:val="en-US"/>
        </w:rPr>
        <w:t>h</w:t>
      </w:r>
      <w:r>
        <w:rPr>
          <w:lang w:val="en-US"/>
        </w:rPr>
        <w:t>ether they corroborate or contradict each other</w:t>
      </w:r>
    </w:p>
    <w:p w14:paraId="40D36B8E" w14:textId="77777777" w:rsidR="002D623C" w:rsidRDefault="002D623C" w:rsidP="002D623C">
      <w:pPr>
        <w:pStyle w:val="Listenabsatz"/>
        <w:numPr>
          <w:ilvl w:val="0"/>
          <w:numId w:val="15"/>
        </w:numPr>
        <w:spacing w:line="360" w:lineRule="auto"/>
        <w:jc w:val="both"/>
        <w:rPr>
          <w:lang w:val="en-US"/>
        </w:rPr>
      </w:pPr>
      <w:r>
        <w:rPr>
          <w:lang w:val="en-US"/>
        </w:rPr>
        <w:t>provide little or no information on the weight the court attached to a given piece of evidence</w:t>
      </w:r>
    </w:p>
    <w:p w14:paraId="09D20BF8" w14:textId="77777777" w:rsidR="002D623C" w:rsidRPr="002D623C" w:rsidRDefault="002D623C" w:rsidP="002D623C">
      <w:pPr>
        <w:pStyle w:val="Listenabsatz"/>
        <w:numPr>
          <w:ilvl w:val="0"/>
          <w:numId w:val="15"/>
        </w:numPr>
        <w:spacing w:line="360" w:lineRule="auto"/>
        <w:jc w:val="both"/>
        <w:rPr>
          <w:lang w:val="en-US"/>
        </w:rPr>
      </w:pPr>
      <w:r>
        <w:rPr>
          <w:lang w:val="en-US"/>
        </w:rPr>
        <w:t>tend not to explain why the judge considered witnesses trustworthy or expert witnesses reliable</w:t>
      </w:r>
    </w:p>
    <w:p w14:paraId="5A21D35A" w14:textId="77777777" w:rsidR="00E8028B" w:rsidRDefault="00E8028B" w:rsidP="00C81505">
      <w:pPr>
        <w:spacing w:line="360" w:lineRule="auto"/>
        <w:jc w:val="both"/>
        <w:rPr>
          <w:lang w:val="en-US"/>
        </w:rPr>
      </w:pPr>
      <w:r>
        <w:rPr>
          <w:lang w:val="en-US"/>
        </w:rPr>
        <w:t xml:space="preserve">A case decided by </w:t>
      </w:r>
      <w:r w:rsidR="002D6738">
        <w:rPr>
          <w:lang w:val="en-US"/>
        </w:rPr>
        <w:t>a</w:t>
      </w:r>
      <w:r>
        <w:rPr>
          <w:lang w:val="en-US"/>
        </w:rPr>
        <w:t xml:space="preserve"> court in Chisinau</w:t>
      </w:r>
      <w:r w:rsidR="006D13FC">
        <w:rPr>
          <w:rStyle w:val="Funotenzeichen"/>
          <w:lang w:val="en-US"/>
        </w:rPr>
        <w:footnoteReference w:id="13"/>
      </w:r>
      <w:r>
        <w:rPr>
          <w:lang w:val="en-US"/>
        </w:rPr>
        <w:t xml:space="preserve"> may serve as an example. According to the prosecution, the defendant had been involved in an argument with a group of juveniles. He had then entered his car and run deliberately into one member of the group, injuring him severely. The defendant had denied these accusations. The court </w:t>
      </w:r>
      <w:r w:rsidR="003C329C">
        <w:rPr>
          <w:lang w:val="en-US"/>
        </w:rPr>
        <w:t>assessed the evidence in the following manner:</w:t>
      </w:r>
    </w:p>
    <w:p w14:paraId="5EB60E9E" w14:textId="77777777" w:rsidR="003C329C" w:rsidRPr="00422F44" w:rsidRDefault="003C329C" w:rsidP="00C81505">
      <w:pPr>
        <w:spacing w:line="360" w:lineRule="auto"/>
        <w:ind w:left="708"/>
        <w:jc w:val="both"/>
        <w:rPr>
          <w:i/>
          <w:lang w:val="en-US"/>
        </w:rPr>
      </w:pPr>
      <w:r w:rsidRPr="003C329C">
        <w:rPr>
          <w:i/>
          <w:lang w:val="en-US"/>
        </w:rPr>
        <w:t>Although the defendant in the trial did not recognize the guilt, his guilt is fully proved by the following evidence:</w:t>
      </w:r>
    </w:p>
    <w:p w14:paraId="095BA4F5" w14:textId="77777777" w:rsidR="003C329C" w:rsidRPr="003C329C" w:rsidRDefault="003C329C" w:rsidP="00C81505">
      <w:pPr>
        <w:spacing w:line="360" w:lineRule="auto"/>
        <w:ind w:left="708"/>
        <w:jc w:val="both"/>
        <w:rPr>
          <w:i/>
          <w:lang w:val="en-US"/>
        </w:rPr>
      </w:pPr>
      <w:r w:rsidRPr="003C329C">
        <w:rPr>
          <w:i/>
          <w:lang w:val="en-US"/>
        </w:rPr>
        <w:t xml:space="preserve">Statements of the injured party XXXXXXXXX, who was heard at the hearing, said that knew the defendant XXXXXXXXX only in relation to what had happened, and did not know him until then. </w:t>
      </w:r>
      <w:r w:rsidRPr="003C329C">
        <w:rPr>
          <w:i/>
          <w:lang w:val="en-US"/>
        </w:rPr>
        <w:lastRenderedPageBreak/>
        <w:t xml:space="preserve">On May 22, 2012, around 21.00-22.00, together with </w:t>
      </w:r>
      <w:proofErr w:type="spellStart"/>
      <w:r w:rsidRPr="003C329C">
        <w:rPr>
          <w:i/>
          <w:lang w:val="en-US"/>
        </w:rPr>
        <w:t>Bogza</w:t>
      </w:r>
      <w:proofErr w:type="spellEnd"/>
      <w:r w:rsidRPr="003C329C">
        <w:rPr>
          <w:i/>
          <w:lang w:val="en-US"/>
        </w:rPr>
        <w:t xml:space="preserve"> </w:t>
      </w:r>
      <w:proofErr w:type="spellStart"/>
      <w:r w:rsidRPr="003C329C">
        <w:rPr>
          <w:i/>
          <w:lang w:val="en-US"/>
        </w:rPr>
        <w:t>Corneliu</w:t>
      </w:r>
      <w:proofErr w:type="spellEnd"/>
      <w:r w:rsidRPr="003C329C">
        <w:rPr>
          <w:i/>
          <w:lang w:val="en-US"/>
        </w:rPr>
        <w:t xml:space="preserve"> they went to a friend’s home, </w:t>
      </w:r>
      <w:proofErr w:type="spellStart"/>
      <w:r w:rsidRPr="003C329C">
        <w:rPr>
          <w:i/>
          <w:lang w:val="en-US"/>
        </w:rPr>
        <w:t>Sirbu</w:t>
      </w:r>
      <w:proofErr w:type="spellEnd"/>
      <w:r w:rsidRPr="003C329C">
        <w:rPr>
          <w:i/>
          <w:lang w:val="en-US"/>
        </w:rPr>
        <w:t xml:space="preserve"> </w:t>
      </w:r>
      <w:proofErr w:type="spellStart"/>
      <w:r w:rsidRPr="003C329C">
        <w:rPr>
          <w:i/>
          <w:lang w:val="en-US"/>
        </w:rPr>
        <w:t>Ghenadie</w:t>
      </w:r>
      <w:proofErr w:type="spellEnd"/>
      <w:r w:rsidRPr="003C329C">
        <w:rPr>
          <w:i/>
          <w:lang w:val="en-US"/>
        </w:rPr>
        <w:t xml:space="preserve">, to spend the night there. After watching some movies, they decided to drink alcohol in the morning. After having drunk a little cognac, at about 4:00 in the morning they decided to go out for a walk. They could walk freely, not being under influence. They were walking down the Mircea </w:t>
      </w:r>
      <w:proofErr w:type="spellStart"/>
      <w:r w:rsidRPr="003C329C">
        <w:rPr>
          <w:i/>
          <w:lang w:val="en-US"/>
        </w:rPr>
        <w:t>Cel</w:t>
      </w:r>
      <w:proofErr w:type="spellEnd"/>
      <w:r w:rsidRPr="003C329C">
        <w:rPr>
          <w:i/>
          <w:lang w:val="en-US"/>
        </w:rPr>
        <w:t xml:space="preserve"> </w:t>
      </w:r>
      <w:proofErr w:type="spellStart"/>
      <w:r w:rsidRPr="003C329C">
        <w:rPr>
          <w:i/>
          <w:lang w:val="en-US"/>
        </w:rPr>
        <w:t>Batrin</w:t>
      </w:r>
      <w:proofErr w:type="spellEnd"/>
      <w:r w:rsidRPr="003C329C">
        <w:rPr>
          <w:i/>
          <w:lang w:val="en-US"/>
        </w:rPr>
        <w:t xml:space="preserve"> alley, and outside it had begun to light up. On May 23, they had to go to the classes and took a different road home. Near the </w:t>
      </w:r>
      <w:proofErr w:type="spellStart"/>
      <w:r w:rsidRPr="003C329C">
        <w:rPr>
          <w:i/>
          <w:lang w:val="en-US"/>
        </w:rPr>
        <w:t>the</w:t>
      </w:r>
      <w:proofErr w:type="spellEnd"/>
      <w:r w:rsidRPr="003C329C">
        <w:rPr>
          <w:i/>
          <w:lang w:val="en-US"/>
        </w:rPr>
        <w:t xml:space="preserve"> "Golden Pheasant" restaurant they went further down, reaching the "033" nigh club. After having turned to the right, they entered a school courtyard moving to Dacia and </w:t>
      </w:r>
      <w:proofErr w:type="spellStart"/>
      <w:r w:rsidRPr="003C329C">
        <w:rPr>
          <w:i/>
          <w:lang w:val="en-US"/>
        </w:rPr>
        <w:t>Gaudeamus</w:t>
      </w:r>
      <w:proofErr w:type="spellEnd"/>
      <w:r w:rsidRPr="003C329C">
        <w:rPr>
          <w:i/>
          <w:lang w:val="en-US"/>
        </w:rPr>
        <w:t xml:space="preserve"> high schools, which are also located on P. </w:t>
      </w:r>
      <w:proofErr w:type="spellStart"/>
      <w:r w:rsidRPr="003C329C">
        <w:rPr>
          <w:i/>
          <w:lang w:val="en-US"/>
        </w:rPr>
        <w:t>Zadnipru</w:t>
      </w:r>
      <w:proofErr w:type="spellEnd"/>
      <w:r w:rsidRPr="003C329C">
        <w:rPr>
          <w:i/>
          <w:lang w:val="en-US"/>
        </w:rPr>
        <w:t xml:space="preserve"> Street. In the area of ​​a dwelling block a person yelled at them, "Hey you, quit walking around and breaking the mirrors on the cars and damaging the cars." The person in question was about the age of their parents, had aggressive behavior, and when they saw him in that state, they began to explain to him that they had nothing to do with those things, not having the intention of getting into a fight with him. The person concerned was the defendant XXXXXXXXX. He had aggressive behavior and called them names with uncensored words. The defendant XXXXXXXXX approached his Peugeot model car while continuing to shout at them with ugly words. At one point, the defendant </w:t>
      </w:r>
      <w:proofErr w:type="spellStart"/>
      <w:r w:rsidRPr="003C329C">
        <w:rPr>
          <w:i/>
          <w:lang w:val="en-US"/>
        </w:rPr>
        <w:t>Dropca</w:t>
      </w:r>
      <w:proofErr w:type="spellEnd"/>
      <w:r w:rsidRPr="003C329C">
        <w:rPr>
          <w:i/>
          <w:lang w:val="en-US"/>
        </w:rPr>
        <w:t xml:space="preserve"> Ion opened the car’s door, pulled a Taser and started threatening them. They saw this and decided to go further with a little more hurried steps. They heard the defendant XXXXXXXXX slamming his car’s door and getting inside, after which they heard the car starting.</w:t>
      </w:r>
    </w:p>
    <w:p w14:paraId="1BD41184" w14:textId="77777777" w:rsidR="003C329C" w:rsidRPr="003C329C" w:rsidRDefault="003C329C" w:rsidP="00C81505">
      <w:pPr>
        <w:spacing w:line="360" w:lineRule="auto"/>
        <w:ind w:left="708"/>
        <w:jc w:val="both"/>
        <w:rPr>
          <w:i/>
          <w:lang w:val="en-US"/>
        </w:rPr>
      </w:pPr>
      <w:r w:rsidRPr="003C329C">
        <w:rPr>
          <w:i/>
          <w:lang w:val="en-US"/>
        </w:rPr>
        <w:t>The injured party XXXXXXXXX also said that turning his head he noticed that the defendant XXXXXXXXX drove towards them in his car, climbed the sidewalk and accelerated to them at a speed of about 50-60 km/h, but he doesn’t know exactly at what speed because he was running in that moment. He does not know if any other cars are driving on the alley between the two high schools because it was a pedestrian zone. The other two boys were running faster ahead of him. Being next to the stairs of a high school, he decided to go down them, thinking it was better rather than trying to hide behind a tree, but he didn’t succeed.  Feeling a hit on his left leg, exactly in what part of the leg he does not know, the fell down on the grass beside the stairs and after a while he lost consciousness. He was hit by the defendant XXXXXXXXX’s car, with the front of the car, after which the latter left the scene of the accident. Ghenadie and Corneliu were already near the stadium, at a distance of about five meters they turned back and went up to him.</w:t>
      </w:r>
    </w:p>
    <w:p w14:paraId="31B0A582" w14:textId="77777777" w:rsidR="003C329C" w:rsidRPr="003C329C" w:rsidRDefault="003C329C" w:rsidP="00C81505">
      <w:pPr>
        <w:spacing w:line="360" w:lineRule="auto"/>
        <w:ind w:left="708"/>
        <w:jc w:val="both"/>
        <w:rPr>
          <w:i/>
          <w:lang w:val="en-US"/>
        </w:rPr>
      </w:pPr>
      <w:r w:rsidRPr="003C329C">
        <w:rPr>
          <w:i/>
          <w:lang w:val="en-US"/>
        </w:rPr>
        <w:t xml:space="preserve">Being afraid that the defendant XXXXXXXXX can come back, he went downhill with the other boys’ help. He could not walk alone because the leg was fractured and he was in a shock. One of the boys called the ambulance, and why they did not call the police he does not know. There </w:t>
      </w:r>
      <w:r w:rsidRPr="003C329C">
        <w:rPr>
          <w:i/>
          <w:lang w:val="en-US"/>
        </w:rPr>
        <w:lastRenderedPageBreak/>
        <w:t>weren’t any other people around at that time. He had an open leg fracture, and there was blood on the ground. After about 50 minutes the ambulance arrived and transported him to the hospital. From the moment they left the house and until the hit he hadn’t fallen or hit himself. Considering that it is a light fracture and there is no need for surgery, at first, he told the doctors that he had fallen off a bulwark because he did not want for his parents to know about the fact, but the doctors did not believe him and said it  was a "car bumper fracture," after which he told the doctors what actually happened, as well to his parents. His mother announced the police. While being hospitalized, he was interview</w:t>
      </w:r>
      <w:r w:rsidR="00E34318">
        <w:rPr>
          <w:i/>
          <w:lang w:val="en-US"/>
        </w:rPr>
        <w:t>e</w:t>
      </w:r>
      <w:r w:rsidRPr="003C329C">
        <w:rPr>
          <w:i/>
          <w:lang w:val="en-US"/>
        </w:rPr>
        <w:t>d by a police inspector about where his leg was hit, in the absence of a legal representative. No one at that time rememb</w:t>
      </w:r>
      <w:r w:rsidR="00E34318">
        <w:rPr>
          <w:i/>
          <w:lang w:val="en-US"/>
        </w:rPr>
        <w:t>ere</w:t>
      </w:r>
      <w:r w:rsidRPr="003C329C">
        <w:rPr>
          <w:i/>
          <w:lang w:val="en-US"/>
        </w:rPr>
        <w:t>d the car plates as due to the speed at which the car was moving, it raised dust, but he later recalled the place of the accident, its color and its make. On the first day of hospitalization he had the first surgery, being introduced a spike into his heel. The second surgery took place the next day, and the third when the "</w:t>
      </w:r>
      <w:proofErr w:type="spellStart"/>
      <w:r w:rsidRPr="003C329C">
        <w:rPr>
          <w:i/>
          <w:lang w:val="en-US"/>
        </w:rPr>
        <w:t>Ilizarov</w:t>
      </w:r>
      <w:proofErr w:type="spellEnd"/>
      <w:r w:rsidRPr="003C329C">
        <w:rPr>
          <w:i/>
          <w:lang w:val="en-US"/>
        </w:rPr>
        <w:t xml:space="preserve">" apparatus was removed, consisting of eight spikes pierced in his leg. He wore the </w:t>
      </w:r>
      <w:proofErr w:type="spellStart"/>
      <w:r w:rsidRPr="003C329C">
        <w:rPr>
          <w:i/>
          <w:lang w:val="en-US"/>
        </w:rPr>
        <w:t>Ilizarov</w:t>
      </w:r>
      <w:proofErr w:type="spellEnd"/>
      <w:r w:rsidRPr="003C329C">
        <w:rPr>
          <w:i/>
          <w:lang w:val="en-US"/>
        </w:rPr>
        <w:t xml:space="preserve"> apparatus from May 23 to February 2013. Both for applying and removing the device total anesthesia was required. After removing it, he did not have any other surgery, but gypsum was applied for about two months. </w:t>
      </w:r>
    </w:p>
    <w:p w14:paraId="60CA3AAD" w14:textId="77777777" w:rsidR="003C329C" w:rsidRPr="003C329C" w:rsidRDefault="003C329C" w:rsidP="00C81505">
      <w:pPr>
        <w:spacing w:line="360" w:lineRule="auto"/>
        <w:ind w:left="708"/>
        <w:jc w:val="both"/>
        <w:rPr>
          <w:i/>
          <w:lang w:val="en-US"/>
        </w:rPr>
      </w:pPr>
      <w:r w:rsidRPr="003C329C">
        <w:rPr>
          <w:i/>
          <w:lang w:val="en-US"/>
        </w:rPr>
        <w:t xml:space="preserve">Until the trauma, he was doing martial arts but he can no longer do it now, moreover, he cannot even take the physical education class at school. Also because of the trauma, he </w:t>
      </w:r>
      <w:proofErr w:type="spellStart"/>
      <w:r w:rsidRPr="003C329C">
        <w:rPr>
          <w:i/>
          <w:lang w:val="en-US"/>
        </w:rPr>
        <w:t>can not</w:t>
      </w:r>
      <w:proofErr w:type="spellEnd"/>
      <w:r w:rsidRPr="003C329C">
        <w:rPr>
          <w:i/>
          <w:lang w:val="en-US"/>
        </w:rPr>
        <w:t xml:space="preserve"> realize his dreams he has planned for himself. When the weather changes, he has foot pain, because the foot tilts on one side of the shoe, deforming at certain times. The submitted civil action supports it, being forced to go for medical dressing day by day, traveling by taxi. Because of the apparatus, he could not wear his usual clothes, having to order zippered clothes. To rehab quicker, it was necessary to consume calcium, being forced to use more dairy products.</w:t>
      </w:r>
    </w:p>
    <w:p w14:paraId="4939DF81" w14:textId="77777777" w:rsidR="003C329C" w:rsidRPr="003C329C" w:rsidRDefault="003C329C" w:rsidP="00C81505">
      <w:pPr>
        <w:spacing w:line="360" w:lineRule="auto"/>
        <w:jc w:val="both"/>
        <w:rPr>
          <w:i/>
          <w:lang w:val="en-US"/>
        </w:rPr>
      </w:pPr>
      <w:r w:rsidRPr="003C329C">
        <w:rPr>
          <w:i/>
          <w:lang w:val="en-US"/>
        </w:rPr>
        <w:t xml:space="preserve"> </w:t>
      </w:r>
    </w:p>
    <w:p w14:paraId="4C403DD7" w14:textId="77777777" w:rsidR="003C329C" w:rsidRPr="00422F44" w:rsidRDefault="003C329C" w:rsidP="00C81505">
      <w:pPr>
        <w:spacing w:line="360" w:lineRule="auto"/>
        <w:ind w:left="708"/>
        <w:jc w:val="both"/>
        <w:rPr>
          <w:i/>
          <w:lang w:val="en-US"/>
        </w:rPr>
      </w:pPr>
      <w:r w:rsidRPr="003C329C">
        <w:rPr>
          <w:i/>
          <w:lang w:val="en-US"/>
        </w:rPr>
        <w:t>Defendant XXXXXX did not apologize, nor did he cover the material damage or any damage caused. Requests reject of the civil action.</w:t>
      </w:r>
    </w:p>
    <w:p w14:paraId="5791431C" w14:textId="77777777" w:rsidR="003C329C" w:rsidRPr="00422F44" w:rsidRDefault="003C329C" w:rsidP="00C81505">
      <w:pPr>
        <w:spacing w:line="360" w:lineRule="auto"/>
        <w:jc w:val="both"/>
        <w:rPr>
          <w:i/>
          <w:lang w:val="en-US"/>
        </w:rPr>
      </w:pPr>
    </w:p>
    <w:p w14:paraId="7AC8797C" w14:textId="77777777" w:rsidR="003C329C" w:rsidRPr="00422F44" w:rsidRDefault="003C329C" w:rsidP="00C81505">
      <w:pPr>
        <w:spacing w:line="360" w:lineRule="auto"/>
        <w:ind w:left="708"/>
        <w:jc w:val="both"/>
        <w:rPr>
          <w:i/>
          <w:lang w:val="en-US"/>
        </w:rPr>
      </w:pPr>
      <w:r w:rsidRPr="003C329C">
        <w:rPr>
          <w:i/>
          <w:lang w:val="en-US"/>
        </w:rPr>
        <w:t xml:space="preserve">The statement of the witness </w:t>
      </w:r>
      <w:proofErr w:type="spellStart"/>
      <w:r w:rsidRPr="003C329C">
        <w:rPr>
          <w:i/>
          <w:lang w:val="en-US"/>
        </w:rPr>
        <w:t>Budei</w:t>
      </w:r>
      <w:proofErr w:type="spellEnd"/>
      <w:r w:rsidRPr="003C329C">
        <w:rPr>
          <w:i/>
          <w:lang w:val="en-US"/>
        </w:rPr>
        <w:t xml:space="preserve"> Andriana, who was heard at the hearing, she said she knew the defendant XXXXXXXXX, being from the same village and went to the same school, and the injured party XXXXXXXXX is her son. On May 23, 2012, in the morning she was called by her son’s colleague who told her son was in the hospital and a misfortune had happened. Going to the hospital, she found her son’s friends in the corridor, XXXXXXXXX and </w:t>
      </w:r>
      <w:proofErr w:type="spellStart"/>
      <w:r w:rsidRPr="003C329C">
        <w:rPr>
          <w:i/>
          <w:lang w:val="en-US"/>
        </w:rPr>
        <w:t>Bogza</w:t>
      </w:r>
      <w:proofErr w:type="spellEnd"/>
      <w:r w:rsidRPr="003C329C">
        <w:rPr>
          <w:i/>
          <w:lang w:val="en-US"/>
        </w:rPr>
        <w:t xml:space="preserve"> </w:t>
      </w:r>
      <w:proofErr w:type="spellStart"/>
      <w:r w:rsidRPr="003C329C">
        <w:rPr>
          <w:i/>
          <w:lang w:val="en-US"/>
        </w:rPr>
        <w:t>Corneliu</w:t>
      </w:r>
      <w:proofErr w:type="spellEnd"/>
      <w:r w:rsidRPr="003C329C">
        <w:rPr>
          <w:i/>
          <w:lang w:val="en-US"/>
        </w:rPr>
        <w:t xml:space="preserve">, and her son was with the doctors in one of the hospital halls, on a table, bleeding and with the torn </w:t>
      </w:r>
      <w:r w:rsidRPr="003C329C">
        <w:rPr>
          <w:i/>
          <w:lang w:val="en-US"/>
        </w:rPr>
        <w:lastRenderedPageBreak/>
        <w:t>pants, while the doctors were conferring about the need for a surgery. She tried to ask her son's friends what had happened, but they did not really want to tell her because they were stressed. After that she talked with the doctor and her son, telling the doctor that she has now arrived and knows nothing. The doctor immediately told her that her son had drunk alcohol, but his son lied about alcohol. The doctor told her that her son had fallen and thought to apply gypsum, after which they would return home and everything would be fine. He told her that they would perform surgery on her son the next day because it required preparedness, and the operation was going to be complicated. Talking to her doctor, she learnt that her son fell down, but the doctor told her that he knew this type fracture, called the "bumper" fracture. After that, the boys told her that while they were walking through the courtyard of a block, an unknown person appeared, who told them not to walk through that area and damage the car mirrors. They told the stranger that they had no connection with those cars, and they were in that yard because they made a wrong turn. What he said afterwards they don’t know. The man climbed into his car. The boys heard something after which they noticed that a Taser snapped. Then they thought better to speed up their pace, starting in the direction of a high school, after which the gentleman started after them. She later called her husband telling him everything she found out</w:t>
      </w:r>
      <w:r w:rsidRPr="00422F44">
        <w:rPr>
          <w:i/>
          <w:lang w:val="en-US"/>
        </w:rPr>
        <w:t>.</w:t>
      </w:r>
    </w:p>
    <w:p w14:paraId="77E994F6" w14:textId="77777777" w:rsidR="003C329C" w:rsidRDefault="003C329C" w:rsidP="00C81505">
      <w:pPr>
        <w:spacing w:line="360" w:lineRule="auto"/>
        <w:ind w:left="708"/>
        <w:jc w:val="both"/>
        <w:rPr>
          <w:i/>
          <w:lang w:val="en-US"/>
        </w:rPr>
      </w:pPr>
      <w:proofErr w:type="spellStart"/>
      <w:r w:rsidRPr="003C329C">
        <w:rPr>
          <w:i/>
          <w:lang w:val="en-US"/>
        </w:rPr>
        <w:t>Budei</w:t>
      </w:r>
      <w:proofErr w:type="spellEnd"/>
      <w:r w:rsidRPr="003C329C">
        <w:rPr>
          <w:i/>
          <w:lang w:val="en-US"/>
        </w:rPr>
        <w:t xml:space="preserve"> Andriana, the witness, mentions that she remembered very well what the boys told her and what the defendant XXXXXXXXX told her then. Defendant XXXXXXXXX said he had got into the car and started after them. The boys seeing the car coming after them started to run away, yet the car hit her son. At all their meetings before the trial, the defendant admitted the fact, but the lawyer told her that he did not remember. The defendant told her he had heard something, but he did not know whether it was a blow or something else. The action brought in the court hearing supports it. Her son was subjected to two serious surgical procedures, both of which were under full anesthesia, then wore the </w:t>
      </w:r>
      <w:proofErr w:type="spellStart"/>
      <w:r w:rsidRPr="003C329C">
        <w:rPr>
          <w:i/>
          <w:lang w:val="en-US"/>
        </w:rPr>
        <w:t>Ilizarov</w:t>
      </w:r>
      <w:proofErr w:type="spellEnd"/>
      <w:r w:rsidRPr="003C329C">
        <w:rPr>
          <w:i/>
          <w:lang w:val="en-US"/>
        </w:rPr>
        <w:t xml:space="preserve"> apparatus, with special covers for this device, after which he was hospitalized in the Traumatology section with other children, under special care. In the cold part of the year, her son did not go to school, always helping her at home because she had a small baby. Because he could not go to medical dressing alone, she had to ask leave from work to allow her to take care of her son. Th</w:t>
      </w:r>
      <w:r w:rsidRPr="00422F44">
        <w:rPr>
          <w:i/>
          <w:lang w:val="en-US"/>
        </w:rPr>
        <w:t xml:space="preserve">ey   </w:t>
      </w:r>
      <w:r w:rsidRPr="003C329C">
        <w:rPr>
          <w:i/>
          <w:lang w:val="en-US"/>
        </w:rPr>
        <w:t xml:space="preserve">travelled by taxi or by car because they could not travel by public transport because of the crunches and the </w:t>
      </w:r>
      <w:proofErr w:type="spellStart"/>
      <w:r w:rsidRPr="003C329C">
        <w:rPr>
          <w:i/>
          <w:lang w:val="en-US"/>
        </w:rPr>
        <w:t>Ilizarov</w:t>
      </w:r>
      <w:proofErr w:type="spellEnd"/>
      <w:r w:rsidRPr="003C329C">
        <w:rPr>
          <w:i/>
          <w:lang w:val="en-US"/>
        </w:rPr>
        <w:t xml:space="preserve"> apparatus. The left foot clothing was zipper sewn. The foot remained tilted, the shoe being damaged. At the graduation ball it was hard to find special pants for her son. It was much more expensive than what was stated in the claim, having to buy many special products for her son, having to go to x-rays, she believes will remain a mark in their life. After the accident, meeting with the defendant XXXXXXXXX, he suggested for them to strike a deal, in order to make things </w:t>
      </w:r>
      <w:r w:rsidRPr="003C329C">
        <w:rPr>
          <w:i/>
          <w:lang w:val="en-US"/>
        </w:rPr>
        <w:lastRenderedPageBreak/>
        <w:t xml:space="preserve">right, he recognized the guilt only in the fact that he followed the boys with a Taser. From the beginning, her husband told the boys to search for the car and go to the scene where they actually found the car. The phone number was indicated on a car’s window because the defendant XXXXXXXXX intended to sell the car. </w:t>
      </w:r>
    </w:p>
    <w:p w14:paraId="665E3F4E" w14:textId="77777777" w:rsidR="003C329C" w:rsidRPr="00422F44" w:rsidRDefault="003C329C" w:rsidP="00C81505">
      <w:pPr>
        <w:spacing w:line="360" w:lineRule="auto"/>
        <w:ind w:left="708"/>
        <w:jc w:val="both"/>
        <w:rPr>
          <w:i/>
          <w:lang w:val="en-US"/>
        </w:rPr>
      </w:pPr>
      <w:r w:rsidRPr="003C329C">
        <w:rPr>
          <w:i/>
          <w:lang w:val="en-US"/>
        </w:rPr>
        <w:t xml:space="preserve">He phoned the police telling them he found the car. The police arrived at the hospital after her son underwent surgery, inquiring how to question his son after total anesthesia. Then she phoned the defendant XXXXXXXXX telling him he wanted to buy the car. By calling the number the boys gave him, she was convinced that the defendant XXXXXXXXX had committed the act, according to the registration number, make and color of the car. After he left the yard with his family, she asked him if the Taser was for sale as well. She claims that her son was hit by a white car with grey stripes, she doesn’t remember the make and that she personally saw that car. In the evening the defendant XXXXXXXXX called her asking her to meet and discuss. When she phoned him in order to agree on the purchase of the car, the defendant's XXXXXXXXX phone was disconnected, and she met him only at the Police. After the criminal case was filed, the defendant XXXXXXXXX called her on several occasions and they had several phone conversations, being called more often by him. Because the boys drank alcohol and walked around where they were not supposed to, they were punished. Defendant XXXXXXXXX told her different stories about what happened. Talking to the citizen </w:t>
      </w:r>
      <w:proofErr w:type="spellStart"/>
      <w:r w:rsidRPr="003C329C">
        <w:rPr>
          <w:i/>
          <w:lang w:val="en-US"/>
        </w:rPr>
        <w:t>Ardeleanu</w:t>
      </w:r>
      <w:proofErr w:type="spellEnd"/>
      <w:r w:rsidRPr="003C329C">
        <w:rPr>
          <w:i/>
          <w:lang w:val="en-US"/>
        </w:rPr>
        <w:t xml:space="preserve"> and the others, he told her that the defendant XXXXXXXXX was at the shop and was under influence, but the ladies would not make statements. Going to the shop-assistants they told her that they knew XXXXXXXXX, that he was living nearby. The complaint was filed much later after the accident occurred, and was drawn up by the police inspector, as she dictated. She does not remember, if there were any of her explanations recorded either handwritten or typed. She confirms that the signature from the file page 39 is her own. Why it is written so on the file page 30 she does not know, saying that at on the 28</w:t>
      </w:r>
      <w:r w:rsidRPr="003C329C">
        <w:rPr>
          <w:i/>
          <w:vertAlign w:val="superscript"/>
          <w:lang w:val="en-US"/>
        </w:rPr>
        <w:t>th</w:t>
      </w:r>
      <w:r w:rsidRPr="003C329C">
        <w:rPr>
          <w:i/>
          <w:lang w:val="en-US"/>
        </w:rPr>
        <w:t xml:space="preserve"> of the month, when she wrote the complaint, she knew that her son was hit by a car and only looked for the guilty person. The injury was already inflicted, and the reason why the complaint contained the phrase "what are the circumstances that made him inflict bodily injuries?", she doesn’t know. She also did not know then who injured her son. Before the surgery, it was already known that her son was hit by a car. The purpose of the complaint was that the police officers found out the guilty persons who had injured her son.</w:t>
      </w:r>
    </w:p>
    <w:p w14:paraId="48AF6F7F" w14:textId="77777777" w:rsidR="00A94C18" w:rsidRPr="00422F44" w:rsidRDefault="00A94C18" w:rsidP="00C81505">
      <w:pPr>
        <w:spacing w:line="360" w:lineRule="auto"/>
        <w:ind w:left="708"/>
        <w:jc w:val="both"/>
        <w:rPr>
          <w:i/>
          <w:lang w:val="en-US"/>
        </w:rPr>
      </w:pPr>
      <w:r w:rsidRPr="00422F44">
        <w:rPr>
          <w:i/>
          <w:lang w:val="en-US"/>
        </w:rPr>
        <w:t xml:space="preserve">The statement of witness XXXXXXXXX Ghenadie, who was heard at the hearing, said the injured party XXXXXXXXX is his friend and they are in a good relationship with him. He knows the defendant XXXXXXXXX only in relation to the event. In the spring of 2012, he agreed with his </w:t>
      </w:r>
      <w:r w:rsidRPr="00422F44">
        <w:rPr>
          <w:i/>
          <w:lang w:val="en-US"/>
        </w:rPr>
        <w:lastRenderedPageBreak/>
        <w:t xml:space="preserve">friends: </w:t>
      </w:r>
      <w:proofErr w:type="spellStart"/>
      <w:r w:rsidRPr="00422F44">
        <w:rPr>
          <w:i/>
          <w:lang w:val="en-US"/>
        </w:rPr>
        <w:t>Bogza</w:t>
      </w:r>
      <w:proofErr w:type="spellEnd"/>
      <w:r w:rsidRPr="00422F44">
        <w:rPr>
          <w:i/>
          <w:lang w:val="en-US"/>
        </w:rPr>
        <w:t xml:space="preserve"> </w:t>
      </w:r>
      <w:proofErr w:type="spellStart"/>
      <w:r w:rsidRPr="00422F44">
        <w:rPr>
          <w:i/>
          <w:lang w:val="en-US"/>
        </w:rPr>
        <w:t>Corneliu</w:t>
      </w:r>
      <w:proofErr w:type="spellEnd"/>
      <w:r w:rsidRPr="00422F44">
        <w:rPr>
          <w:i/>
          <w:lang w:val="en-US"/>
        </w:rPr>
        <w:t xml:space="preserve"> and </w:t>
      </w:r>
      <w:proofErr w:type="spellStart"/>
      <w:r w:rsidRPr="00422F44">
        <w:rPr>
          <w:i/>
          <w:lang w:val="en-US"/>
        </w:rPr>
        <w:t>Budei</w:t>
      </w:r>
      <w:proofErr w:type="spellEnd"/>
      <w:r w:rsidRPr="00422F44">
        <w:rPr>
          <w:i/>
          <w:lang w:val="en-US"/>
        </w:rPr>
        <w:t xml:space="preserve"> Igor, to meet him at his place later in the day. Their parents allowed them to spend the night at each other with no restrictions whatsoever, but they did not allow them to drink alcohol. Nor did they allow them to go out in the city at night, their night promenades being clandestine in that sense. They met, watched several movies and drank a little cognac in the morning, which amount he did not recall, but claimed it was a little. They decided to go out for a walk because they were under the influence of alcohol, and that in the morning they had to go to school. When they left the house XXXXXXXXX was able to go walk because they did not drink much alcohol. They walked along the Mircea </w:t>
      </w:r>
      <w:proofErr w:type="spellStart"/>
      <w:r w:rsidRPr="00422F44">
        <w:rPr>
          <w:i/>
          <w:lang w:val="en-US"/>
        </w:rPr>
        <w:t>cel</w:t>
      </w:r>
      <w:proofErr w:type="spellEnd"/>
      <w:r w:rsidRPr="00422F44">
        <w:rPr>
          <w:i/>
          <w:lang w:val="en-US"/>
        </w:rPr>
        <w:t xml:space="preserve"> </w:t>
      </w:r>
      <w:proofErr w:type="spellStart"/>
      <w:proofErr w:type="gramStart"/>
      <w:r w:rsidRPr="00422F44">
        <w:rPr>
          <w:i/>
          <w:lang w:val="en-US"/>
        </w:rPr>
        <w:t>Batrin</w:t>
      </w:r>
      <w:proofErr w:type="spellEnd"/>
      <w:r w:rsidRPr="00422F44">
        <w:rPr>
          <w:i/>
          <w:lang w:val="en-US"/>
        </w:rPr>
        <w:t xml:space="preserve">  avenue</w:t>
      </w:r>
      <w:proofErr w:type="gramEnd"/>
      <w:r w:rsidRPr="00422F44">
        <w:rPr>
          <w:i/>
          <w:lang w:val="en-US"/>
        </w:rPr>
        <w:t xml:space="preserve"> alley. At "Golden Pheasant" restaurant, they went down the road, the name of the street on which they were moving he did not know, then from the "033" nightclub they detoured to the right. That's where the defendant came out and started shouting at them, telling them to stop ruining cars’ mirrors and windows, to which they told him they had nothing to do with those events, and that they had been there for the first time. The defendant XXXXXXXXX approached them calling them with bad words, approached a white Peugeot, opened the door, picking up a Taser, the sound of which was heard, and they went on their way, not wanting to enter the conflict, which they didn’t. When they heard the car starting, they hurried. Running up to a tennis court, alongside with Corneliu, he did not see Igor. Turning back, they saw how XXXXXXXXX was hit by the car, it was in the morning, and outside it was already light. At that time they were at a distance of about 5-10 meters away. After the car hit without stopping, the car went ahead and didn’t turn back. The car had speed at the moment of travel and even in the courtyard it started with acceleration. They did not see who was driving, but that was the car beside </w:t>
      </w:r>
      <w:proofErr w:type="spellStart"/>
      <w:r w:rsidRPr="00422F44">
        <w:rPr>
          <w:i/>
          <w:lang w:val="en-US"/>
        </w:rPr>
        <w:t>beside</w:t>
      </w:r>
      <w:proofErr w:type="spellEnd"/>
      <w:r w:rsidRPr="00422F44">
        <w:rPr>
          <w:i/>
          <w:lang w:val="en-US"/>
        </w:rPr>
        <w:t xml:space="preserve"> which stood the defendant XXXXXXXXX with the Taser. The road was free, and there were no obstacles. The car passed by them and they went down a steep hill, after which, he did not remember who from them called the ambulance, nor how many people came with the ambulance, after which they went to the hospital. Perhaps he had discussed something with the medical staff when they arrived with the ambulance, but he doesn’t remember, nor whether he explained to them what actually happened</w:t>
      </w:r>
    </w:p>
    <w:p w14:paraId="0D554504" w14:textId="77777777" w:rsidR="00A94C18" w:rsidRPr="00422F44" w:rsidRDefault="00A94C18" w:rsidP="00C81505">
      <w:pPr>
        <w:spacing w:line="360" w:lineRule="auto"/>
        <w:ind w:firstLine="708"/>
        <w:jc w:val="both"/>
        <w:rPr>
          <w:i/>
          <w:lang w:val="en-US"/>
        </w:rPr>
      </w:pPr>
      <w:r w:rsidRPr="00422F44">
        <w:rPr>
          <w:i/>
          <w:lang w:val="en-US"/>
        </w:rPr>
        <w:t>(…..)</w:t>
      </w:r>
    </w:p>
    <w:p w14:paraId="1B4550D2" w14:textId="77777777" w:rsidR="00A94C18" w:rsidRPr="00422F44" w:rsidRDefault="00A94C18" w:rsidP="00C81505">
      <w:pPr>
        <w:spacing w:line="360" w:lineRule="auto"/>
        <w:jc w:val="both"/>
        <w:rPr>
          <w:i/>
          <w:lang w:val="en-US"/>
        </w:rPr>
      </w:pPr>
    </w:p>
    <w:p w14:paraId="4D3A3BC4" w14:textId="77777777" w:rsidR="00A94C18" w:rsidRPr="00422F44" w:rsidRDefault="00A94C18" w:rsidP="00C81505">
      <w:pPr>
        <w:spacing w:line="360" w:lineRule="auto"/>
        <w:ind w:left="708"/>
        <w:jc w:val="both"/>
        <w:rPr>
          <w:i/>
          <w:lang w:val="en-US"/>
        </w:rPr>
      </w:pPr>
      <w:r w:rsidRPr="00422F44">
        <w:rPr>
          <w:i/>
          <w:lang w:val="en-US"/>
        </w:rPr>
        <w:t xml:space="preserve">Witness </w:t>
      </w:r>
      <w:proofErr w:type="spellStart"/>
      <w:r w:rsidRPr="00422F44">
        <w:rPr>
          <w:i/>
          <w:lang w:val="en-US"/>
        </w:rPr>
        <w:t>Bogza</w:t>
      </w:r>
      <w:proofErr w:type="spellEnd"/>
      <w:r w:rsidRPr="00422F44">
        <w:rPr>
          <w:i/>
          <w:lang w:val="en-US"/>
        </w:rPr>
        <w:t xml:space="preserve"> </w:t>
      </w:r>
      <w:proofErr w:type="spellStart"/>
      <w:r w:rsidRPr="00422F44">
        <w:rPr>
          <w:i/>
          <w:lang w:val="en-US"/>
        </w:rPr>
        <w:t>Corneliu</w:t>
      </w:r>
      <w:proofErr w:type="spellEnd"/>
      <w:r w:rsidRPr="00422F44">
        <w:rPr>
          <w:i/>
          <w:lang w:val="en-US"/>
        </w:rPr>
        <w:t xml:space="preserve"> </w:t>
      </w:r>
      <w:proofErr w:type="spellStart"/>
      <w:r w:rsidRPr="00422F44">
        <w:rPr>
          <w:i/>
          <w:lang w:val="en-US"/>
        </w:rPr>
        <w:t>Vitalie</w:t>
      </w:r>
      <w:proofErr w:type="spellEnd"/>
      <w:r w:rsidRPr="00422F44">
        <w:rPr>
          <w:i/>
          <w:lang w:val="en-US"/>
        </w:rPr>
        <w:t xml:space="preserve"> statement, who was heard at the hearing, said that XXXXXXXXX is his friend and they are in good friendship. He knows the defendant XXXXXXXXX in relation to the incident. In May 2012, at about 22:00, together with his friend </w:t>
      </w:r>
      <w:proofErr w:type="spellStart"/>
      <w:r w:rsidRPr="00422F44">
        <w:rPr>
          <w:i/>
          <w:lang w:val="en-US"/>
        </w:rPr>
        <w:t>Budei</w:t>
      </w:r>
      <w:proofErr w:type="spellEnd"/>
      <w:r w:rsidRPr="00422F44">
        <w:rPr>
          <w:i/>
          <w:lang w:val="en-US"/>
        </w:rPr>
        <w:t xml:space="preserve"> Igor, they went to a friend of theirs XXXXXXXXX to watch some movies until morning, then they all drank a little alcohol, less than a half of glass, and walked to the alley for a walk in the morning. When they </w:t>
      </w:r>
      <w:r w:rsidRPr="00422F44">
        <w:rPr>
          <w:i/>
          <w:lang w:val="en-US"/>
        </w:rPr>
        <w:lastRenderedPageBreak/>
        <w:t xml:space="preserve">reached the "Golden Pheasant" restaurant, they walked down the road, which street he doesn’t know, until they arrived to the "033" nightclub, and then bypassed to the right, entering some of the courtyards. On their way there, they met the defendant XXXXXXXXX, who began to talk ugly with them, saying that they damaged mirrors and cars, to which they told him they had nothing to do with the given happenings. Defendant XXXXXXXXX approached the white Peugeot, picked up a Taser and turned it on. Seeing this, they stepped up down the road near Dacia and </w:t>
      </w:r>
      <w:proofErr w:type="spellStart"/>
      <w:r w:rsidRPr="00422F44">
        <w:rPr>
          <w:i/>
          <w:lang w:val="en-US"/>
        </w:rPr>
        <w:t>Gaudiamus</w:t>
      </w:r>
      <w:proofErr w:type="spellEnd"/>
      <w:r w:rsidRPr="00422F44">
        <w:rPr>
          <w:i/>
          <w:lang w:val="en-US"/>
        </w:rPr>
        <w:t xml:space="preserve"> high schools. Then he heard the car start from the spot. Turning his head back and seeing that the car started following them, they started running. He and XXXXXXXXX were running ahead, and when he turned around to see where XXXXXXXXX was, he saw how he was hit by that car, at that moment they were about 8-10 meters away. </w:t>
      </w:r>
      <w:proofErr w:type="spellStart"/>
      <w:r w:rsidRPr="00422F44">
        <w:rPr>
          <w:i/>
          <w:lang w:val="en-US"/>
        </w:rPr>
        <w:t>Seing</w:t>
      </w:r>
      <w:proofErr w:type="spellEnd"/>
      <w:r w:rsidRPr="00422F44">
        <w:rPr>
          <w:i/>
          <w:lang w:val="en-US"/>
        </w:rPr>
        <w:t xml:space="preserve"> XXXXXXX being hit, they fled to one side and the car passed quickly past them, failing to see the car's registration numbers, but noting that it was white with grey stripes. He noticed that the defendant XXXXXXXXX was behind the wheel. Turning back and approaching the XXXXXXXXX, he noticed he was in a shock, white on his face and not aware of what was going on, with his left foot visibly fractured, then they took </w:t>
      </w:r>
      <w:proofErr w:type="spellStart"/>
      <w:r w:rsidRPr="00422F44">
        <w:rPr>
          <w:i/>
          <w:lang w:val="en-US"/>
        </w:rPr>
        <w:t>Budei</w:t>
      </w:r>
      <w:proofErr w:type="spellEnd"/>
      <w:r w:rsidRPr="00422F44">
        <w:rPr>
          <w:i/>
          <w:lang w:val="en-US"/>
        </w:rPr>
        <w:t xml:space="preserve"> Igor down the stairs and called the ambulance. He together with </w:t>
      </w:r>
      <w:proofErr w:type="spellStart"/>
      <w:r w:rsidRPr="00422F44">
        <w:rPr>
          <w:i/>
          <w:lang w:val="en-US"/>
        </w:rPr>
        <w:t>Genadiy</w:t>
      </w:r>
      <w:proofErr w:type="spellEnd"/>
      <w:r w:rsidRPr="00422F44">
        <w:rPr>
          <w:i/>
          <w:lang w:val="en-US"/>
        </w:rPr>
        <w:t xml:space="preserve"> took him by his arms and walked him down the stairs to be safe, from that place they could not be seen, and being afraid of the circumstances that could follow. </w:t>
      </w:r>
      <w:proofErr w:type="spellStart"/>
      <w:r w:rsidRPr="00422F44">
        <w:rPr>
          <w:i/>
          <w:lang w:val="en-US"/>
        </w:rPr>
        <w:t>Bogza</w:t>
      </w:r>
      <w:proofErr w:type="spellEnd"/>
      <w:r w:rsidRPr="00422F44">
        <w:rPr>
          <w:i/>
          <w:lang w:val="en-US"/>
        </w:rPr>
        <w:t xml:space="preserve"> </w:t>
      </w:r>
      <w:proofErr w:type="spellStart"/>
      <w:r w:rsidRPr="00422F44">
        <w:rPr>
          <w:i/>
          <w:lang w:val="en-US"/>
        </w:rPr>
        <w:t>Corneliu</w:t>
      </w:r>
      <w:proofErr w:type="spellEnd"/>
      <w:r w:rsidRPr="00422F44">
        <w:rPr>
          <w:i/>
          <w:lang w:val="en-US"/>
        </w:rPr>
        <w:t xml:space="preserve"> also said that, from the moment they left the house and until the incident, XXXXXXXXX had not fallen or been hit at all. They were in light state of alcohol influence. Igor </w:t>
      </w:r>
      <w:proofErr w:type="spellStart"/>
      <w:r w:rsidRPr="00422F44">
        <w:rPr>
          <w:i/>
          <w:lang w:val="en-US"/>
        </w:rPr>
        <w:t>Budei</w:t>
      </w:r>
      <w:proofErr w:type="spellEnd"/>
      <w:r w:rsidRPr="00422F44">
        <w:rPr>
          <w:i/>
          <w:lang w:val="en-US"/>
        </w:rPr>
        <w:t xml:space="preserve"> could move on his own. He was hit with the front of the car while he was in the middle of the road. As a result of the hit XXXXX hit fell down and broke his leg. The place of the incident is a wide and paved road on which the car fits well, on the right side of it is grass, trees and a hill, and on the other side is a little steep, about 1-2 meters, and a little lower is the high school, but he does not know its destination</w:t>
      </w:r>
    </w:p>
    <w:p w14:paraId="4E139FE0" w14:textId="77777777" w:rsidR="00A94C18" w:rsidRPr="00422F44" w:rsidRDefault="00A94C18" w:rsidP="00C81505">
      <w:pPr>
        <w:spacing w:line="360" w:lineRule="auto"/>
        <w:ind w:firstLine="708"/>
        <w:jc w:val="both"/>
        <w:rPr>
          <w:i/>
          <w:lang w:val="en-US"/>
        </w:rPr>
      </w:pPr>
      <w:r w:rsidRPr="00422F44">
        <w:rPr>
          <w:i/>
          <w:lang w:val="en-US"/>
        </w:rPr>
        <w:t>(…..)</w:t>
      </w:r>
    </w:p>
    <w:p w14:paraId="61E92DC3" w14:textId="77777777" w:rsidR="00A94C18" w:rsidRPr="00422F44" w:rsidRDefault="00A94C18" w:rsidP="00C81505">
      <w:pPr>
        <w:spacing w:line="360" w:lineRule="auto"/>
        <w:jc w:val="both"/>
        <w:rPr>
          <w:i/>
          <w:lang w:val="en-US"/>
        </w:rPr>
      </w:pPr>
    </w:p>
    <w:p w14:paraId="498D866E" w14:textId="77777777" w:rsidR="00A94C18" w:rsidRPr="00A94C18" w:rsidRDefault="00A94C18" w:rsidP="00C81505">
      <w:pPr>
        <w:spacing w:line="360" w:lineRule="auto"/>
        <w:ind w:left="708"/>
        <w:jc w:val="both"/>
        <w:rPr>
          <w:i/>
          <w:lang w:val="en-US"/>
        </w:rPr>
      </w:pPr>
      <w:r w:rsidRPr="00A94C18">
        <w:rPr>
          <w:i/>
          <w:lang w:val="en-US"/>
        </w:rPr>
        <w:t xml:space="preserve">The testimony of </w:t>
      </w:r>
      <w:proofErr w:type="spellStart"/>
      <w:r w:rsidRPr="00A94C18">
        <w:rPr>
          <w:i/>
          <w:lang w:val="en-US"/>
        </w:rPr>
        <w:t>Romesco</w:t>
      </w:r>
      <w:proofErr w:type="spellEnd"/>
      <w:r w:rsidRPr="00A94C18">
        <w:rPr>
          <w:i/>
          <w:lang w:val="en-US"/>
        </w:rPr>
        <w:t xml:space="preserve"> witness, </w:t>
      </w:r>
      <w:proofErr w:type="spellStart"/>
      <w:r w:rsidRPr="00A94C18">
        <w:rPr>
          <w:i/>
          <w:lang w:val="en-US"/>
        </w:rPr>
        <w:t>Iurie</w:t>
      </w:r>
      <w:proofErr w:type="spellEnd"/>
      <w:r w:rsidRPr="00A94C18">
        <w:rPr>
          <w:i/>
          <w:lang w:val="en-US"/>
        </w:rPr>
        <w:t xml:space="preserve"> Nicolae, who was heard at the hearing, declared that he knew XXXXXXXXX from about three years ago while he was doctor on duty and received him at about 5-6 of clock in the morning. As he remembers XXXXXXXXX was brought with the ambulance, with him were 2-3 friends and he was brought on a stretcher. He said he had pain in the left leg. After examination, he determined that XXXXXXX had an open fracture in the foot, he was then hospitalized and prepared for surgery. When brought in, XXXXXXXXX was in a serious-medium condition. He established his condition because he had an open fracture, i.e. the bones were open, they were in contact with the air. Type 1 A Fracture. The next day </w:t>
      </w:r>
      <w:r w:rsidRPr="00A94C18">
        <w:rPr>
          <w:i/>
          <w:lang w:val="en-US"/>
        </w:rPr>
        <w:lastRenderedPageBreak/>
        <w:t xml:space="preserve">XXXXXXXXX was operated. It was an indication to be operated immediately, but considering that he was going to wear the </w:t>
      </w:r>
      <w:proofErr w:type="spellStart"/>
      <w:r w:rsidRPr="00A94C18">
        <w:rPr>
          <w:i/>
          <w:lang w:val="en-US"/>
        </w:rPr>
        <w:t>Ilizarav</w:t>
      </w:r>
      <w:proofErr w:type="spellEnd"/>
      <w:r w:rsidRPr="00A94C18">
        <w:rPr>
          <w:i/>
          <w:lang w:val="en-US"/>
        </w:rPr>
        <w:t xml:space="preserve"> apparatus which had to be bought, he waited and the next day he was operated. Then XXXXXXXXX received treatment and stayed in the hospital for about two weeks. With the </w:t>
      </w:r>
      <w:proofErr w:type="spellStart"/>
      <w:r w:rsidRPr="00A94C18">
        <w:rPr>
          <w:i/>
          <w:lang w:val="en-US"/>
        </w:rPr>
        <w:t>Ilizarov</w:t>
      </w:r>
      <w:proofErr w:type="spellEnd"/>
      <w:r w:rsidRPr="00A94C18">
        <w:rPr>
          <w:i/>
          <w:lang w:val="en-US"/>
        </w:rPr>
        <w:t xml:space="preserve"> apparatus he received out-of-clinic treatment and was periodically present at the clinic. Over 9 months ago, he came to him, and was hospitalized again, where he found that the fracture was strengthened, and the apparatus was removed, then the patient received a rehab course, and is currently healthy. He personally operated on XXXXXXXXX. Witness, </w:t>
      </w:r>
      <w:proofErr w:type="spellStart"/>
      <w:r w:rsidRPr="00A94C18">
        <w:rPr>
          <w:i/>
          <w:lang w:val="en-US"/>
        </w:rPr>
        <w:t>Romesco</w:t>
      </w:r>
      <w:proofErr w:type="spellEnd"/>
      <w:r w:rsidRPr="00A94C18">
        <w:rPr>
          <w:i/>
          <w:lang w:val="en-US"/>
        </w:rPr>
        <w:t xml:space="preserve"> </w:t>
      </w:r>
      <w:proofErr w:type="spellStart"/>
      <w:r w:rsidRPr="00A94C18">
        <w:rPr>
          <w:i/>
          <w:lang w:val="en-US"/>
        </w:rPr>
        <w:t>Iurie</w:t>
      </w:r>
      <w:proofErr w:type="spellEnd"/>
      <w:r w:rsidRPr="00A94C18">
        <w:rPr>
          <w:i/>
          <w:lang w:val="en-US"/>
        </w:rPr>
        <w:t xml:space="preserve"> Nicolae, said that talking with XXXXXXXXX, he told him he fell down to whom he told him he'd been working for 25 years and he knows that every trauma has its own special feature. If it is a trauma relating to falling from a height they are looking for fractures in the spine and </w:t>
      </w:r>
      <w:proofErr w:type="spellStart"/>
      <w:r w:rsidRPr="00A94C18">
        <w:rPr>
          <w:i/>
          <w:lang w:val="en-US"/>
        </w:rPr>
        <w:t>calcanilus</w:t>
      </w:r>
      <w:proofErr w:type="spellEnd"/>
      <w:r w:rsidRPr="00A94C18">
        <w:rPr>
          <w:i/>
          <w:lang w:val="en-US"/>
        </w:rPr>
        <w:t xml:space="preserve"> bone. If it is a road accident and the child was hit by the car, it is a specific fracture called the "bumper" fracture, consisting of three fragments. XXXXXXXXX was hit by a car’s bumper and after the blow a bone fragment was removed. XXXXXXXXX had this very type of fracture. </w:t>
      </w:r>
    </w:p>
    <w:p w14:paraId="556AF5B6" w14:textId="77777777" w:rsidR="00A94C18" w:rsidRPr="00422F44" w:rsidRDefault="00A94C18" w:rsidP="00C81505">
      <w:pPr>
        <w:spacing w:line="360" w:lineRule="auto"/>
        <w:ind w:firstLine="708"/>
        <w:jc w:val="both"/>
        <w:rPr>
          <w:i/>
          <w:lang w:val="en-US"/>
        </w:rPr>
      </w:pPr>
      <w:r w:rsidRPr="00422F44">
        <w:rPr>
          <w:i/>
          <w:lang w:val="en-US"/>
        </w:rPr>
        <w:t>(……)</w:t>
      </w:r>
    </w:p>
    <w:p w14:paraId="03613976" w14:textId="77777777" w:rsidR="00A94C18" w:rsidRPr="00422F44" w:rsidRDefault="00A94C18" w:rsidP="00C81505">
      <w:pPr>
        <w:spacing w:line="360" w:lineRule="auto"/>
        <w:ind w:left="708"/>
        <w:jc w:val="both"/>
        <w:rPr>
          <w:i/>
          <w:lang w:val="en-US"/>
        </w:rPr>
      </w:pPr>
      <w:r w:rsidRPr="00422F44">
        <w:rPr>
          <w:i/>
          <w:lang w:val="en-US"/>
        </w:rPr>
        <w:t xml:space="preserve">The statement of the witness </w:t>
      </w:r>
      <w:proofErr w:type="spellStart"/>
      <w:r w:rsidRPr="00422F44">
        <w:rPr>
          <w:i/>
          <w:lang w:val="en-US"/>
        </w:rPr>
        <w:t>Cernogorov</w:t>
      </w:r>
      <w:proofErr w:type="spellEnd"/>
      <w:r w:rsidRPr="00422F44">
        <w:rPr>
          <w:i/>
          <w:lang w:val="en-US"/>
        </w:rPr>
        <w:t xml:space="preserve"> </w:t>
      </w:r>
      <w:proofErr w:type="spellStart"/>
      <w:r w:rsidRPr="00422F44">
        <w:rPr>
          <w:i/>
          <w:lang w:val="en-US"/>
        </w:rPr>
        <w:t>Alexandru</w:t>
      </w:r>
      <w:proofErr w:type="spellEnd"/>
      <w:r w:rsidRPr="00422F44">
        <w:rPr>
          <w:i/>
          <w:lang w:val="en-US"/>
        </w:rPr>
        <w:t xml:space="preserve">, who was heard at the hearing, declared that he didn’t know the XXXXXXXXX defendant. He also does not know the injured party XXXXXXXXX. They received a phone call around 5:00 - 5:20 in the morning, approximately in the spring of 2012-2013, in connection with a foot injury. They went looking for the person because the high school did not have the number on it. They went to a high school which name they do not know, he also does not know the name of the street, but they moved down </w:t>
      </w:r>
      <w:proofErr w:type="spellStart"/>
      <w:r w:rsidRPr="00422F44">
        <w:rPr>
          <w:i/>
          <w:lang w:val="en-US"/>
        </w:rPr>
        <w:t>Petru</w:t>
      </w:r>
      <w:proofErr w:type="spellEnd"/>
      <w:r w:rsidRPr="00422F44">
        <w:rPr>
          <w:i/>
          <w:lang w:val="en-US"/>
        </w:rPr>
        <w:t xml:space="preserve"> </w:t>
      </w:r>
      <w:proofErr w:type="spellStart"/>
      <w:r w:rsidRPr="00422F44">
        <w:rPr>
          <w:i/>
          <w:lang w:val="en-US"/>
        </w:rPr>
        <w:t>Zadnipru</w:t>
      </w:r>
      <w:proofErr w:type="spellEnd"/>
      <w:r w:rsidRPr="00422F44">
        <w:rPr>
          <w:i/>
          <w:lang w:val="en-US"/>
        </w:rPr>
        <w:t xml:space="preserve"> Street. They were told to come to </w:t>
      </w:r>
      <w:proofErr w:type="spellStart"/>
      <w:r w:rsidRPr="00422F44">
        <w:rPr>
          <w:i/>
          <w:lang w:val="en-US"/>
        </w:rPr>
        <w:t>Petru</w:t>
      </w:r>
      <w:proofErr w:type="spellEnd"/>
      <w:r w:rsidRPr="00422F44">
        <w:rPr>
          <w:i/>
          <w:lang w:val="en-US"/>
        </w:rPr>
        <w:t xml:space="preserve"> </w:t>
      </w:r>
      <w:proofErr w:type="spellStart"/>
      <w:r w:rsidRPr="00422F44">
        <w:rPr>
          <w:i/>
          <w:lang w:val="en-US"/>
        </w:rPr>
        <w:t>Zadnipru</w:t>
      </w:r>
      <w:proofErr w:type="spellEnd"/>
      <w:r w:rsidRPr="00422F44">
        <w:rPr>
          <w:i/>
          <w:lang w:val="en-US"/>
        </w:rPr>
        <w:t xml:space="preserve"> Street 15/4, where there is a high school, but they could not get there because the road was blocked by the cars that were stationed between a block of flats on </w:t>
      </w:r>
      <w:proofErr w:type="spellStart"/>
      <w:r w:rsidRPr="00422F44">
        <w:rPr>
          <w:i/>
          <w:lang w:val="en-US"/>
        </w:rPr>
        <w:t>Petru</w:t>
      </w:r>
      <w:proofErr w:type="spellEnd"/>
      <w:r w:rsidRPr="00422F44">
        <w:rPr>
          <w:i/>
          <w:lang w:val="en-US"/>
        </w:rPr>
        <w:t xml:space="preserve"> </w:t>
      </w:r>
      <w:proofErr w:type="spellStart"/>
      <w:r w:rsidRPr="00422F44">
        <w:rPr>
          <w:i/>
          <w:lang w:val="en-US"/>
        </w:rPr>
        <w:t>Zadnipru</w:t>
      </w:r>
      <w:proofErr w:type="spellEnd"/>
      <w:r w:rsidRPr="00422F44">
        <w:rPr>
          <w:i/>
          <w:lang w:val="en-US"/>
        </w:rPr>
        <w:t xml:space="preserve"> 16/3 and the high school. So they reached the second high school and went around to the right and then saw some people waving. That place is between two high schools. They went up near the house on </w:t>
      </w:r>
      <w:proofErr w:type="spellStart"/>
      <w:r w:rsidRPr="00422F44">
        <w:rPr>
          <w:i/>
          <w:lang w:val="en-US"/>
        </w:rPr>
        <w:t>Ginta</w:t>
      </w:r>
      <w:proofErr w:type="spellEnd"/>
      <w:r w:rsidRPr="00422F44">
        <w:rPr>
          <w:i/>
          <w:lang w:val="en-US"/>
        </w:rPr>
        <w:t xml:space="preserve"> Latina Street 19 and reached the place where the young men were. When they got there, there were about 10 people there, three girls and the rest of the boys, all of them cheerful. He personally did not talk to the girls or with the boys from that group. He usually does not get out of the car because he is a driver. The doctors came out of the ambulance, and the boy was seated on the grass, </w:t>
      </w:r>
      <w:proofErr w:type="spellStart"/>
      <w:r w:rsidRPr="00422F44">
        <w:rPr>
          <w:i/>
          <w:lang w:val="en-US"/>
        </w:rPr>
        <w:t>down hill</w:t>
      </w:r>
      <w:proofErr w:type="spellEnd"/>
      <w:r w:rsidRPr="00422F44">
        <w:rPr>
          <w:i/>
          <w:lang w:val="en-US"/>
        </w:rPr>
        <w:t xml:space="preserve">, after a steep. He stepped out of the car to pull the stretcher. He did not hear the conversation between the person sitting on the grass and doctors, so he did not know what had happened. That boy probably had his leg broken. He saw that the boys were a bit under alcohol influence because there were some beer bottles beside them, they were cheerful and their visual behavior created </w:t>
      </w:r>
      <w:r w:rsidRPr="00422F44">
        <w:rPr>
          <w:i/>
          <w:lang w:val="en-US"/>
        </w:rPr>
        <w:lastRenderedPageBreak/>
        <w:t xml:space="preserve">such impressions, but they were not intoxicated and did not fall down. One or two of the boys accompanied the boy with the broken leg to the hospital. When he left the spot, he turned to </w:t>
      </w:r>
      <w:proofErr w:type="spellStart"/>
      <w:r w:rsidRPr="00422F44">
        <w:rPr>
          <w:i/>
          <w:lang w:val="en-US"/>
        </w:rPr>
        <w:t>Ginta</w:t>
      </w:r>
      <w:proofErr w:type="spellEnd"/>
      <w:r w:rsidRPr="00422F44">
        <w:rPr>
          <w:i/>
          <w:lang w:val="en-US"/>
        </w:rPr>
        <w:t xml:space="preserve"> Latina Street. The place where was the person with the broken leg was not </w:t>
      </w:r>
      <w:proofErr w:type="spellStart"/>
      <w:r w:rsidRPr="00422F44">
        <w:rPr>
          <w:i/>
          <w:lang w:val="en-US"/>
        </w:rPr>
        <w:t>not</w:t>
      </w:r>
      <w:proofErr w:type="spellEnd"/>
      <w:r w:rsidRPr="00422F44">
        <w:rPr>
          <w:i/>
          <w:lang w:val="en-US"/>
        </w:rPr>
        <w:t xml:space="preserve"> accessible by car. They stopped as near as possible to the location of the person with the broken foot. The distance between the injured person and the road was about 8 meters. At the place where he stopped the car he did not see any </w:t>
      </w:r>
      <w:proofErr w:type="spellStart"/>
      <w:r w:rsidRPr="00422F44">
        <w:rPr>
          <w:i/>
          <w:lang w:val="en-US"/>
        </w:rPr>
        <w:t>markes</w:t>
      </w:r>
      <w:proofErr w:type="spellEnd"/>
      <w:r w:rsidRPr="00422F44">
        <w:rPr>
          <w:i/>
          <w:lang w:val="en-US"/>
        </w:rPr>
        <w:t xml:space="preserve"> of brake. There were no police crews on the scene, he took the boy and left. He can help the doctors just fix the stretcher in the vehicle, in rest he is just behind the steering wheel. The injured boy was conscious, he wasn’t in a </w:t>
      </w:r>
      <w:proofErr w:type="spellStart"/>
      <w:r w:rsidRPr="00422F44">
        <w:rPr>
          <w:i/>
          <w:lang w:val="en-US"/>
        </w:rPr>
        <w:t>schock</w:t>
      </w:r>
      <w:proofErr w:type="spellEnd"/>
      <w:r w:rsidRPr="00422F44">
        <w:rPr>
          <w:i/>
          <w:lang w:val="en-US"/>
        </w:rPr>
        <w:t xml:space="preserve">. He saw how he was given the first aid by the doctors, fixing his foot with a splint. To take that boy to the ambulance, he was probably helped by two people who were on the scene. The witness, </w:t>
      </w:r>
      <w:proofErr w:type="spellStart"/>
      <w:r w:rsidRPr="00422F44">
        <w:rPr>
          <w:i/>
          <w:lang w:val="en-US"/>
        </w:rPr>
        <w:t>Cernogorov</w:t>
      </w:r>
      <w:proofErr w:type="spellEnd"/>
      <w:r w:rsidRPr="00422F44">
        <w:rPr>
          <w:i/>
          <w:lang w:val="en-US"/>
        </w:rPr>
        <w:t xml:space="preserve"> </w:t>
      </w:r>
      <w:proofErr w:type="spellStart"/>
      <w:r w:rsidRPr="00422F44">
        <w:rPr>
          <w:i/>
          <w:lang w:val="en-US"/>
        </w:rPr>
        <w:t>Alexandru</w:t>
      </w:r>
      <w:proofErr w:type="spellEnd"/>
      <w:r w:rsidRPr="00422F44">
        <w:rPr>
          <w:i/>
          <w:lang w:val="en-US"/>
        </w:rPr>
        <w:t xml:space="preserve"> also said that on the spot he and Dr. </w:t>
      </w:r>
      <w:proofErr w:type="spellStart"/>
      <w:r w:rsidRPr="00422F44">
        <w:rPr>
          <w:i/>
          <w:lang w:val="en-US"/>
        </w:rPr>
        <w:t>Burla</w:t>
      </w:r>
      <w:proofErr w:type="spellEnd"/>
      <w:r w:rsidRPr="00422F44">
        <w:rPr>
          <w:i/>
          <w:lang w:val="en-US"/>
        </w:rPr>
        <w:t xml:space="preserve"> </w:t>
      </w:r>
      <w:proofErr w:type="spellStart"/>
      <w:r w:rsidRPr="00422F44">
        <w:rPr>
          <w:i/>
          <w:lang w:val="en-US"/>
        </w:rPr>
        <w:t>Serghei</w:t>
      </w:r>
      <w:proofErr w:type="spellEnd"/>
      <w:r w:rsidRPr="00422F44">
        <w:rPr>
          <w:i/>
          <w:lang w:val="en-US"/>
        </w:rPr>
        <w:t xml:space="preserve"> and the paramedic, he didn’t remember his name</w:t>
      </w:r>
    </w:p>
    <w:p w14:paraId="43E61E63" w14:textId="77777777" w:rsidR="00A94C18" w:rsidRPr="00422F44" w:rsidRDefault="00A94C18" w:rsidP="00C81505">
      <w:pPr>
        <w:spacing w:line="360" w:lineRule="auto"/>
        <w:ind w:firstLine="708"/>
        <w:jc w:val="both"/>
        <w:rPr>
          <w:i/>
          <w:lang w:val="en-US"/>
        </w:rPr>
      </w:pPr>
      <w:r w:rsidRPr="00422F44">
        <w:rPr>
          <w:i/>
          <w:lang w:val="en-US"/>
        </w:rPr>
        <w:t>(….)</w:t>
      </w:r>
    </w:p>
    <w:p w14:paraId="6E28907B" w14:textId="77777777" w:rsidR="00A94C18" w:rsidRPr="00422F44" w:rsidRDefault="00A94C18" w:rsidP="00C81505">
      <w:pPr>
        <w:spacing w:line="360" w:lineRule="auto"/>
        <w:ind w:left="708"/>
        <w:jc w:val="both"/>
        <w:rPr>
          <w:i/>
          <w:lang w:val="en-US"/>
        </w:rPr>
      </w:pPr>
      <w:r w:rsidRPr="00422F44">
        <w:rPr>
          <w:i/>
          <w:lang w:val="en-US"/>
        </w:rPr>
        <w:t xml:space="preserve">Statement of witness, </w:t>
      </w:r>
      <w:proofErr w:type="spellStart"/>
      <w:r w:rsidRPr="00422F44">
        <w:rPr>
          <w:i/>
          <w:lang w:val="en-US"/>
        </w:rPr>
        <w:t>Burla</w:t>
      </w:r>
      <w:proofErr w:type="spellEnd"/>
      <w:r w:rsidRPr="00422F44">
        <w:rPr>
          <w:i/>
          <w:lang w:val="en-US"/>
        </w:rPr>
        <w:t xml:space="preserve"> </w:t>
      </w:r>
      <w:proofErr w:type="spellStart"/>
      <w:r w:rsidRPr="00422F44">
        <w:rPr>
          <w:i/>
          <w:lang w:val="en-US"/>
        </w:rPr>
        <w:t>Serghei</w:t>
      </w:r>
      <w:proofErr w:type="spellEnd"/>
      <w:r w:rsidRPr="00422F44">
        <w:rPr>
          <w:i/>
          <w:lang w:val="en-US"/>
        </w:rPr>
        <w:t xml:space="preserve"> </w:t>
      </w:r>
      <w:proofErr w:type="spellStart"/>
      <w:r w:rsidRPr="00422F44">
        <w:rPr>
          <w:i/>
          <w:lang w:val="en-US"/>
        </w:rPr>
        <w:t>Vitalie</w:t>
      </w:r>
      <w:proofErr w:type="spellEnd"/>
      <w:r w:rsidRPr="00422F44">
        <w:rPr>
          <w:i/>
          <w:lang w:val="en-US"/>
        </w:rPr>
        <w:t xml:space="preserve">, who was heard at the hearing, said that he did not know the defendant XXXXXXXXX. He also doesn’t know the injured party, XXXXXXXXX. He remembers the case, but he certainly doesn’t remember the patient. In the summer of 2012, while at work, at 05:00 in the morning they received a call to  </w:t>
      </w:r>
      <w:proofErr w:type="spellStart"/>
      <w:r w:rsidRPr="00422F44">
        <w:rPr>
          <w:i/>
          <w:lang w:val="en-US"/>
        </w:rPr>
        <w:t>Zadnipru</w:t>
      </w:r>
      <w:proofErr w:type="spellEnd"/>
      <w:r w:rsidRPr="00422F44">
        <w:rPr>
          <w:i/>
          <w:lang w:val="en-US"/>
        </w:rPr>
        <w:t xml:space="preserve"> Street 15/4, next to a high school, about a </w:t>
      </w:r>
      <w:proofErr w:type="spellStart"/>
      <w:r w:rsidRPr="00422F44">
        <w:rPr>
          <w:i/>
          <w:lang w:val="en-US"/>
        </w:rPr>
        <w:t>a</w:t>
      </w:r>
      <w:proofErr w:type="spellEnd"/>
      <w:r w:rsidRPr="00422F44">
        <w:rPr>
          <w:i/>
          <w:lang w:val="en-US"/>
        </w:rPr>
        <w:t xml:space="preserve"> person with a foot injury. At that time, they were traveling with </w:t>
      </w:r>
      <w:proofErr w:type="spellStart"/>
      <w:r w:rsidRPr="00422F44">
        <w:rPr>
          <w:i/>
          <w:lang w:val="en-US"/>
        </w:rPr>
        <w:t>Cernogov</w:t>
      </w:r>
      <w:proofErr w:type="spellEnd"/>
      <w:r w:rsidRPr="00422F44">
        <w:rPr>
          <w:i/>
          <w:lang w:val="en-US"/>
        </w:rPr>
        <w:t xml:space="preserve"> </w:t>
      </w:r>
      <w:proofErr w:type="spellStart"/>
      <w:r w:rsidRPr="00422F44">
        <w:rPr>
          <w:i/>
          <w:lang w:val="en-US"/>
        </w:rPr>
        <w:t>Alexandru</w:t>
      </w:r>
      <w:proofErr w:type="spellEnd"/>
      <w:r w:rsidRPr="00422F44">
        <w:rPr>
          <w:i/>
          <w:lang w:val="en-US"/>
        </w:rPr>
        <w:t xml:space="preserve">, the driver and the paramedic, Oleg. They did not have a stable crew, every shift could change. As they reached the place of the call, they found no one at the indicated address. He contacted the dispatcher of his service and got a new address that was on another side of </w:t>
      </w:r>
      <w:proofErr w:type="spellStart"/>
      <w:r w:rsidRPr="00422F44">
        <w:rPr>
          <w:i/>
          <w:lang w:val="en-US"/>
        </w:rPr>
        <w:t>Petru</w:t>
      </w:r>
      <w:proofErr w:type="spellEnd"/>
      <w:r w:rsidRPr="00422F44">
        <w:rPr>
          <w:i/>
          <w:lang w:val="en-US"/>
        </w:rPr>
        <w:t xml:space="preserve"> </w:t>
      </w:r>
      <w:proofErr w:type="spellStart"/>
      <w:r w:rsidRPr="00422F44">
        <w:rPr>
          <w:i/>
          <w:lang w:val="en-US"/>
        </w:rPr>
        <w:t>Zadnipru</w:t>
      </w:r>
      <w:proofErr w:type="spellEnd"/>
      <w:r w:rsidRPr="00422F44">
        <w:rPr>
          <w:i/>
          <w:lang w:val="en-US"/>
        </w:rPr>
        <w:t xml:space="preserve"> Street, in another high school. As they got there, they saw some boys standing in the street, pointing with their hands that they had to reach an alley. On the given street there was access from </w:t>
      </w:r>
      <w:proofErr w:type="spellStart"/>
      <w:r w:rsidRPr="00422F44">
        <w:rPr>
          <w:i/>
          <w:lang w:val="en-US"/>
        </w:rPr>
        <w:t>Petru</w:t>
      </w:r>
      <w:proofErr w:type="spellEnd"/>
      <w:r w:rsidRPr="00422F44">
        <w:rPr>
          <w:i/>
          <w:lang w:val="en-US"/>
        </w:rPr>
        <w:t xml:space="preserve"> </w:t>
      </w:r>
      <w:proofErr w:type="spellStart"/>
      <w:r w:rsidRPr="00422F44">
        <w:rPr>
          <w:i/>
          <w:lang w:val="en-US"/>
        </w:rPr>
        <w:t>Zadnipru</w:t>
      </w:r>
      <w:proofErr w:type="spellEnd"/>
      <w:r w:rsidRPr="00422F44">
        <w:rPr>
          <w:i/>
          <w:lang w:val="en-US"/>
        </w:rPr>
        <w:t xml:space="preserve"> Street, but they could not pass because that morning cars were parked there and surrounded the high school, so they entered from </w:t>
      </w:r>
      <w:proofErr w:type="spellStart"/>
      <w:r w:rsidRPr="00422F44">
        <w:rPr>
          <w:i/>
          <w:lang w:val="en-US"/>
        </w:rPr>
        <w:t>Ginta</w:t>
      </w:r>
      <w:proofErr w:type="spellEnd"/>
      <w:r w:rsidRPr="00422F44">
        <w:rPr>
          <w:i/>
          <w:lang w:val="en-US"/>
        </w:rPr>
        <w:t xml:space="preserve"> Latina Street, block no.19. In that place there are two high schools, and next to them there is a road, on </w:t>
      </w:r>
      <w:proofErr w:type="spellStart"/>
      <w:r w:rsidRPr="00422F44">
        <w:rPr>
          <w:i/>
          <w:lang w:val="en-US"/>
        </w:rPr>
        <w:t>Petru</w:t>
      </w:r>
      <w:proofErr w:type="spellEnd"/>
      <w:r w:rsidRPr="00422F44">
        <w:rPr>
          <w:i/>
          <w:lang w:val="en-US"/>
        </w:rPr>
        <w:t xml:space="preserve"> </w:t>
      </w:r>
      <w:proofErr w:type="spellStart"/>
      <w:r w:rsidRPr="00422F44">
        <w:rPr>
          <w:i/>
          <w:lang w:val="en-US"/>
        </w:rPr>
        <w:t>Zadnipru</w:t>
      </w:r>
      <w:proofErr w:type="spellEnd"/>
      <w:r w:rsidRPr="00422F44">
        <w:rPr>
          <w:i/>
          <w:lang w:val="en-US"/>
        </w:rPr>
        <w:t xml:space="preserve"> street. They drove beside those high-schools with the flashing light and siren on. Going past the first high school, they saw the boys as they were waving to them. They stopped beside a tennis court, in the alley beside the stairs where there was a bulwark. The arrived on the spot in about 20 minutes. The place where they stopped the car was paved, and the road width was 2-3 meters. From the place where they stopped and to the injured person was a distance of about 3-4 meters. It was a pedestrian road, and the ambulance had the right to enter that road. There were some boys around who showed them where the patient is, maybe they were girls </w:t>
      </w:r>
      <w:r w:rsidRPr="00422F44">
        <w:rPr>
          <w:i/>
          <w:lang w:val="en-US"/>
        </w:rPr>
        <w:lastRenderedPageBreak/>
        <w:t>among them, but he does not remember. Going to the spot, he saw a boy lying down beside the bulwark, whom he did not remember how he was</w:t>
      </w:r>
    </w:p>
    <w:p w14:paraId="253BBAB1" w14:textId="77777777" w:rsidR="00A94C18" w:rsidRPr="00422F44" w:rsidRDefault="00A94C18" w:rsidP="00C81505">
      <w:pPr>
        <w:spacing w:line="360" w:lineRule="auto"/>
        <w:ind w:firstLine="708"/>
        <w:jc w:val="both"/>
        <w:rPr>
          <w:i/>
          <w:lang w:val="en-US"/>
        </w:rPr>
      </w:pPr>
      <w:r w:rsidRPr="00422F44">
        <w:rPr>
          <w:i/>
          <w:lang w:val="en-US"/>
        </w:rPr>
        <w:t>(…..)</w:t>
      </w:r>
    </w:p>
    <w:p w14:paraId="7F75E373" w14:textId="77777777" w:rsidR="00A94C18" w:rsidRPr="00A94C18" w:rsidRDefault="00A94C18" w:rsidP="00C81505">
      <w:pPr>
        <w:spacing w:line="360" w:lineRule="auto"/>
        <w:ind w:firstLine="708"/>
        <w:jc w:val="both"/>
        <w:rPr>
          <w:i/>
          <w:lang w:val="en-US"/>
        </w:rPr>
      </w:pPr>
      <w:r w:rsidRPr="00A94C18">
        <w:rPr>
          <w:i/>
          <w:lang w:val="en-US"/>
        </w:rPr>
        <w:t>Apart from witness statements, the defendant's XXXXXXXXX guilt is also proven by the f</w:t>
      </w:r>
      <w:r w:rsidR="00422F44" w:rsidRPr="00422F44">
        <w:rPr>
          <w:i/>
          <w:lang w:val="en-US"/>
        </w:rPr>
        <w:tab/>
      </w:r>
      <w:proofErr w:type="spellStart"/>
      <w:r w:rsidRPr="00A94C18">
        <w:rPr>
          <w:i/>
          <w:lang w:val="en-US"/>
        </w:rPr>
        <w:t>ollowing</w:t>
      </w:r>
      <w:proofErr w:type="spellEnd"/>
      <w:r w:rsidRPr="00A94C18">
        <w:rPr>
          <w:i/>
          <w:lang w:val="en-US"/>
        </w:rPr>
        <w:t xml:space="preserve"> documents:</w:t>
      </w:r>
    </w:p>
    <w:p w14:paraId="68A3BA18" w14:textId="77777777" w:rsidR="00A94C18" w:rsidRPr="00A94C18" w:rsidRDefault="00A94C18" w:rsidP="00C81505">
      <w:pPr>
        <w:spacing w:line="360" w:lineRule="auto"/>
        <w:ind w:left="708"/>
        <w:jc w:val="both"/>
        <w:rPr>
          <w:i/>
          <w:lang w:val="en-US"/>
        </w:rPr>
      </w:pPr>
      <w:r w:rsidRPr="00A94C18">
        <w:rPr>
          <w:i/>
          <w:lang w:val="en-US"/>
        </w:rPr>
        <w:t xml:space="preserve">- The forensic expertise report no.1561 / D of July 11, 2012, from which it is stated that, on the body of  </w:t>
      </w:r>
      <w:proofErr w:type="spellStart"/>
      <w:r w:rsidRPr="00A94C18">
        <w:rPr>
          <w:i/>
          <w:lang w:val="en-US"/>
        </w:rPr>
        <w:t>Budei</w:t>
      </w:r>
      <w:proofErr w:type="spellEnd"/>
      <w:r w:rsidRPr="00A94C18">
        <w:rPr>
          <w:i/>
          <w:lang w:val="en-US"/>
        </w:rPr>
        <w:t xml:space="preserve"> Igor </w:t>
      </w:r>
      <w:proofErr w:type="spellStart"/>
      <w:r w:rsidRPr="00A94C18">
        <w:rPr>
          <w:i/>
          <w:lang w:val="en-US"/>
        </w:rPr>
        <w:t>Valeriu</w:t>
      </w:r>
      <w:proofErr w:type="spellEnd"/>
      <w:r w:rsidRPr="00A94C18">
        <w:rPr>
          <w:i/>
          <w:lang w:val="en-US"/>
        </w:rPr>
        <w:t xml:space="preserve"> was established the open fracture of the left-sided bone in the median third with the movement of the fragments, which qualifies as serious bodily injury (</w:t>
      </w:r>
      <w:proofErr w:type="spellStart"/>
      <w:r w:rsidRPr="00A94C18">
        <w:rPr>
          <w:i/>
          <w:lang w:val="en-US"/>
        </w:rPr>
        <w:t>f.d.</w:t>
      </w:r>
      <w:proofErr w:type="spellEnd"/>
      <w:r w:rsidRPr="00A94C18">
        <w:rPr>
          <w:i/>
          <w:lang w:val="en-US"/>
        </w:rPr>
        <w:t xml:space="preserve"> 108- 109)</w:t>
      </w:r>
    </w:p>
    <w:p w14:paraId="6C272CB8" w14:textId="77777777" w:rsidR="00A94C18" w:rsidRPr="00A94C18" w:rsidRDefault="00A94C18" w:rsidP="00C81505">
      <w:pPr>
        <w:spacing w:line="360" w:lineRule="auto"/>
        <w:ind w:left="708"/>
        <w:jc w:val="both"/>
        <w:rPr>
          <w:i/>
          <w:lang w:val="en-US"/>
        </w:rPr>
      </w:pPr>
      <w:r w:rsidRPr="00A94C18">
        <w:rPr>
          <w:i/>
          <w:lang w:val="en-US"/>
        </w:rPr>
        <w:t>- The report of forensic expertise in commission no. 171 of January 17, 2014, which stated that within the framework of the provision of medical care citizen XXXXXXXXX had the open fracture of the left calf bone: fracture of the tibia at the middle 1/3 level and the fibula fracture in the proximal 1/3. The character of fractures inflicted to citizen XXXXXXXXX allows to say that they were produced by a hit mechanism, in this case by the prominent parts of a moving car (file page number 194-199);</w:t>
      </w:r>
    </w:p>
    <w:p w14:paraId="35EB6E4E" w14:textId="77777777" w:rsidR="00A94C18" w:rsidRPr="00A94C18" w:rsidRDefault="00A94C18" w:rsidP="00C81505">
      <w:pPr>
        <w:spacing w:line="360" w:lineRule="auto"/>
        <w:ind w:left="708"/>
        <w:jc w:val="both"/>
        <w:rPr>
          <w:i/>
          <w:lang w:val="en-US"/>
        </w:rPr>
      </w:pPr>
      <w:r w:rsidRPr="00A94C18">
        <w:rPr>
          <w:i/>
          <w:lang w:val="en-US"/>
        </w:rPr>
        <w:t xml:space="preserve">- Minutes of the reconstruction of the events of 18.04.2013, with the participation of the defendant XXXXXXXXX and his defender </w:t>
      </w:r>
      <w:proofErr w:type="spellStart"/>
      <w:r w:rsidRPr="00A94C18">
        <w:rPr>
          <w:i/>
          <w:lang w:val="en-US"/>
        </w:rPr>
        <w:t>Prutean</w:t>
      </w:r>
      <w:proofErr w:type="spellEnd"/>
      <w:r w:rsidRPr="00A94C18">
        <w:rPr>
          <w:i/>
          <w:lang w:val="en-US"/>
        </w:rPr>
        <w:t xml:space="preserve"> Lilian, where they went on the spot specifically in the yard of the block of flats located on 14/4 </w:t>
      </w:r>
      <w:proofErr w:type="spellStart"/>
      <w:r w:rsidRPr="00A94C18">
        <w:rPr>
          <w:i/>
          <w:lang w:val="en-US"/>
        </w:rPr>
        <w:t>Petru</w:t>
      </w:r>
      <w:proofErr w:type="spellEnd"/>
      <w:r w:rsidRPr="00A94C18">
        <w:rPr>
          <w:i/>
          <w:lang w:val="en-US"/>
        </w:rPr>
        <w:t xml:space="preserve"> </w:t>
      </w:r>
      <w:proofErr w:type="spellStart"/>
      <w:r w:rsidRPr="00A94C18">
        <w:rPr>
          <w:i/>
          <w:lang w:val="en-US"/>
        </w:rPr>
        <w:t>Zadnipru</w:t>
      </w:r>
      <w:proofErr w:type="spellEnd"/>
      <w:r w:rsidRPr="00A94C18">
        <w:rPr>
          <w:i/>
          <w:lang w:val="en-US"/>
        </w:rPr>
        <w:t xml:space="preserve"> Street, Chisinau </w:t>
      </w:r>
      <w:proofErr w:type="spellStart"/>
      <w:r w:rsidRPr="00A94C18">
        <w:rPr>
          <w:i/>
          <w:lang w:val="en-US"/>
        </w:rPr>
        <w:t>mun</w:t>
      </w:r>
      <w:proofErr w:type="spellEnd"/>
      <w:r w:rsidRPr="00A94C18">
        <w:rPr>
          <w:i/>
          <w:lang w:val="en-US"/>
        </w:rPr>
        <w:t xml:space="preserve">. to show and describe all the circumstances of the offense. The defendant XXXXXXXXX specified where the private car was parked when he noticed the injured party and two young people, seeing that they were aggressive he switched on the Taser, the young people headed for Dacia High School, but XXXXXXXXX got into the car and moved to the direction of </w:t>
      </w:r>
      <w:proofErr w:type="spellStart"/>
      <w:r w:rsidRPr="00A94C18">
        <w:rPr>
          <w:i/>
          <w:lang w:val="en-US"/>
        </w:rPr>
        <w:t>Milescu</w:t>
      </w:r>
      <w:proofErr w:type="spellEnd"/>
      <w:r w:rsidRPr="00A94C18">
        <w:rPr>
          <w:i/>
          <w:lang w:val="en-US"/>
        </w:rPr>
        <w:t xml:space="preserve"> </w:t>
      </w:r>
      <w:proofErr w:type="spellStart"/>
      <w:r w:rsidRPr="00A94C18">
        <w:rPr>
          <w:i/>
          <w:lang w:val="en-US"/>
        </w:rPr>
        <w:t>Spataru</w:t>
      </w:r>
      <w:proofErr w:type="spellEnd"/>
      <w:r w:rsidRPr="00A94C18">
        <w:rPr>
          <w:i/>
          <w:lang w:val="en-US"/>
        </w:rPr>
        <w:t xml:space="preserve"> Street, Chisinau (file page number 179);</w:t>
      </w:r>
    </w:p>
    <w:p w14:paraId="23F369B3" w14:textId="77777777" w:rsidR="00A94C18" w:rsidRPr="00A94C18" w:rsidRDefault="00A94C18" w:rsidP="00C81505">
      <w:pPr>
        <w:spacing w:line="360" w:lineRule="auto"/>
        <w:ind w:left="708"/>
        <w:jc w:val="both"/>
        <w:rPr>
          <w:i/>
          <w:lang w:val="en-US"/>
        </w:rPr>
      </w:pPr>
      <w:r w:rsidRPr="00A94C18">
        <w:rPr>
          <w:i/>
          <w:lang w:val="en-US"/>
        </w:rPr>
        <w:t xml:space="preserve">- Reconstruction of the event of XXXXXXX with participation of the injured party XXXXXX and his legal representative </w:t>
      </w:r>
      <w:proofErr w:type="spellStart"/>
      <w:r w:rsidRPr="00A94C18">
        <w:rPr>
          <w:i/>
          <w:lang w:val="en-US"/>
        </w:rPr>
        <w:t>Budei</w:t>
      </w:r>
      <w:proofErr w:type="spellEnd"/>
      <w:r w:rsidRPr="00A94C18">
        <w:rPr>
          <w:i/>
          <w:lang w:val="en-US"/>
        </w:rPr>
        <w:t xml:space="preserve"> Andriana, thus reconstructing the events on the spot where was the model car "Peugeot 307" with </w:t>
      </w:r>
      <w:proofErr w:type="spellStart"/>
      <w:r w:rsidRPr="00A94C18">
        <w:rPr>
          <w:i/>
          <w:lang w:val="en-US"/>
        </w:rPr>
        <w:t>licence</w:t>
      </w:r>
      <w:proofErr w:type="spellEnd"/>
      <w:r w:rsidRPr="00A94C18">
        <w:rPr>
          <w:i/>
          <w:lang w:val="en-US"/>
        </w:rPr>
        <w:t xml:space="preserve"> plate CPK 054, and the place where the latter one was together with his friends Ghenadie and Cornel on </w:t>
      </w:r>
      <w:proofErr w:type="spellStart"/>
      <w:r w:rsidRPr="00A94C18">
        <w:rPr>
          <w:i/>
          <w:lang w:val="en-US"/>
        </w:rPr>
        <w:t>Petru</w:t>
      </w:r>
      <w:proofErr w:type="spellEnd"/>
      <w:r w:rsidRPr="00A94C18">
        <w:rPr>
          <w:i/>
          <w:lang w:val="en-US"/>
        </w:rPr>
        <w:t xml:space="preserve"> </w:t>
      </w:r>
      <w:proofErr w:type="spellStart"/>
      <w:r w:rsidRPr="00A94C18">
        <w:rPr>
          <w:i/>
          <w:lang w:val="en-US"/>
        </w:rPr>
        <w:t>Zadnipru</w:t>
      </w:r>
      <w:proofErr w:type="spellEnd"/>
      <w:r w:rsidRPr="00A94C18">
        <w:rPr>
          <w:i/>
          <w:lang w:val="en-US"/>
        </w:rPr>
        <w:t xml:space="preserve"> 14/6 Street, Chisinau. He said that while he was in front of a food shop, a gentleman made an observation after which he showed them a Taser after which the latter had moved to the "Dacia High School" with a hurried step, where they heard the engine of the car start, so the injured party showed where he was hit by the car’s bumper, then specified where he fell after the hit (file page number 180);</w:t>
      </w:r>
    </w:p>
    <w:p w14:paraId="4C2AB6D1" w14:textId="77777777" w:rsidR="00A94C18" w:rsidRPr="00A94C18" w:rsidRDefault="00A94C18" w:rsidP="00C81505">
      <w:pPr>
        <w:spacing w:line="360" w:lineRule="auto"/>
        <w:jc w:val="both"/>
        <w:rPr>
          <w:i/>
          <w:lang w:val="en-US"/>
        </w:rPr>
      </w:pPr>
    </w:p>
    <w:p w14:paraId="1DB45202" w14:textId="77777777" w:rsidR="00A94C18" w:rsidRPr="00A94C18" w:rsidRDefault="00422F44" w:rsidP="00C81505">
      <w:pPr>
        <w:spacing w:line="360" w:lineRule="auto"/>
        <w:ind w:left="708"/>
        <w:jc w:val="both"/>
        <w:rPr>
          <w:i/>
          <w:lang w:val="en-US"/>
        </w:rPr>
      </w:pPr>
      <w:r w:rsidRPr="00422F44">
        <w:rPr>
          <w:i/>
          <w:lang w:val="en-US"/>
        </w:rPr>
        <w:lastRenderedPageBreak/>
        <w:t>-</w:t>
      </w:r>
      <w:r w:rsidR="00A94C18" w:rsidRPr="00A94C18">
        <w:rPr>
          <w:i/>
          <w:lang w:val="en-US"/>
        </w:rPr>
        <w:t xml:space="preserve">The on-site minutes of the statement verification of June 11, 2013 with the witness XXXXXXXXX indicating where the crime was committed on </w:t>
      </w:r>
      <w:proofErr w:type="spellStart"/>
      <w:r w:rsidR="00A94C18" w:rsidRPr="00A94C18">
        <w:rPr>
          <w:i/>
          <w:lang w:val="en-US"/>
        </w:rPr>
        <w:t>Petru</w:t>
      </w:r>
      <w:proofErr w:type="spellEnd"/>
      <w:r w:rsidR="00A94C18" w:rsidRPr="00A94C18">
        <w:rPr>
          <w:i/>
          <w:lang w:val="en-US"/>
        </w:rPr>
        <w:t xml:space="preserve"> </w:t>
      </w:r>
      <w:proofErr w:type="spellStart"/>
      <w:r w:rsidR="00A94C18" w:rsidRPr="00A94C18">
        <w:rPr>
          <w:i/>
          <w:lang w:val="en-US"/>
        </w:rPr>
        <w:t>Zadnipru</w:t>
      </w:r>
      <w:proofErr w:type="spellEnd"/>
      <w:r w:rsidR="00A94C18" w:rsidRPr="00A94C18">
        <w:rPr>
          <w:i/>
          <w:lang w:val="en-US"/>
        </w:rPr>
        <w:t xml:space="preserve"> Street, Chisinau, thus indicating where the injured party, </w:t>
      </w:r>
      <w:proofErr w:type="spellStart"/>
      <w:r w:rsidR="00A94C18" w:rsidRPr="00A94C18">
        <w:rPr>
          <w:i/>
          <w:lang w:val="en-US"/>
        </w:rPr>
        <w:t>Budei</w:t>
      </w:r>
      <w:proofErr w:type="spellEnd"/>
      <w:r w:rsidR="00A94C18" w:rsidRPr="00A94C18">
        <w:rPr>
          <w:i/>
          <w:lang w:val="en-US"/>
        </w:rPr>
        <w:t xml:space="preserve"> Igor was </w:t>
      </w:r>
      <w:proofErr w:type="spellStart"/>
      <w:r w:rsidR="00A94C18" w:rsidRPr="00A94C18">
        <w:rPr>
          <w:i/>
          <w:lang w:val="en-US"/>
        </w:rPr>
        <w:t>was</w:t>
      </w:r>
      <w:proofErr w:type="spellEnd"/>
      <w:r w:rsidR="00A94C18" w:rsidRPr="00A94C18">
        <w:rPr>
          <w:i/>
          <w:lang w:val="en-US"/>
        </w:rPr>
        <w:t xml:space="preserve"> hit by a white "Peugeot 307" vehicle (file page number 183);</w:t>
      </w:r>
    </w:p>
    <w:p w14:paraId="29BAE7A7" w14:textId="77777777" w:rsidR="00A94C18" w:rsidRPr="00A94C18" w:rsidRDefault="00422F44" w:rsidP="00C81505">
      <w:pPr>
        <w:spacing w:line="360" w:lineRule="auto"/>
        <w:ind w:left="708"/>
        <w:jc w:val="both"/>
        <w:rPr>
          <w:i/>
          <w:lang w:val="en-US"/>
        </w:rPr>
      </w:pPr>
      <w:r w:rsidRPr="00422F44">
        <w:rPr>
          <w:i/>
          <w:lang w:val="en-US"/>
        </w:rPr>
        <w:t>-</w:t>
      </w:r>
      <w:r w:rsidR="00A94C18" w:rsidRPr="00A94C18">
        <w:rPr>
          <w:i/>
          <w:lang w:val="en-US"/>
        </w:rPr>
        <w:t xml:space="preserve">The  on-site minutes of the statement verification of June 11, 2013 with the witness Braga Cornel, which indicated the place of the crime on </w:t>
      </w:r>
      <w:proofErr w:type="spellStart"/>
      <w:r w:rsidR="00A94C18" w:rsidRPr="00A94C18">
        <w:rPr>
          <w:i/>
          <w:lang w:val="en-US"/>
        </w:rPr>
        <w:t>Petru</w:t>
      </w:r>
      <w:proofErr w:type="spellEnd"/>
      <w:r w:rsidR="00A94C18" w:rsidRPr="00A94C18">
        <w:rPr>
          <w:i/>
          <w:lang w:val="en-US"/>
        </w:rPr>
        <w:t xml:space="preserve"> </w:t>
      </w:r>
      <w:proofErr w:type="spellStart"/>
      <w:r w:rsidR="00A94C18" w:rsidRPr="00A94C18">
        <w:rPr>
          <w:i/>
          <w:lang w:val="en-US"/>
        </w:rPr>
        <w:t>Zadnipru</w:t>
      </w:r>
      <w:proofErr w:type="spellEnd"/>
      <w:r w:rsidR="00A94C18" w:rsidRPr="00A94C18">
        <w:rPr>
          <w:i/>
          <w:lang w:val="en-US"/>
        </w:rPr>
        <w:t xml:space="preserve"> Street, Chisinau, thus indicated where the injured party XXXXXXXXX was hit by a white "Peugeot" vehicle (file page number 184-185);</w:t>
      </w:r>
    </w:p>
    <w:p w14:paraId="0255ABBE" w14:textId="77777777" w:rsidR="00A94C18" w:rsidRPr="00A94C18" w:rsidRDefault="00422F44" w:rsidP="00C81505">
      <w:pPr>
        <w:spacing w:line="360" w:lineRule="auto"/>
        <w:ind w:left="708"/>
        <w:jc w:val="both"/>
        <w:rPr>
          <w:i/>
          <w:lang w:val="en-US"/>
        </w:rPr>
      </w:pPr>
      <w:r w:rsidRPr="00422F44">
        <w:rPr>
          <w:i/>
          <w:lang w:val="en-US"/>
        </w:rPr>
        <w:t>-</w:t>
      </w:r>
      <w:r w:rsidR="00A94C18" w:rsidRPr="00A94C18">
        <w:rPr>
          <w:i/>
          <w:lang w:val="en-US"/>
        </w:rPr>
        <w:t>The confrontation minutes between the defendant XXXXXX and the injured party XXXX where the latter maintained their position, the injured party maintaining his statement of being hit by the defendant in his car (file page number 118-119);</w:t>
      </w:r>
    </w:p>
    <w:p w14:paraId="2BAA42BC" w14:textId="77777777" w:rsidR="00A94C18" w:rsidRPr="00A94C18" w:rsidRDefault="00422F44" w:rsidP="00C81505">
      <w:pPr>
        <w:spacing w:line="360" w:lineRule="auto"/>
        <w:ind w:left="708"/>
        <w:jc w:val="both"/>
        <w:rPr>
          <w:i/>
          <w:lang w:val="en-US"/>
        </w:rPr>
      </w:pPr>
      <w:r w:rsidRPr="00422F44">
        <w:rPr>
          <w:i/>
          <w:lang w:val="en-US"/>
        </w:rPr>
        <w:t>-</w:t>
      </w:r>
      <w:r w:rsidR="00A94C18" w:rsidRPr="00A94C18">
        <w:rPr>
          <w:i/>
          <w:lang w:val="en-US"/>
        </w:rPr>
        <w:t xml:space="preserve">The confrontation report between the accused XXXXXXXXX and the witness XXXXXXXXX through which each of them maintained their position, the witness indicating that the accused </w:t>
      </w:r>
      <w:proofErr w:type="spellStart"/>
      <w:r w:rsidR="00A94C18" w:rsidRPr="00A94C18">
        <w:rPr>
          <w:i/>
          <w:lang w:val="en-US"/>
        </w:rPr>
        <w:t>Dropca</w:t>
      </w:r>
      <w:proofErr w:type="spellEnd"/>
      <w:r w:rsidR="00A94C18" w:rsidRPr="00A94C18">
        <w:rPr>
          <w:i/>
          <w:lang w:val="en-US"/>
        </w:rPr>
        <w:t xml:space="preserve"> hit the injured party with his car (file page number 120-123);</w:t>
      </w:r>
    </w:p>
    <w:p w14:paraId="3DCEEE4E" w14:textId="77777777" w:rsidR="00A94C18" w:rsidRPr="00A94C18" w:rsidRDefault="00422F44" w:rsidP="00C81505">
      <w:pPr>
        <w:spacing w:line="360" w:lineRule="auto"/>
        <w:ind w:left="708"/>
        <w:jc w:val="both"/>
        <w:rPr>
          <w:i/>
          <w:lang w:val="en-US"/>
        </w:rPr>
      </w:pPr>
      <w:r w:rsidRPr="00422F44">
        <w:rPr>
          <w:i/>
          <w:lang w:val="en-US"/>
        </w:rPr>
        <w:t>-</w:t>
      </w:r>
      <w:r w:rsidR="00A94C18" w:rsidRPr="00A94C18">
        <w:rPr>
          <w:i/>
          <w:lang w:val="en-US"/>
        </w:rPr>
        <w:t xml:space="preserve">The confrontation report between the accused XXXXXXXXX and the witness </w:t>
      </w:r>
      <w:proofErr w:type="spellStart"/>
      <w:r w:rsidR="00A94C18" w:rsidRPr="00A94C18">
        <w:rPr>
          <w:i/>
          <w:lang w:val="en-US"/>
        </w:rPr>
        <w:t>Bogza</w:t>
      </w:r>
      <w:proofErr w:type="spellEnd"/>
      <w:r w:rsidR="00A94C18" w:rsidRPr="00A94C18">
        <w:rPr>
          <w:i/>
          <w:lang w:val="en-US"/>
        </w:rPr>
        <w:t xml:space="preserve"> Cornel through which each maintained his position so the witness said the accused </w:t>
      </w:r>
      <w:proofErr w:type="spellStart"/>
      <w:r w:rsidR="00A94C18" w:rsidRPr="00A94C18">
        <w:rPr>
          <w:i/>
          <w:lang w:val="en-US"/>
        </w:rPr>
        <w:t>Dropca</w:t>
      </w:r>
      <w:proofErr w:type="spellEnd"/>
      <w:r w:rsidR="00A94C18" w:rsidRPr="00A94C18">
        <w:rPr>
          <w:i/>
          <w:lang w:val="en-US"/>
        </w:rPr>
        <w:t xml:space="preserve"> him the injured party with his car (file page number 124-127);</w:t>
      </w:r>
    </w:p>
    <w:p w14:paraId="4699062B" w14:textId="77777777" w:rsidR="00A94C18" w:rsidRPr="00A94C18" w:rsidRDefault="00422F44" w:rsidP="00C81505">
      <w:pPr>
        <w:spacing w:line="360" w:lineRule="auto"/>
        <w:ind w:left="708"/>
        <w:jc w:val="both"/>
        <w:rPr>
          <w:i/>
          <w:lang w:val="en-US"/>
        </w:rPr>
      </w:pPr>
      <w:r w:rsidRPr="00422F44">
        <w:rPr>
          <w:i/>
          <w:lang w:val="en-US"/>
        </w:rPr>
        <w:t>-</w:t>
      </w:r>
      <w:r w:rsidR="00A94C18" w:rsidRPr="00A94C18">
        <w:rPr>
          <w:i/>
          <w:lang w:val="en-US"/>
        </w:rPr>
        <w:t>Recognition Ordinance as evidence of a CD-Disc with audio recordings, attached to criminal case (file page number 181);</w:t>
      </w:r>
    </w:p>
    <w:p w14:paraId="778E85AC" w14:textId="77777777" w:rsidR="00A94C18" w:rsidRPr="00A94C18" w:rsidRDefault="00422F44" w:rsidP="00C81505">
      <w:pPr>
        <w:spacing w:line="360" w:lineRule="auto"/>
        <w:ind w:left="708"/>
        <w:jc w:val="both"/>
        <w:rPr>
          <w:i/>
          <w:lang w:val="en-US"/>
        </w:rPr>
      </w:pPr>
      <w:r w:rsidRPr="00422F44">
        <w:rPr>
          <w:i/>
          <w:lang w:val="en-US"/>
        </w:rPr>
        <w:t>-</w:t>
      </w:r>
      <w:r w:rsidR="00A94C18" w:rsidRPr="00A94C18">
        <w:rPr>
          <w:i/>
          <w:lang w:val="en-US"/>
        </w:rPr>
        <w:t xml:space="preserve">Recognition Ordinance as evidence of car model "Peugeot 307" with license plate CPK 054, white with grey stripes, stored in the compound of Police Inspectorate, </w:t>
      </w:r>
      <w:proofErr w:type="spellStart"/>
      <w:r w:rsidR="00A94C18" w:rsidRPr="00A94C18">
        <w:rPr>
          <w:i/>
          <w:lang w:val="en-US"/>
        </w:rPr>
        <w:t>Ciocana</w:t>
      </w:r>
      <w:proofErr w:type="spellEnd"/>
      <w:r w:rsidR="00A94C18" w:rsidRPr="00A94C18">
        <w:rPr>
          <w:i/>
          <w:lang w:val="en-US"/>
        </w:rPr>
        <w:t xml:space="preserve"> Sector, Chisinau. (file page number 252).</w:t>
      </w:r>
    </w:p>
    <w:p w14:paraId="31AB0076" w14:textId="77777777" w:rsidR="00A94C18" w:rsidRPr="00A94C18" w:rsidRDefault="00A94C18" w:rsidP="00C81505">
      <w:pPr>
        <w:spacing w:line="360" w:lineRule="auto"/>
        <w:ind w:left="708"/>
        <w:jc w:val="both"/>
        <w:rPr>
          <w:i/>
          <w:lang w:val="en-US"/>
        </w:rPr>
      </w:pPr>
      <w:r w:rsidRPr="00A94C18">
        <w:rPr>
          <w:i/>
          <w:lang w:val="en-US"/>
        </w:rPr>
        <w:t>According to art. 101 (1) and (2) of the Criminal Procedure Code of the Republic of Moldova - each body of evidence is to be assessed from the point of view of its relevance, conclusiveness, utility and authenticity, and all the evidence as a whole - in terms of their corroboration. The judge assesses the evidence according to his own conviction, formed by their examination in their entirety, in all respects and objectively, guided by the law.</w:t>
      </w:r>
    </w:p>
    <w:p w14:paraId="083D74C7" w14:textId="77777777" w:rsidR="00A94C18" w:rsidRPr="00A94C18" w:rsidRDefault="00A94C18" w:rsidP="00C81505">
      <w:pPr>
        <w:spacing w:line="360" w:lineRule="auto"/>
        <w:ind w:left="708"/>
        <w:jc w:val="both"/>
        <w:rPr>
          <w:i/>
          <w:lang w:val="en-US"/>
        </w:rPr>
      </w:pPr>
      <w:r w:rsidRPr="00A94C18">
        <w:rPr>
          <w:i/>
          <w:lang w:val="en-US"/>
        </w:rPr>
        <w:t>The court, assessing the evidence from the point of view of their relevance, conclusiveness, utility and authenticity, from the point of view of their corroboration, establishes the deliberate commission by the defendant XXXXXXXXX of injurious actions within the limits of art. 151 (1) of the Criminal Code.</w:t>
      </w:r>
    </w:p>
    <w:p w14:paraId="38B5BBD4" w14:textId="77777777" w:rsidR="00A94C18" w:rsidRPr="00A94C18" w:rsidRDefault="00A94C18" w:rsidP="00C81505">
      <w:pPr>
        <w:spacing w:line="360" w:lineRule="auto"/>
        <w:ind w:left="708"/>
        <w:jc w:val="both"/>
        <w:rPr>
          <w:i/>
          <w:lang w:val="en-US"/>
        </w:rPr>
      </w:pPr>
      <w:r w:rsidRPr="00A94C18">
        <w:rPr>
          <w:i/>
          <w:lang w:val="en-US"/>
        </w:rPr>
        <w:lastRenderedPageBreak/>
        <w:t>The non-recognition of guilt by the defendant XXXXXXXXX the court considers as a defense method and his right not to be self-inflicted, the person who during the criminal trial has the procedural capacity of the defendant cannot be prosecuted for submitting false intentional statements, except in the cases expressly provided by the criminal procedural law.</w:t>
      </w:r>
    </w:p>
    <w:p w14:paraId="2EF37D12" w14:textId="77777777" w:rsidR="00A94C18" w:rsidRDefault="00A94C18" w:rsidP="00C81505">
      <w:pPr>
        <w:spacing w:line="360" w:lineRule="auto"/>
        <w:jc w:val="both"/>
        <w:rPr>
          <w:lang w:val="en-US"/>
        </w:rPr>
      </w:pPr>
    </w:p>
    <w:p w14:paraId="4E11F933" w14:textId="77777777" w:rsidR="00C541EF" w:rsidRDefault="002C6E52" w:rsidP="00C81505">
      <w:pPr>
        <w:spacing w:line="360" w:lineRule="auto"/>
        <w:jc w:val="both"/>
        <w:rPr>
          <w:lang w:val="en-US"/>
        </w:rPr>
      </w:pPr>
      <w:r>
        <w:rPr>
          <w:lang w:val="en-US"/>
        </w:rPr>
        <w:t xml:space="preserve">It is noteworthy that this is a </w:t>
      </w:r>
      <w:r w:rsidRPr="00FC5410">
        <w:rPr>
          <w:b/>
          <w:lang w:val="en-US"/>
        </w:rPr>
        <w:t>shortened</w:t>
      </w:r>
      <w:r>
        <w:rPr>
          <w:lang w:val="en-US"/>
        </w:rPr>
        <w:t xml:space="preserve"> version</w:t>
      </w:r>
      <w:r w:rsidR="00055636">
        <w:rPr>
          <w:lang w:val="en-US"/>
        </w:rPr>
        <w:t xml:space="preserve"> of the assessment of evidence. </w:t>
      </w:r>
      <w:r w:rsidR="00A150F7">
        <w:rPr>
          <w:lang w:val="en-US"/>
        </w:rPr>
        <w:t>The</w:t>
      </w:r>
      <w:r w:rsidR="00803BAC">
        <w:rPr>
          <w:lang w:val="en-US"/>
        </w:rPr>
        <w:t xml:space="preserve"> judgment the extract is taken from runs to 17 pages, </w:t>
      </w:r>
      <w:r w:rsidR="00803BAC" w:rsidRPr="00250AEE">
        <w:rPr>
          <w:lang w:val="en-US"/>
        </w:rPr>
        <w:t>13 of which contain a summary of witness statements or other evidence</w:t>
      </w:r>
      <w:r w:rsidR="00803BAC">
        <w:rPr>
          <w:lang w:val="en-US"/>
        </w:rPr>
        <w:t xml:space="preserve">. </w:t>
      </w:r>
      <w:r w:rsidR="00F766EA">
        <w:rPr>
          <w:lang w:val="en-US"/>
        </w:rPr>
        <w:t xml:space="preserve">It seems fair to assume that the judgment paints a </w:t>
      </w:r>
      <w:r w:rsidR="00D633FC">
        <w:rPr>
          <w:lang w:val="en-US"/>
        </w:rPr>
        <w:t>largely</w:t>
      </w:r>
      <w:r w:rsidR="00F766EA">
        <w:rPr>
          <w:lang w:val="en-US"/>
        </w:rPr>
        <w:t xml:space="preserve"> complete picture of the evidence presented during the trial. </w:t>
      </w:r>
      <w:r w:rsidR="00F766EA" w:rsidRPr="00130F3C">
        <w:rPr>
          <w:b/>
          <w:lang w:val="en-US"/>
        </w:rPr>
        <w:t>Yet it does not enable the reader to understand what led the court to conclude that the defendant was guilty as charged and that his version of the facts was not true</w:t>
      </w:r>
      <w:r w:rsidR="00F766EA">
        <w:rPr>
          <w:lang w:val="en-US"/>
        </w:rPr>
        <w:t xml:space="preserve">. On the contrary, the wealth of information renders it rather difficult to </w:t>
      </w:r>
      <w:r w:rsidR="00013835">
        <w:rPr>
          <w:lang w:val="en-US"/>
        </w:rPr>
        <w:t xml:space="preserve">see how the court evaluated the evidence. </w:t>
      </w:r>
    </w:p>
    <w:p w14:paraId="2291F551" w14:textId="20814D84" w:rsidR="00422F44" w:rsidRDefault="00013835" w:rsidP="00C81505">
      <w:pPr>
        <w:spacing w:line="360" w:lineRule="auto"/>
        <w:jc w:val="both"/>
        <w:rPr>
          <w:lang w:val="en-US"/>
        </w:rPr>
      </w:pPr>
      <w:r>
        <w:rPr>
          <w:lang w:val="en-US"/>
        </w:rPr>
        <w:t xml:space="preserve">This is, </w:t>
      </w:r>
      <w:r w:rsidRPr="00130F3C">
        <w:rPr>
          <w:b/>
          <w:lang w:val="en-US"/>
        </w:rPr>
        <w:t>firstly</w:t>
      </w:r>
      <w:r>
        <w:rPr>
          <w:lang w:val="en-US"/>
        </w:rPr>
        <w:t xml:space="preserve">, because the court does not confine itself to stating the most relevant parts of the testimonies given but presents them more or less in full. Facts which are legally not relevant (such as the fact that the ambulance had difficulties to find the injured person and which streets it took when approaching) are presented </w:t>
      </w:r>
      <w:r w:rsidR="00D633FC">
        <w:rPr>
          <w:lang w:val="en-US"/>
        </w:rPr>
        <w:t>in</w:t>
      </w:r>
      <w:r>
        <w:rPr>
          <w:lang w:val="en-US"/>
        </w:rPr>
        <w:t xml:space="preserve"> the same amount of detail as crucial statements (</w:t>
      </w:r>
      <w:r w:rsidR="00C541EF">
        <w:rPr>
          <w:lang w:val="en-US"/>
        </w:rPr>
        <w:t>e.g. the statement that a witness saw how the defendant ran into the injured person with his car).</w:t>
      </w:r>
    </w:p>
    <w:p w14:paraId="547CEB75" w14:textId="77777777" w:rsidR="00C541EF" w:rsidRDefault="00C541EF" w:rsidP="00C81505">
      <w:pPr>
        <w:spacing w:line="360" w:lineRule="auto"/>
        <w:jc w:val="both"/>
        <w:rPr>
          <w:lang w:val="en-US"/>
        </w:rPr>
      </w:pPr>
      <w:r w:rsidRPr="00130F3C">
        <w:rPr>
          <w:b/>
          <w:lang w:val="en-US"/>
        </w:rPr>
        <w:t>Secondly</w:t>
      </w:r>
      <w:r>
        <w:rPr>
          <w:lang w:val="en-US"/>
        </w:rPr>
        <w:t>, it is due to the fact that the court does not elaborate on how different pieces of evidence relate to each other. The judgment does not state, say, whether what witness A s</w:t>
      </w:r>
      <w:r w:rsidR="00D633FC">
        <w:rPr>
          <w:lang w:val="en-US"/>
        </w:rPr>
        <w:t>aid</w:t>
      </w:r>
      <w:r>
        <w:rPr>
          <w:lang w:val="en-US"/>
        </w:rPr>
        <w:t xml:space="preserve"> is consistent with the testimony of witness B and </w:t>
      </w:r>
      <w:r w:rsidR="00D633FC">
        <w:rPr>
          <w:lang w:val="en-US"/>
        </w:rPr>
        <w:t xml:space="preserve">if </w:t>
      </w:r>
      <w:r>
        <w:rPr>
          <w:lang w:val="en-US"/>
        </w:rPr>
        <w:t xml:space="preserve">their statements square with document C. Thus, the intellectual process the judge carried out when assessing the evidence remains opaque. </w:t>
      </w:r>
    </w:p>
    <w:p w14:paraId="5761C8D6" w14:textId="77777777" w:rsidR="00103F08" w:rsidRDefault="00103F08" w:rsidP="00C81505">
      <w:pPr>
        <w:spacing w:line="360" w:lineRule="auto"/>
        <w:jc w:val="both"/>
        <w:rPr>
          <w:lang w:val="en-US"/>
        </w:rPr>
      </w:pPr>
      <w:r w:rsidRPr="00130F3C">
        <w:rPr>
          <w:b/>
          <w:lang w:val="en-US"/>
        </w:rPr>
        <w:t>Finally</w:t>
      </w:r>
      <w:r>
        <w:rPr>
          <w:lang w:val="en-US"/>
        </w:rPr>
        <w:t xml:space="preserve">, the </w:t>
      </w:r>
      <w:r w:rsidR="00F854DD">
        <w:rPr>
          <w:lang w:val="en-US"/>
        </w:rPr>
        <w:t>court does not provide a qualitative assessment of the evidence. It does not state why it considered certain pieces of evidence as reliable or valuable in view of establishing the facts. Criteria frequently used to assess testimonies such as consistency, detailedness, an own interest in the outcome of the trial are not employed at all.</w:t>
      </w:r>
    </w:p>
    <w:p w14:paraId="5D6291B5" w14:textId="1B877C60" w:rsidR="00E34318" w:rsidRDefault="00E34318" w:rsidP="00C81505">
      <w:pPr>
        <w:spacing w:line="360" w:lineRule="auto"/>
        <w:jc w:val="both"/>
        <w:rPr>
          <w:lang w:val="en-US"/>
        </w:rPr>
      </w:pPr>
      <w:r>
        <w:rPr>
          <w:lang w:val="en-US"/>
        </w:rPr>
        <w:t xml:space="preserve">Relaying the evidence in full rather than summarizing it was – to different extents - a characteristic to be found in </w:t>
      </w:r>
      <w:r w:rsidR="009D1A2E">
        <w:rPr>
          <w:lang w:val="en-US"/>
        </w:rPr>
        <w:t xml:space="preserve">most </w:t>
      </w:r>
      <w:r>
        <w:rPr>
          <w:lang w:val="en-US"/>
        </w:rPr>
        <w:t>of the judgements scrutinized in the context of this report</w:t>
      </w:r>
    </w:p>
    <w:p w14:paraId="297CB009" w14:textId="77777777" w:rsidR="000621AA" w:rsidRDefault="000621AA" w:rsidP="00C81505">
      <w:pPr>
        <w:spacing w:line="360" w:lineRule="auto"/>
        <w:jc w:val="both"/>
        <w:rPr>
          <w:lang w:val="en-US"/>
        </w:rPr>
      </w:pPr>
    </w:p>
    <w:p w14:paraId="2F7A1699" w14:textId="77777777" w:rsidR="000621AA" w:rsidRDefault="000621AA" w:rsidP="00C81505">
      <w:pPr>
        <w:pStyle w:val="berschrift4"/>
        <w:spacing w:line="360" w:lineRule="auto"/>
        <w:rPr>
          <w:lang w:val="en-US"/>
        </w:rPr>
      </w:pPr>
      <w:r>
        <w:rPr>
          <w:lang w:val="en-US"/>
        </w:rPr>
        <w:t>Using of standard phrases instead of an assessment in the concrete case</w:t>
      </w:r>
    </w:p>
    <w:p w14:paraId="79C1B070" w14:textId="77777777" w:rsidR="000621AA" w:rsidRDefault="00794A8F" w:rsidP="00C81505">
      <w:pPr>
        <w:spacing w:line="360" w:lineRule="auto"/>
        <w:jc w:val="both"/>
        <w:rPr>
          <w:lang w:val="en-US"/>
        </w:rPr>
      </w:pPr>
      <w:r>
        <w:rPr>
          <w:lang w:val="en-US"/>
        </w:rPr>
        <w:t xml:space="preserve">Another observation in regard to the judgments I examined is that they often use certain </w:t>
      </w:r>
      <w:r w:rsidRPr="00130F3C">
        <w:rPr>
          <w:b/>
          <w:lang w:val="en-US"/>
        </w:rPr>
        <w:t>standard phrases</w:t>
      </w:r>
      <w:r>
        <w:rPr>
          <w:lang w:val="en-US"/>
        </w:rPr>
        <w:t xml:space="preserve"> when</w:t>
      </w:r>
      <w:r w:rsidR="00E9222E">
        <w:rPr>
          <w:lang w:val="en-US"/>
        </w:rPr>
        <w:t xml:space="preserve"> dealing with evidence. Judges tend to employ these phrases to justify a certain result </w:t>
      </w:r>
      <w:r w:rsidR="00E9222E" w:rsidRPr="00130F3C">
        <w:rPr>
          <w:b/>
          <w:lang w:val="en-US"/>
        </w:rPr>
        <w:t>instead of analyzing the individual piece evidence</w:t>
      </w:r>
      <w:r w:rsidR="00E9222E">
        <w:rPr>
          <w:lang w:val="en-US"/>
        </w:rPr>
        <w:t xml:space="preserve"> before them. If, for example, the court considers </w:t>
      </w:r>
      <w:r w:rsidR="00E9222E">
        <w:rPr>
          <w:lang w:val="en-US"/>
        </w:rPr>
        <w:lastRenderedPageBreak/>
        <w:t>the testimony of a witness unreliable, the judgement</w:t>
      </w:r>
      <w:r w:rsidR="00743BCD">
        <w:rPr>
          <w:lang w:val="en-US"/>
        </w:rPr>
        <w:t xml:space="preserve"> frequently</w:t>
      </w:r>
      <w:r w:rsidR="00E9222E">
        <w:rPr>
          <w:lang w:val="en-US"/>
        </w:rPr>
        <w:t xml:space="preserve"> states ‘</w:t>
      </w:r>
      <w:r w:rsidR="00E9222E" w:rsidRPr="00743BCD">
        <w:rPr>
          <w:i/>
          <w:lang w:val="en-US"/>
        </w:rPr>
        <w:t>the court assesses the testimony of witness X critically’</w:t>
      </w:r>
      <w:r w:rsidR="00E9222E">
        <w:rPr>
          <w:lang w:val="en-US"/>
        </w:rPr>
        <w:t xml:space="preserve"> and does not explain what exactly the shortcomings of the testimony were.</w:t>
      </w:r>
    </w:p>
    <w:p w14:paraId="169AB61F" w14:textId="77777777" w:rsidR="00C03050" w:rsidRDefault="00743BCD" w:rsidP="00C81505">
      <w:pPr>
        <w:spacing w:line="360" w:lineRule="auto"/>
        <w:jc w:val="both"/>
        <w:rPr>
          <w:lang w:val="en-US"/>
        </w:rPr>
      </w:pPr>
      <w:r>
        <w:rPr>
          <w:lang w:val="en-US"/>
        </w:rPr>
        <w:t>I</w:t>
      </w:r>
      <w:r w:rsidR="00DE2D4C">
        <w:rPr>
          <w:lang w:val="en-US"/>
        </w:rPr>
        <w:t xml:space="preserve">n a case decided by </w:t>
      </w:r>
      <w:r w:rsidR="00C03050">
        <w:rPr>
          <w:lang w:val="en-US"/>
        </w:rPr>
        <w:t xml:space="preserve">the </w:t>
      </w:r>
      <w:proofErr w:type="spellStart"/>
      <w:r w:rsidR="00C03050">
        <w:rPr>
          <w:lang w:val="en-US"/>
        </w:rPr>
        <w:t>Straseni</w:t>
      </w:r>
      <w:proofErr w:type="spellEnd"/>
      <w:r w:rsidR="00C03050">
        <w:rPr>
          <w:lang w:val="en-US"/>
        </w:rPr>
        <w:t xml:space="preserve"> District Court</w:t>
      </w:r>
      <w:r w:rsidR="00C03050">
        <w:rPr>
          <w:rStyle w:val="Funotenzeichen"/>
          <w:lang w:val="en-US"/>
        </w:rPr>
        <w:footnoteReference w:id="14"/>
      </w:r>
      <w:r w:rsidR="00C03050">
        <w:rPr>
          <w:lang w:val="en-US"/>
        </w:rPr>
        <w:t>, the defendant had been charged with providing false testimony in a trial. He maintained that his testimony had been truthful.  The court’s assessment of the evidence reads as follows:</w:t>
      </w:r>
    </w:p>
    <w:p w14:paraId="4849796F" w14:textId="77777777" w:rsidR="00C03050" w:rsidRPr="00C03050" w:rsidRDefault="00C03050" w:rsidP="00C81505">
      <w:pPr>
        <w:spacing w:line="360" w:lineRule="auto"/>
        <w:ind w:left="708"/>
        <w:jc w:val="both"/>
        <w:rPr>
          <w:i/>
          <w:lang w:val="en-GB"/>
        </w:rPr>
      </w:pPr>
      <w:r w:rsidRPr="00C03050">
        <w:rPr>
          <w:i/>
          <w:lang w:val="en-GB"/>
        </w:rPr>
        <w:t xml:space="preserve">The Court gives a critical assessment to the statements of defendant </w:t>
      </w:r>
      <w:proofErr w:type="spellStart"/>
      <w:r w:rsidRPr="00C03050">
        <w:rPr>
          <w:i/>
          <w:lang w:val="en-GB"/>
        </w:rPr>
        <w:t>Cioban</w:t>
      </w:r>
      <w:proofErr w:type="spellEnd"/>
      <w:r w:rsidRPr="00C03050">
        <w:rPr>
          <w:i/>
          <w:lang w:val="en-GB"/>
        </w:rPr>
        <w:t xml:space="preserve"> </w:t>
      </w:r>
      <w:proofErr w:type="spellStart"/>
      <w:r w:rsidRPr="00C03050">
        <w:rPr>
          <w:i/>
          <w:lang w:val="en-GB"/>
        </w:rPr>
        <w:t>Iurie</w:t>
      </w:r>
      <w:proofErr w:type="spellEnd"/>
      <w:r w:rsidRPr="00C03050">
        <w:rPr>
          <w:i/>
          <w:lang w:val="en-GB"/>
        </w:rPr>
        <w:t xml:space="preserve"> Victor, which are contradictory, opposing the statements of witnesses </w:t>
      </w:r>
      <w:proofErr w:type="spellStart"/>
      <w:r w:rsidRPr="00C03050">
        <w:rPr>
          <w:i/>
          <w:lang w:val="en-GB"/>
        </w:rPr>
        <w:t>Dodon</w:t>
      </w:r>
      <w:proofErr w:type="spellEnd"/>
      <w:r w:rsidRPr="00C03050">
        <w:rPr>
          <w:i/>
          <w:lang w:val="en-GB"/>
        </w:rPr>
        <w:t xml:space="preserve"> </w:t>
      </w:r>
      <w:proofErr w:type="spellStart"/>
      <w:r w:rsidRPr="00C03050">
        <w:rPr>
          <w:i/>
          <w:lang w:val="en-GB"/>
        </w:rPr>
        <w:t>Simion</w:t>
      </w:r>
      <w:proofErr w:type="spellEnd"/>
      <w:r w:rsidRPr="00C03050">
        <w:rPr>
          <w:i/>
          <w:lang w:val="en-GB"/>
        </w:rPr>
        <w:t xml:space="preserve"> and </w:t>
      </w:r>
      <w:proofErr w:type="spellStart"/>
      <w:r w:rsidRPr="00C03050">
        <w:rPr>
          <w:i/>
          <w:lang w:val="en-GB"/>
        </w:rPr>
        <w:t>Zubic</w:t>
      </w:r>
      <w:proofErr w:type="spellEnd"/>
      <w:r w:rsidRPr="00C03050">
        <w:rPr>
          <w:i/>
          <w:lang w:val="en-GB"/>
        </w:rPr>
        <w:t xml:space="preserve"> </w:t>
      </w:r>
      <w:proofErr w:type="spellStart"/>
      <w:r w:rsidRPr="00C03050">
        <w:rPr>
          <w:i/>
          <w:lang w:val="en-GB"/>
        </w:rPr>
        <w:t>Serghei</w:t>
      </w:r>
      <w:proofErr w:type="spellEnd"/>
      <w:r w:rsidRPr="00C03050">
        <w:rPr>
          <w:i/>
          <w:lang w:val="en-GB"/>
        </w:rPr>
        <w:t xml:space="preserve"> who confirmed within the court hearing that the defendant provided explanations voluntarily, with all details, not being influenced by anyone, he signed the minutes of the examination, a fact which was also not denied by the defendant within the court hearing.</w:t>
      </w:r>
    </w:p>
    <w:p w14:paraId="45C47DAD" w14:textId="77777777" w:rsidR="00C03050" w:rsidRPr="00C03050" w:rsidRDefault="00C03050" w:rsidP="00C81505">
      <w:pPr>
        <w:spacing w:line="360" w:lineRule="auto"/>
        <w:jc w:val="both"/>
        <w:rPr>
          <w:lang w:val="en-GB"/>
        </w:rPr>
      </w:pPr>
    </w:p>
    <w:p w14:paraId="1E163456" w14:textId="77777777" w:rsidR="00C03050" w:rsidRPr="00C03050" w:rsidRDefault="00C03050" w:rsidP="00C81505">
      <w:pPr>
        <w:spacing w:line="360" w:lineRule="auto"/>
        <w:ind w:left="708"/>
        <w:jc w:val="both"/>
        <w:rPr>
          <w:i/>
          <w:lang w:val="en-GB"/>
        </w:rPr>
      </w:pPr>
      <w:r w:rsidRPr="00C03050">
        <w:rPr>
          <w:i/>
          <w:lang w:val="en-GB"/>
        </w:rPr>
        <w:t xml:space="preserve">The Court also critically assesses the statements of the defendant that being driven by </w:t>
      </w:r>
      <w:proofErr w:type="spellStart"/>
      <w:r w:rsidRPr="00C03050">
        <w:rPr>
          <w:i/>
          <w:lang w:val="en-GB"/>
        </w:rPr>
        <w:t>Vrăncean</w:t>
      </w:r>
      <w:proofErr w:type="spellEnd"/>
      <w:r w:rsidRPr="00C03050">
        <w:rPr>
          <w:i/>
          <w:lang w:val="en-GB"/>
        </w:rPr>
        <w:t xml:space="preserve"> Ion to the hill, they all had a fight with each other, but </w:t>
      </w:r>
      <w:proofErr w:type="spellStart"/>
      <w:r w:rsidRPr="00C03050">
        <w:rPr>
          <w:i/>
          <w:lang w:val="en-GB"/>
        </w:rPr>
        <w:t>Vrîncean</w:t>
      </w:r>
      <w:proofErr w:type="spellEnd"/>
      <w:r w:rsidRPr="00C03050">
        <w:rPr>
          <w:i/>
          <w:lang w:val="en-GB"/>
        </w:rPr>
        <w:t xml:space="preserve"> Ion did not beat anyone, as a version of defence, in order to avoid liability for the actions committed by him and in order to exonerate defendant </w:t>
      </w:r>
      <w:proofErr w:type="spellStart"/>
      <w:r w:rsidRPr="00C03050">
        <w:rPr>
          <w:i/>
          <w:lang w:val="en-GB"/>
        </w:rPr>
        <w:t>Vrîncean</w:t>
      </w:r>
      <w:proofErr w:type="spellEnd"/>
      <w:r w:rsidRPr="00C03050">
        <w:rPr>
          <w:i/>
          <w:lang w:val="en-GB"/>
        </w:rPr>
        <w:t xml:space="preserve"> Ion from criminal liability; this argument of the defendant is rebutted by the evidence examined within the court hearing. His guilt is confirmed through the cumulation of pieces of evidence presented within the court hearing, which are corroborated and interconnected with each other, pertinent and conclusive evidence, gathered and managed within criminal investigation and directly presented within the court hearing.</w:t>
      </w:r>
    </w:p>
    <w:p w14:paraId="54E27C97" w14:textId="77777777" w:rsidR="00C03050" w:rsidRDefault="00C03050" w:rsidP="00C81505">
      <w:pPr>
        <w:spacing w:line="360" w:lineRule="auto"/>
        <w:ind w:left="708"/>
        <w:jc w:val="both"/>
        <w:rPr>
          <w:i/>
          <w:lang w:val="en-GB"/>
        </w:rPr>
      </w:pPr>
      <w:r w:rsidRPr="00C03050">
        <w:rPr>
          <w:i/>
          <w:lang w:val="en-GB"/>
        </w:rPr>
        <w:t xml:space="preserve">Having assessed the evidence presented within the court hearing, the Court considers that the guilt of defendant </w:t>
      </w:r>
      <w:proofErr w:type="spellStart"/>
      <w:r w:rsidRPr="00C03050">
        <w:rPr>
          <w:i/>
          <w:lang w:val="en-GB"/>
        </w:rPr>
        <w:t>Cioban</w:t>
      </w:r>
      <w:proofErr w:type="spellEnd"/>
      <w:r w:rsidRPr="00C03050">
        <w:rPr>
          <w:i/>
          <w:lang w:val="en-GB"/>
        </w:rPr>
        <w:t xml:space="preserve"> </w:t>
      </w:r>
      <w:proofErr w:type="spellStart"/>
      <w:r w:rsidRPr="00C03050">
        <w:rPr>
          <w:i/>
          <w:lang w:val="en-GB"/>
        </w:rPr>
        <w:t>Iurie</w:t>
      </w:r>
      <w:proofErr w:type="spellEnd"/>
      <w:r w:rsidRPr="00C03050">
        <w:rPr>
          <w:i/>
          <w:lang w:val="en-GB"/>
        </w:rPr>
        <w:t xml:space="preserve"> Victor is entirely proven, and his   actions are to be qualified on the basis of art. 312 </w:t>
      </w:r>
      <w:proofErr w:type="gramStart"/>
      <w:r w:rsidRPr="00C03050">
        <w:rPr>
          <w:i/>
          <w:lang w:val="en-GB"/>
        </w:rPr>
        <w:t>para.(</w:t>
      </w:r>
      <w:proofErr w:type="gramEnd"/>
      <w:r w:rsidRPr="00C03050">
        <w:rPr>
          <w:i/>
          <w:lang w:val="en-GB"/>
        </w:rPr>
        <w:t>1) of the Criminal Code - knowingly making of the false statement by the injured party, action which was committed within criminal proceedings.</w:t>
      </w:r>
    </w:p>
    <w:p w14:paraId="0FD29349" w14:textId="77777777" w:rsidR="00C03050" w:rsidRPr="00C03050" w:rsidRDefault="00C03050" w:rsidP="00C81505">
      <w:pPr>
        <w:spacing w:line="360" w:lineRule="auto"/>
        <w:jc w:val="both"/>
        <w:rPr>
          <w:lang w:val="en-GB"/>
        </w:rPr>
      </w:pPr>
    </w:p>
    <w:p w14:paraId="1C69169D" w14:textId="77777777" w:rsidR="00C03050" w:rsidRDefault="007D2353" w:rsidP="00C81505">
      <w:pPr>
        <w:spacing w:line="360" w:lineRule="auto"/>
        <w:jc w:val="both"/>
        <w:rPr>
          <w:lang w:val="en-GB"/>
        </w:rPr>
      </w:pPr>
      <w:r>
        <w:rPr>
          <w:lang w:val="en-GB"/>
        </w:rPr>
        <w:t xml:space="preserve">The court states that it considered the testimony that the </w:t>
      </w:r>
      <w:proofErr w:type="spellStart"/>
      <w:r>
        <w:rPr>
          <w:lang w:val="en-GB"/>
        </w:rPr>
        <w:t>Vrincean</w:t>
      </w:r>
      <w:proofErr w:type="spellEnd"/>
      <w:r>
        <w:rPr>
          <w:lang w:val="en-GB"/>
        </w:rPr>
        <w:t xml:space="preserve"> Ion had not beaten anybody rebutted by the cumulation of pieces of evidence which are </w:t>
      </w:r>
      <w:r w:rsidR="00743BCD">
        <w:rPr>
          <w:lang w:val="en-GB"/>
        </w:rPr>
        <w:t>‘</w:t>
      </w:r>
      <w:r>
        <w:rPr>
          <w:lang w:val="en-GB"/>
        </w:rPr>
        <w:t>corroborated and interconnected</w:t>
      </w:r>
      <w:r w:rsidR="00743BCD">
        <w:rPr>
          <w:lang w:val="en-GB"/>
        </w:rPr>
        <w:t>’</w:t>
      </w:r>
      <w:r>
        <w:rPr>
          <w:lang w:val="en-GB"/>
        </w:rPr>
        <w:t>. How the pieces of evidence are interconnected and in what way the</w:t>
      </w:r>
      <w:r w:rsidR="00743BCD">
        <w:rPr>
          <w:lang w:val="en-GB"/>
        </w:rPr>
        <w:t>y</w:t>
      </w:r>
      <w:r>
        <w:rPr>
          <w:lang w:val="en-GB"/>
        </w:rPr>
        <w:t xml:space="preserve"> corroborate each other remains unclear.</w:t>
      </w:r>
    </w:p>
    <w:p w14:paraId="06953644" w14:textId="37BB23ED" w:rsidR="00264620" w:rsidRDefault="00264620" w:rsidP="00C81505">
      <w:pPr>
        <w:spacing w:line="360" w:lineRule="auto"/>
        <w:jc w:val="both"/>
        <w:rPr>
          <w:lang w:val="en-GB"/>
        </w:rPr>
      </w:pPr>
      <w:r>
        <w:rPr>
          <w:lang w:val="en-GB"/>
        </w:rPr>
        <w:lastRenderedPageBreak/>
        <w:t>This kind of reasoning was to be found in some 70% of the judgments examined for purposes of this report.</w:t>
      </w:r>
    </w:p>
    <w:p w14:paraId="254F8F25" w14:textId="77777777" w:rsidR="00A52138" w:rsidRDefault="00A52138" w:rsidP="00C81505">
      <w:pPr>
        <w:spacing w:line="360" w:lineRule="auto"/>
        <w:jc w:val="both"/>
        <w:rPr>
          <w:lang w:val="en-GB"/>
        </w:rPr>
      </w:pPr>
    </w:p>
    <w:p w14:paraId="78333A02" w14:textId="77777777" w:rsidR="00A52138" w:rsidRDefault="00A52138" w:rsidP="00C81505">
      <w:pPr>
        <w:pStyle w:val="berschrift3"/>
        <w:spacing w:line="360" w:lineRule="auto"/>
        <w:rPr>
          <w:lang w:val="en-GB"/>
        </w:rPr>
      </w:pPr>
      <w:bookmarkStart w:id="12" w:name="_Toc3821708"/>
      <w:r>
        <w:rPr>
          <w:lang w:val="en-GB"/>
        </w:rPr>
        <w:t>Legal assessment</w:t>
      </w:r>
      <w:bookmarkEnd w:id="12"/>
    </w:p>
    <w:p w14:paraId="60454813" w14:textId="77777777" w:rsidR="00D45B89" w:rsidRDefault="005B3EC5" w:rsidP="00C81505">
      <w:pPr>
        <w:spacing w:line="360" w:lineRule="auto"/>
        <w:jc w:val="both"/>
        <w:rPr>
          <w:lang w:val="en-GB"/>
        </w:rPr>
      </w:pPr>
      <w:r>
        <w:rPr>
          <w:lang w:val="en-GB"/>
        </w:rPr>
        <w:t>Having established the facts of the case, the court has to apply the law to them. This does not mean, that the court simply states the result of its legal assessment or the conclusion it derived from the law. The reasoning should reflect the thought</w:t>
      </w:r>
      <w:r w:rsidR="00743BCD">
        <w:rPr>
          <w:lang w:val="en-GB"/>
        </w:rPr>
        <w:t>-</w:t>
      </w:r>
      <w:r>
        <w:rPr>
          <w:lang w:val="en-GB"/>
        </w:rPr>
        <w:t>process the judge carried out when applying the law; it should become clear which facts correspond to the requirements of a given provision or how specifically the provision applies to specific facts of the case</w:t>
      </w:r>
      <w:r w:rsidR="00D45B89">
        <w:rPr>
          <w:lang w:val="en-GB"/>
        </w:rPr>
        <w:t>. The reasoning has to highlight the legal issues of the case and to explain the court’s position on them. Most of the judgements I analysed for purposes of this report failed to achieve this goal. There are several reasons for that:</w:t>
      </w:r>
    </w:p>
    <w:p w14:paraId="5CEAE9BA" w14:textId="77777777" w:rsidR="008F783B" w:rsidRDefault="008F783B" w:rsidP="00C81505">
      <w:pPr>
        <w:spacing w:line="360" w:lineRule="auto"/>
        <w:jc w:val="both"/>
        <w:rPr>
          <w:lang w:val="en-GB"/>
        </w:rPr>
      </w:pPr>
    </w:p>
    <w:p w14:paraId="3B1562D5" w14:textId="77777777" w:rsidR="008F783B" w:rsidRDefault="005C0FE9" w:rsidP="00C81505">
      <w:pPr>
        <w:pStyle w:val="berschrift4"/>
        <w:spacing w:line="360" w:lineRule="auto"/>
        <w:rPr>
          <w:lang w:val="en-GB"/>
        </w:rPr>
      </w:pPr>
      <w:r>
        <w:rPr>
          <w:lang w:val="en-GB"/>
        </w:rPr>
        <w:t>J</w:t>
      </w:r>
      <w:r w:rsidR="008F783B">
        <w:rPr>
          <w:lang w:val="en-GB"/>
        </w:rPr>
        <w:t>udgments do not reflect how the facts correspond to legal requirements of provisions</w:t>
      </w:r>
    </w:p>
    <w:p w14:paraId="3E7D4C30" w14:textId="77777777" w:rsidR="008F783B" w:rsidRDefault="00052E57" w:rsidP="00C81505">
      <w:pPr>
        <w:spacing w:line="360" w:lineRule="auto"/>
        <w:jc w:val="both"/>
        <w:rPr>
          <w:lang w:val="en-GB"/>
        </w:rPr>
      </w:pPr>
      <w:r>
        <w:rPr>
          <w:lang w:val="en-GB"/>
        </w:rPr>
        <w:t>Most legal provisions consist of several requirements</w:t>
      </w:r>
      <w:r w:rsidR="0017778F">
        <w:rPr>
          <w:lang w:val="en-GB"/>
        </w:rPr>
        <w:t xml:space="preserve">. If all requirements are fulfilled, the law ties a specific legal consequence (e.g. a liability to compensation) to that. It is good practice to go through all requirements contained in a legal provision individually and to apply them to the facts. </w:t>
      </w:r>
      <w:r w:rsidR="000B293C">
        <w:rPr>
          <w:lang w:val="en-GB"/>
        </w:rPr>
        <w:t xml:space="preserve">This renders the process of legal assessment more comprehensible to the reader. It also helps the judge to control </w:t>
      </w:r>
      <w:r w:rsidR="00743BCD">
        <w:rPr>
          <w:lang w:val="en-GB"/>
        </w:rPr>
        <w:t>the way he formed his opinion</w:t>
      </w:r>
      <w:r w:rsidR="000B293C">
        <w:rPr>
          <w:lang w:val="en-GB"/>
        </w:rPr>
        <w:t xml:space="preserve">. </w:t>
      </w:r>
    </w:p>
    <w:p w14:paraId="67E099DD" w14:textId="3EF50AA8" w:rsidR="000B293C" w:rsidRDefault="000B293C" w:rsidP="00C81505">
      <w:pPr>
        <w:spacing w:line="360" w:lineRule="auto"/>
        <w:jc w:val="both"/>
        <w:rPr>
          <w:lang w:val="en-GB"/>
        </w:rPr>
      </w:pPr>
      <w:r>
        <w:rPr>
          <w:lang w:val="en-GB"/>
        </w:rPr>
        <w:t>Judgments analysed in the frame of this report frequently failed to reflect how the facts matched individual requirements or components of legal provisions. Rather, the</w:t>
      </w:r>
      <w:r w:rsidR="008B41CF">
        <w:rPr>
          <w:lang w:val="en-GB"/>
        </w:rPr>
        <w:t>y</w:t>
      </w:r>
      <w:r>
        <w:rPr>
          <w:lang w:val="en-GB"/>
        </w:rPr>
        <w:t xml:space="preserve"> simply quoted a provision and stated that applying it had led the court to a specific result. </w:t>
      </w:r>
      <w:r w:rsidR="009D7863">
        <w:rPr>
          <w:lang w:val="en-GB"/>
        </w:rPr>
        <w:t>A judgment render</w:t>
      </w:r>
      <w:r w:rsidR="00E261DB">
        <w:rPr>
          <w:lang w:val="en-GB"/>
        </w:rPr>
        <w:t xml:space="preserve">ed by the court of </w:t>
      </w:r>
      <w:proofErr w:type="spellStart"/>
      <w:proofErr w:type="gramStart"/>
      <w:r w:rsidR="00E261DB">
        <w:rPr>
          <w:lang w:val="en-GB"/>
        </w:rPr>
        <w:t>Aneni</w:t>
      </w:r>
      <w:proofErr w:type="spellEnd"/>
      <w:r w:rsidR="00E261DB">
        <w:rPr>
          <w:lang w:val="en-GB"/>
        </w:rPr>
        <w:t xml:space="preserve"> </w:t>
      </w:r>
      <w:r w:rsidR="00130F3C">
        <w:rPr>
          <w:lang w:val="en-GB"/>
        </w:rPr>
        <w:t xml:space="preserve"> Noi</w:t>
      </w:r>
      <w:proofErr w:type="gramEnd"/>
      <w:r w:rsidR="00E261DB">
        <w:rPr>
          <w:lang w:val="en-GB"/>
        </w:rPr>
        <w:t xml:space="preserve"> in a homicide case</w:t>
      </w:r>
      <w:r w:rsidR="008B1F97">
        <w:rPr>
          <w:rStyle w:val="Funotenzeichen"/>
          <w:lang w:val="en-GB"/>
        </w:rPr>
        <w:footnoteReference w:id="15"/>
      </w:r>
      <w:r w:rsidR="00E261DB">
        <w:rPr>
          <w:lang w:val="en-GB"/>
        </w:rPr>
        <w:t xml:space="preserve"> may serve as an example.</w:t>
      </w:r>
    </w:p>
    <w:p w14:paraId="2E7B979E" w14:textId="77777777" w:rsidR="00E261DB" w:rsidRDefault="00E261DB" w:rsidP="00C81505">
      <w:pPr>
        <w:spacing w:line="360" w:lineRule="auto"/>
        <w:jc w:val="both"/>
        <w:rPr>
          <w:lang w:val="en-GB"/>
        </w:rPr>
      </w:pPr>
      <w:r>
        <w:rPr>
          <w:lang w:val="en-GB"/>
        </w:rPr>
        <w:t>At the outset, the judgment sets out the court’s finding:</w:t>
      </w:r>
    </w:p>
    <w:p w14:paraId="56744431" w14:textId="77777777" w:rsidR="00E261DB" w:rsidRPr="00E261DB" w:rsidRDefault="00E261DB" w:rsidP="00C81505">
      <w:pPr>
        <w:spacing w:line="360" w:lineRule="auto"/>
        <w:ind w:left="708"/>
        <w:jc w:val="both"/>
        <w:rPr>
          <w:i/>
          <w:lang w:val="en-GB"/>
        </w:rPr>
      </w:pPr>
      <w:r w:rsidRPr="00E261DB">
        <w:rPr>
          <w:i/>
          <w:lang w:val="en-GB"/>
        </w:rPr>
        <w:t>On the basis of the materials in the casefile and the evidence administered at the hearing, the court</w:t>
      </w:r>
    </w:p>
    <w:p w14:paraId="4568E3B1" w14:textId="77777777" w:rsidR="00E261DB" w:rsidRPr="00E261DB" w:rsidRDefault="00E261DB" w:rsidP="00C81505">
      <w:pPr>
        <w:spacing w:line="360" w:lineRule="auto"/>
        <w:ind w:firstLine="708"/>
        <w:jc w:val="both"/>
        <w:rPr>
          <w:b/>
          <w:lang w:val="en-GB"/>
        </w:rPr>
      </w:pPr>
      <w:proofErr w:type="gramStart"/>
      <w:r w:rsidRPr="00E261DB">
        <w:rPr>
          <w:b/>
          <w:lang w:val="en-GB"/>
        </w:rPr>
        <w:t>found :</w:t>
      </w:r>
      <w:proofErr w:type="gramEnd"/>
    </w:p>
    <w:p w14:paraId="63F3D99C" w14:textId="77777777" w:rsidR="00E261DB" w:rsidRPr="00E261DB" w:rsidRDefault="00E261DB" w:rsidP="00C81505">
      <w:pPr>
        <w:spacing w:line="360" w:lineRule="auto"/>
        <w:ind w:left="708"/>
        <w:jc w:val="both"/>
        <w:rPr>
          <w:i/>
          <w:lang w:val="en-GB"/>
        </w:rPr>
      </w:pPr>
      <w:r w:rsidRPr="00E261DB">
        <w:rPr>
          <w:i/>
          <w:lang w:val="en-GB"/>
        </w:rPr>
        <w:t xml:space="preserve">In the time period from 16 to 17 xx2016, located in apartment no. 3 on xxx str., Bender, with the direct intention of killing the person, applied to Elena </w:t>
      </w:r>
      <w:proofErr w:type="spellStart"/>
      <w:r w:rsidRPr="00E261DB">
        <w:rPr>
          <w:i/>
          <w:lang w:val="en-GB"/>
        </w:rPr>
        <w:t>Semionova</w:t>
      </w:r>
      <w:proofErr w:type="spellEnd"/>
      <w:r w:rsidRPr="00E261DB">
        <w:rPr>
          <w:i/>
          <w:lang w:val="en-GB"/>
        </w:rPr>
        <w:t xml:space="preserve">, with whom he was in concubinage, multiple punches and kicks, as well as with other unidentified objects in different regions of the body, causing more bodily injuries, namely: head trauma, chest and abdomen </w:t>
      </w:r>
      <w:r w:rsidRPr="00E261DB">
        <w:rPr>
          <w:i/>
          <w:lang w:val="en-GB"/>
        </w:rPr>
        <w:lastRenderedPageBreak/>
        <w:t>associated trauma, occipital bone fracture, multiple bilateral fractures</w:t>
      </w:r>
      <w:bookmarkStart w:id="13" w:name="page2"/>
      <w:bookmarkEnd w:id="13"/>
      <w:r w:rsidRPr="00E261DB">
        <w:rPr>
          <w:i/>
          <w:lang w:val="en-GB"/>
        </w:rPr>
        <w:t xml:space="preserve"> of ribs, rupture of the liver, left kidney contusion. As a result of body injuries received, the victim died.</w:t>
      </w:r>
    </w:p>
    <w:p w14:paraId="1CF02D7C" w14:textId="77777777" w:rsidR="000F4718" w:rsidRDefault="00E261DB" w:rsidP="00C81505">
      <w:pPr>
        <w:spacing w:line="360" w:lineRule="auto"/>
        <w:jc w:val="both"/>
        <w:rPr>
          <w:rFonts w:ascii="Arial" w:eastAsia="Arial" w:hAnsi="Arial" w:cs="Arial"/>
          <w:sz w:val="18"/>
          <w:szCs w:val="20"/>
          <w:lang w:val="en-GB" w:eastAsia="ru-RU"/>
        </w:rPr>
      </w:pPr>
      <w:r>
        <w:rPr>
          <w:lang w:val="en-GB"/>
        </w:rPr>
        <w:t>Under the headline ‘</w:t>
      </w:r>
      <w:r w:rsidRPr="005B0076">
        <w:rPr>
          <w:i/>
          <w:lang w:val="en-GB"/>
        </w:rPr>
        <w:t>circumstances established in the judicial examination’</w:t>
      </w:r>
      <w:r>
        <w:rPr>
          <w:lang w:val="en-GB"/>
        </w:rPr>
        <w:t xml:space="preserve"> the court goes on to summarize witness statements and </w:t>
      </w:r>
      <w:r w:rsidR="000F4718">
        <w:rPr>
          <w:lang w:val="en-GB"/>
        </w:rPr>
        <w:t>other evidence over more than 13 pages. It concludes that the defendant’s guilt is proven. The full assessment of the legal qualification of the defendant’s actions reads:</w:t>
      </w:r>
      <w:r w:rsidR="000F4718" w:rsidRPr="000F4718">
        <w:rPr>
          <w:rFonts w:ascii="Arial" w:eastAsia="Arial" w:hAnsi="Arial" w:cs="Arial"/>
          <w:sz w:val="18"/>
          <w:szCs w:val="20"/>
          <w:lang w:val="en-GB" w:eastAsia="ru-RU"/>
        </w:rPr>
        <w:t xml:space="preserve"> </w:t>
      </w:r>
    </w:p>
    <w:p w14:paraId="450DB288" w14:textId="77777777" w:rsidR="000F4718" w:rsidRDefault="000F4718" w:rsidP="00C81505">
      <w:pPr>
        <w:spacing w:line="360" w:lineRule="auto"/>
        <w:ind w:left="708"/>
        <w:jc w:val="both"/>
        <w:rPr>
          <w:lang w:val="en-GB"/>
        </w:rPr>
      </w:pPr>
      <w:r w:rsidRPr="005B0076">
        <w:rPr>
          <w:i/>
          <w:lang w:val="en-GB"/>
        </w:rPr>
        <w:t xml:space="preserve">On the basis of the above mentioned, the court qualifies the actions of the defendant on the basis of art.145 par. (2) </w:t>
      </w:r>
      <w:proofErr w:type="gramStart"/>
      <w:r w:rsidRPr="005B0076">
        <w:rPr>
          <w:i/>
          <w:lang w:val="en-GB"/>
        </w:rPr>
        <w:t>lit.e</w:t>
      </w:r>
      <w:proofErr w:type="gramEnd"/>
      <w:r w:rsidRPr="005B0076">
        <w:rPr>
          <w:i/>
          <w:lang w:val="en-GB"/>
        </w:rPr>
        <w:t>1) j) Criminal Code of the Republic of Moldova, following the signs: killing a person committed against a family member and with great cruelty</w:t>
      </w:r>
      <w:r w:rsidRPr="000F4718">
        <w:rPr>
          <w:lang w:val="en-GB"/>
        </w:rPr>
        <w:t>.</w:t>
      </w:r>
    </w:p>
    <w:p w14:paraId="3986E5FF" w14:textId="77777777" w:rsidR="005B0076" w:rsidRDefault="005B0076" w:rsidP="00C81505">
      <w:pPr>
        <w:spacing w:line="360" w:lineRule="auto"/>
        <w:jc w:val="both"/>
        <w:rPr>
          <w:lang w:val="en-GB"/>
        </w:rPr>
      </w:pPr>
      <w:r>
        <w:rPr>
          <w:lang w:val="en-GB"/>
        </w:rPr>
        <w:t xml:space="preserve">In what way precisely the defendant fulfilled the requirements of this provision remains unclear. </w:t>
      </w:r>
      <w:r w:rsidR="00CF3216">
        <w:rPr>
          <w:lang w:val="en-GB"/>
        </w:rPr>
        <w:t xml:space="preserve">It is possible that the legal qualification of the deed did not give rise to any difficult legal issues under Moldovan law. Anyway, the judgments should demonstrate how the court applied the law to the case and at least shortly elaborate on points which might merit </w:t>
      </w:r>
      <w:r w:rsidR="00834A37">
        <w:rPr>
          <w:lang w:val="en-GB"/>
        </w:rPr>
        <w:t>an explanation</w:t>
      </w:r>
      <w:r w:rsidR="00CF3216">
        <w:rPr>
          <w:lang w:val="en-GB"/>
        </w:rPr>
        <w:t xml:space="preserve">. </w:t>
      </w:r>
      <w:r w:rsidR="00834A37">
        <w:rPr>
          <w:lang w:val="en-GB"/>
        </w:rPr>
        <w:t>For example, the provision requires that a ‘</w:t>
      </w:r>
      <w:r w:rsidR="00834A37" w:rsidRPr="00834A37">
        <w:rPr>
          <w:i/>
          <w:lang w:val="en-GB"/>
        </w:rPr>
        <w:t>family mem</w:t>
      </w:r>
      <w:r w:rsidR="00834A37">
        <w:rPr>
          <w:lang w:val="en-GB"/>
        </w:rPr>
        <w:t xml:space="preserve">ber’ be killed. The judgment states that the defendant lived </w:t>
      </w:r>
      <w:r w:rsidR="00834A37" w:rsidRPr="00834A37">
        <w:rPr>
          <w:i/>
          <w:lang w:val="en-GB"/>
        </w:rPr>
        <w:t xml:space="preserve">‘in concubinage’ </w:t>
      </w:r>
      <w:r w:rsidR="00834A37">
        <w:rPr>
          <w:lang w:val="en-GB"/>
        </w:rPr>
        <w:t xml:space="preserve">with the victim. It seems worth explaining </w:t>
      </w:r>
      <w:r w:rsidR="003F4010">
        <w:rPr>
          <w:lang w:val="en-GB"/>
        </w:rPr>
        <w:t>in how far a person w</w:t>
      </w:r>
      <w:r w:rsidR="00335553">
        <w:rPr>
          <w:lang w:val="en-GB"/>
        </w:rPr>
        <w:t>ith</w:t>
      </w:r>
      <w:r w:rsidR="003F4010">
        <w:rPr>
          <w:lang w:val="en-GB"/>
        </w:rPr>
        <w:t xml:space="preserve"> whom one lives in </w:t>
      </w:r>
      <w:r w:rsidR="00335553">
        <w:rPr>
          <w:lang w:val="en-GB"/>
        </w:rPr>
        <w:t>‘</w:t>
      </w:r>
      <w:r w:rsidR="003F4010">
        <w:rPr>
          <w:lang w:val="en-GB"/>
        </w:rPr>
        <w:t>concubinage</w:t>
      </w:r>
      <w:r w:rsidR="00335553">
        <w:rPr>
          <w:lang w:val="en-GB"/>
        </w:rPr>
        <w:t>’</w:t>
      </w:r>
      <w:r w:rsidR="003F4010">
        <w:rPr>
          <w:lang w:val="en-GB"/>
        </w:rPr>
        <w:t xml:space="preserve"> is considered a family member under the law. The judgment should also explain the definition of the term ‘concubinage’ and its implications (is sharing a flat required? Are sexual contacts a necessary component? Are they sufficient to establish ‘concubinage’?)</w:t>
      </w:r>
    </w:p>
    <w:p w14:paraId="07323245" w14:textId="77777777" w:rsidR="006A5A98" w:rsidRDefault="006A5A98" w:rsidP="00C81505">
      <w:pPr>
        <w:spacing w:line="360" w:lineRule="auto"/>
        <w:jc w:val="both"/>
        <w:rPr>
          <w:lang w:val="en-GB"/>
        </w:rPr>
      </w:pPr>
      <w:r>
        <w:rPr>
          <w:lang w:val="en-GB"/>
        </w:rPr>
        <w:t xml:space="preserve">The judgment also fails to define what ‘great cruelty’ means and how </w:t>
      </w:r>
      <w:r w:rsidR="00E4604A">
        <w:rPr>
          <w:lang w:val="en-GB"/>
        </w:rPr>
        <w:t>the defendant’</w:t>
      </w:r>
      <w:r w:rsidR="00423E78">
        <w:rPr>
          <w:lang w:val="en-GB"/>
        </w:rPr>
        <w:t>s</w:t>
      </w:r>
      <w:r w:rsidR="00E4604A">
        <w:rPr>
          <w:lang w:val="en-GB"/>
        </w:rPr>
        <w:t xml:space="preserve"> actions match the requirements of this legal notion.</w:t>
      </w:r>
      <w:r w:rsidR="00477A1E">
        <w:rPr>
          <w:lang w:val="en-GB"/>
        </w:rPr>
        <w:t xml:space="preserve"> As a consequence, it </w:t>
      </w:r>
      <w:r w:rsidR="007934EC">
        <w:rPr>
          <w:lang w:val="en-GB"/>
        </w:rPr>
        <w:t xml:space="preserve">is impossible for the reader to understand the reasoning of the court and to form an opinion whether the requirements of the provision the court applied were satisfied. </w:t>
      </w:r>
    </w:p>
    <w:p w14:paraId="2BBF313F" w14:textId="198AEAB4" w:rsidR="000F369E" w:rsidRDefault="000F369E" w:rsidP="00C81505">
      <w:pPr>
        <w:spacing w:line="360" w:lineRule="auto"/>
        <w:jc w:val="both"/>
        <w:rPr>
          <w:lang w:val="en-GB"/>
        </w:rPr>
      </w:pPr>
      <w:r>
        <w:rPr>
          <w:lang w:val="en-GB"/>
        </w:rPr>
        <w:t>However, there was also a small number of judgements in which the court</w:t>
      </w:r>
      <w:r w:rsidR="00423E78">
        <w:rPr>
          <w:lang w:val="en-GB"/>
        </w:rPr>
        <w:t>s</w:t>
      </w:r>
      <w:r>
        <w:rPr>
          <w:lang w:val="en-GB"/>
        </w:rPr>
        <w:t xml:space="preserve"> broke down provisions into their requirements and deal</w:t>
      </w:r>
      <w:r w:rsidR="00423E78">
        <w:rPr>
          <w:lang w:val="en-GB"/>
        </w:rPr>
        <w:t>t</w:t>
      </w:r>
      <w:r>
        <w:rPr>
          <w:lang w:val="en-GB"/>
        </w:rPr>
        <w:t xml:space="preserve"> with the</w:t>
      </w:r>
      <w:r w:rsidR="00423E78">
        <w:rPr>
          <w:lang w:val="en-GB"/>
        </w:rPr>
        <w:t>m</w:t>
      </w:r>
      <w:r>
        <w:rPr>
          <w:lang w:val="en-GB"/>
        </w:rPr>
        <w:t xml:space="preserve"> separately. An example is a judgment by the </w:t>
      </w:r>
      <w:proofErr w:type="spellStart"/>
      <w:r>
        <w:rPr>
          <w:lang w:val="en-GB"/>
        </w:rPr>
        <w:t>Straseni</w:t>
      </w:r>
      <w:proofErr w:type="spellEnd"/>
      <w:r>
        <w:rPr>
          <w:lang w:val="en-GB"/>
        </w:rPr>
        <w:t xml:space="preserve"> court in a case</w:t>
      </w:r>
      <w:r w:rsidR="008B1F97">
        <w:rPr>
          <w:rStyle w:val="Funotenzeichen"/>
          <w:lang w:val="en-GB"/>
        </w:rPr>
        <w:footnoteReference w:id="16"/>
      </w:r>
      <w:r>
        <w:rPr>
          <w:lang w:val="en-GB"/>
        </w:rPr>
        <w:t xml:space="preserve"> regarding false testimony. The court stated:</w:t>
      </w:r>
    </w:p>
    <w:p w14:paraId="60D10FDB" w14:textId="77777777" w:rsidR="000F369E" w:rsidRPr="000F369E" w:rsidRDefault="000F369E" w:rsidP="000F369E">
      <w:pPr>
        <w:spacing w:line="360" w:lineRule="auto"/>
        <w:ind w:left="708"/>
        <w:jc w:val="both"/>
        <w:rPr>
          <w:i/>
          <w:lang w:val="en-GB"/>
        </w:rPr>
      </w:pPr>
      <w:r w:rsidRPr="000F369E">
        <w:rPr>
          <w:i/>
          <w:lang w:val="en-GB"/>
        </w:rPr>
        <w:t xml:space="preserve">Thus, the </w:t>
      </w:r>
      <w:r w:rsidRPr="000F369E">
        <w:rPr>
          <w:i/>
          <w:u w:val="single"/>
          <w:lang w:val="en-GB"/>
        </w:rPr>
        <w:t>object</w:t>
      </w:r>
      <w:r w:rsidRPr="000F369E">
        <w:rPr>
          <w:i/>
          <w:lang w:val="en-GB"/>
        </w:rPr>
        <w:t xml:space="preserve"> of the crime are the social relations related to the truth-finding activity in the process of justice delivery, relations endangered by the false statement.</w:t>
      </w:r>
    </w:p>
    <w:p w14:paraId="4F5A39D2" w14:textId="77777777" w:rsidR="000F369E" w:rsidRPr="000F369E" w:rsidRDefault="000F369E" w:rsidP="000F369E">
      <w:pPr>
        <w:spacing w:line="360" w:lineRule="auto"/>
        <w:ind w:left="600"/>
        <w:jc w:val="both"/>
        <w:rPr>
          <w:i/>
          <w:lang w:val="en-GB"/>
        </w:rPr>
      </w:pPr>
      <w:r w:rsidRPr="000F369E">
        <w:rPr>
          <w:i/>
          <w:u w:val="single"/>
          <w:lang w:val="en-GB"/>
        </w:rPr>
        <w:t xml:space="preserve">The objective side </w:t>
      </w:r>
      <w:r w:rsidRPr="000F369E">
        <w:rPr>
          <w:i/>
          <w:lang w:val="en-GB"/>
        </w:rPr>
        <w:t xml:space="preserve">of the crime set out in art.312 of the Criminal Code consists in the prejudicial act expressed in action, and namely making of the false statement by a witness or the injured party, thereby distorting the truth, and thus creating conditions for commission of judicial errors and incorrect assessment of the circumstances of the case. Within the court hearing, the Court </w:t>
      </w:r>
      <w:r w:rsidRPr="000F369E">
        <w:rPr>
          <w:i/>
          <w:lang w:val="en-GB"/>
        </w:rPr>
        <w:lastRenderedPageBreak/>
        <w:t xml:space="preserve">established with certainty that </w:t>
      </w:r>
      <w:proofErr w:type="spellStart"/>
      <w:r w:rsidRPr="000F369E">
        <w:rPr>
          <w:i/>
          <w:lang w:val="en-GB"/>
        </w:rPr>
        <w:t>Cioban</w:t>
      </w:r>
      <w:proofErr w:type="spellEnd"/>
      <w:r w:rsidRPr="000F369E">
        <w:rPr>
          <w:i/>
          <w:lang w:val="en-GB"/>
        </w:rPr>
        <w:t xml:space="preserve"> </w:t>
      </w:r>
      <w:proofErr w:type="spellStart"/>
      <w:r w:rsidRPr="000F369E">
        <w:rPr>
          <w:i/>
          <w:lang w:val="en-GB"/>
        </w:rPr>
        <w:t>Iurie</w:t>
      </w:r>
      <w:proofErr w:type="spellEnd"/>
      <w:r w:rsidRPr="000F369E">
        <w:rPr>
          <w:i/>
          <w:lang w:val="en-GB"/>
        </w:rPr>
        <w:t xml:space="preserve"> Victor, while being examined at the criminal investigation body on </w:t>
      </w:r>
      <w:r w:rsidRPr="000F369E">
        <w:rPr>
          <w:b/>
          <w:bCs/>
          <w:i/>
          <w:lang w:val="en-GB"/>
        </w:rPr>
        <w:t xml:space="preserve">28.03.2014 </w:t>
      </w:r>
      <w:r w:rsidRPr="000F369E">
        <w:rPr>
          <w:i/>
          <w:lang w:val="en-GB"/>
        </w:rPr>
        <w:t xml:space="preserve">as injured party, told in detail about all actions and circumstances of </w:t>
      </w:r>
      <w:proofErr w:type="spellStart"/>
      <w:r w:rsidRPr="000F369E">
        <w:rPr>
          <w:i/>
          <w:lang w:val="en-GB"/>
        </w:rPr>
        <w:t>Vrăncean</w:t>
      </w:r>
      <w:proofErr w:type="spellEnd"/>
      <w:r w:rsidRPr="000F369E">
        <w:rPr>
          <w:i/>
          <w:lang w:val="en-GB"/>
        </w:rPr>
        <w:t xml:space="preserve"> Ion, which were also confirmed by the statements of witnesses </w:t>
      </w:r>
      <w:proofErr w:type="spellStart"/>
      <w:r w:rsidRPr="000F369E">
        <w:rPr>
          <w:i/>
          <w:lang w:val="en-GB"/>
        </w:rPr>
        <w:t>Dodon</w:t>
      </w:r>
      <w:proofErr w:type="spellEnd"/>
      <w:r w:rsidRPr="000F369E">
        <w:rPr>
          <w:i/>
          <w:lang w:val="en-GB"/>
        </w:rPr>
        <w:t xml:space="preserve"> S. and </w:t>
      </w:r>
      <w:proofErr w:type="spellStart"/>
      <w:r w:rsidRPr="000F369E">
        <w:rPr>
          <w:i/>
          <w:lang w:val="en-GB"/>
        </w:rPr>
        <w:t>Zubic</w:t>
      </w:r>
      <w:proofErr w:type="spellEnd"/>
      <w:r w:rsidRPr="000F369E">
        <w:rPr>
          <w:i/>
          <w:lang w:val="en-GB"/>
        </w:rPr>
        <w:t xml:space="preserve"> S.</w:t>
      </w:r>
    </w:p>
    <w:p w14:paraId="53691164" w14:textId="77777777" w:rsidR="000F369E" w:rsidRPr="000F369E" w:rsidRDefault="000F369E" w:rsidP="000F369E">
      <w:pPr>
        <w:spacing w:line="360" w:lineRule="auto"/>
        <w:ind w:left="600"/>
        <w:jc w:val="both"/>
        <w:rPr>
          <w:i/>
          <w:lang w:val="en-GB"/>
        </w:rPr>
      </w:pPr>
      <w:r w:rsidRPr="000F369E">
        <w:rPr>
          <w:i/>
          <w:u w:val="single"/>
          <w:lang w:val="en-GB"/>
        </w:rPr>
        <w:t>The subject</w:t>
      </w:r>
      <w:r w:rsidRPr="000F369E">
        <w:rPr>
          <w:i/>
          <w:lang w:val="en-GB"/>
        </w:rPr>
        <w:t xml:space="preserve"> of the mentioned crime is a responsible individual, who at the moment of the commission of the crime has reached the age of 16 and has one of the procedural statuses, either of witness or of the injured party, either of specialist or expert.</w:t>
      </w:r>
    </w:p>
    <w:p w14:paraId="00CD1CF2" w14:textId="77777777" w:rsidR="000F369E" w:rsidRPr="000F369E" w:rsidRDefault="000F369E" w:rsidP="000F369E">
      <w:pPr>
        <w:spacing w:line="360" w:lineRule="auto"/>
        <w:ind w:left="600"/>
        <w:jc w:val="both"/>
        <w:rPr>
          <w:i/>
          <w:lang w:val="en-GB"/>
        </w:rPr>
      </w:pPr>
      <w:r w:rsidRPr="000F369E">
        <w:rPr>
          <w:i/>
          <w:lang w:val="en-GB"/>
        </w:rPr>
        <w:t xml:space="preserve">Defendant </w:t>
      </w:r>
      <w:proofErr w:type="spellStart"/>
      <w:r w:rsidRPr="000F369E">
        <w:rPr>
          <w:i/>
          <w:lang w:val="en-GB"/>
        </w:rPr>
        <w:t>Cioban</w:t>
      </w:r>
      <w:proofErr w:type="spellEnd"/>
      <w:r w:rsidRPr="000F369E">
        <w:rPr>
          <w:i/>
          <w:lang w:val="en-GB"/>
        </w:rPr>
        <w:t xml:space="preserve"> </w:t>
      </w:r>
      <w:proofErr w:type="spellStart"/>
      <w:r w:rsidRPr="000F369E">
        <w:rPr>
          <w:i/>
          <w:lang w:val="en-GB"/>
        </w:rPr>
        <w:t>Iurie</w:t>
      </w:r>
      <w:proofErr w:type="spellEnd"/>
      <w:r w:rsidRPr="000F369E">
        <w:rPr>
          <w:i/>
          <w:lang w:val="en-GB"/>
        </w:rPr>
        <w:t xml:space="preserve"> Victor had at the date of commission of the crime the corresponding age, thus being responsible for his action.</w:t>
      </w:r>
    </w:p>
    <w:p w14:paraId="57DC2DCE" w14:textId="77777777" w:rsidR="000F369E" w:rsidRPr="000F369E" w:rsidRDefault="000F369E" w:rsidP="000F369E">
      <w:pPr>
        <w:spacing w:line="360" w:lineRule="auto"/>
        <w:ind w:left="600"/>
        <w:jc w:val="both"/>
        <w:rPr>
          <w:i/>
          <w:lang w:val="en-GB"/>
        </w:rPr>
      </w:pPr>
      <w:r w:rsidRPr="000F369E">
        <w:rPr>
          <w:i/>
          <w:u w:val="single"/>
          <w:lang w:val="en-GB"/>
        </w:rPr>
        <w:t>The subjective side</w:t>
      </w:r>
      <w:r w:rsidRPr="000F369E">
        <w:rPr>
          <w:i/>
          <w:lang w:val="en-GB"/>
        </w:rPr>
        <w:t xml:space="preserve"> of the analysed crime is characterized by direct intent, meaning that the perpetrator knowingly makes a false statement, in order to accuse someone of committing a crime. The Court holds that the defendant acted with direct intent, realised the consequences of their actions and wanted this action. </w:t>
      </w:r>
    </w:p>
    <w:p w14:paraId="34D61307" w14:textId="77777777" w:rsidR="000F369E" w:rsidRPr="000F369E" w:rsidRDefault="000F369E" w:rsidP="004F1381">
      <w:pPr>
        <w:spacing w:line="360" w:lineRule="auto"/>
        <w:ind w:left="600"/>
        <w:jc w:val="both"/>
        <w:rPr>
          <w:i/>
          <w:lang w:val="en-GB"/>
        </w:rPr>
      </w:pPr>
      <w:r w:rsidRPr="000F369E">
        <w:rPr>
          <w:i/>
          <w:lang w:val="en-GB"/>
        </w:rPr>
        <w:t>This crime is considered consummated from the moment of signature of the respective procedural acts by a witness or the injured party.</w:t>
      </w:r>
    </w:p>
    <w:p w14:paraId="13A4B4A9" w14:textId="77777777" w:rsidR="000F369E" w:rsidRDefault="000F369E" w:rsidP="00C81505">
      <w:pPr>
        <w:spacing w:line="360" w:lineRule="auto"/>
        <w:jc w:val="both"/>
        <w:rPr>
          <w:lang w:val="en-GB"/>
        </w:rPr>
      </w:pPr>
    </w:p>
    <w:p w14:paraId="30B364F4" w14:textId="77777777" w:rsidR="00264620" w:rsidRDefault="00264620" w:rsidP="00C81505">
      <w:pPr>
        <w:spacing w:line="360" w:lineRule="auto"/>
        <w:jc w:val="both"/>
        <w:rPr>
          <w:lang w:val="en-GB"/>
        </w:rPr>
      </w:pPr>
      <w:r>
        <w:rPr>
          <w:lang w:val="en-GB"/>
        </w:rPr>
        <w:t>However, this is a relatively rare example.  About 20% of the judgments I examined tied the facts of the case to individual requirements of legal provisions</w:t>
      </w:r>
      <w:r w:rsidR="00423E78">
        <w:rPr>
          <w:lang w:val="en-GB"/>
        </w:rPr>
        <w:t>.</w:t>
      </w:r>
    </w:p>
    <w:p w14:paraId="6D34A8E6" w14:textId="26384596" w:rsidR="00FF1B7D" w:rsidRDefault="007160A4" w:rsidP="00C81505">
      <w:pPr>
        <w:spacing w:line="360" w:lineRule="auto"/>
        <w:jc w:val="both"/>
        <w:rPr>
          <w:lang w:val="en-GB"/>
        </w:rPr>
      </w:pPr>
      <w:r>
        <w:rPr>
          <w:lang w:val="en-GB"/>
        </w:rPr>
        <w:t xml:space="preserve">None of the judgments stated and discussed legal problems, though. </w:t>
      </w:r>
      <w:r w:rsidR="007934EC">
        <w:rPr>
          <w:lang w:val="en-GB"/>
        </w:rPr>
        <w:t xml:space="preserve">It is pivotal that a judgment identifies the legal issues arising from a case. In most cases, it cannot seriously be argued that certain legal requirements are met – but it can be quite difficult to ascertain whether others are fulfilled. </w:t>
      </w:r>
      <w:r w:rsidR="00FF1B7D">
        <w:rPr>
          <w:lang w:val="en-GB"/>
        </w:rPr>
        <w:t>For example, the most basic definition of manslaughter is that one person acts negligently and thus causes the death of another person. If person A is exceeding the speed limit in traffic and runs over person B, killing him on the spot, it will not be subject to much debate</w:t>
      </w:r>
      <w:r w:rsidR="008B1F97">
        <w:rPr>
          <w:lang w:val="en-GB"/>
        </w:rPr>
        <w:t xml:space="preserve"> that A is responsible for B’s death</w:t>
      </w:r>
      <w:r w:rsidR="000F369E">
        <w:rPr>
          <w:lang w:val="en-GB"/>
        </w:rPr>
        <w:t xml:space="preserve">. </w:t>
      </w:r>
      <w:proofErr w:type="gramStart"/>
      <w:r w:rsidR="000F369E">
        <w:rPr>
          <w:lang w:val="en-GB"/>
        </w:rPr>
        <w:t>If</w:t>
      </w:r>
      <w:proofErr w:type="gramEnd"/>
      <w:r w:rsidR="000F369E">
        <w:rPr>
          <w:lang w:val="en-GB"/>
        </w:rPr>
        <w:t xml:space="preserve"> however, B is only injured and transferred to a hospital, where he dies of a virus infection, it seems less clear whether B’s death should really be attributed to A’s conduct. Here, a judge would be expected to elaborate on his assessment.</w:t>
      </w:r>
    </w:p>
    <w:p w14:paraId="18406B9B" w14:textId="77777777" w:rsidR="007934EC" w:rsidRDefault="007934EC" w:rsidP="00C81505">
      <w:pPr>
        <w:spacing w:line="360" w:lineRule="auto"/>
        <w:jc w:val="both"/>
        <w:rPr>
          <w:lang w:val="en-GB"/>
        </w:rPr>
      </w:pPr>
      <w:r>
        <w:rPr>
          <w:lang w:val="en-GB"/>
        </w:rPr>
        <w:t xml:space="preserve">The ability to discern one category from the other </w:t>
      </w:r>
      <w:r w:rsidR="00FF1B7D">
        <w:rPr>
          <w:lang w:val="en-GB"/>
        </w:rPr>
        <w:t xml:space="preserve">is an important skill every judge (and every lawyer at that) should possess. </w:t>
      </w:r>
      <w:r w:rsidR="000F369E">
        <w:rPr>
          <w:lang w:val="en-GB"/>
        </w:rPr>
        <w:t>However, in none of the judgements I read for purposes of this report were any legal issues identified and analysed.</w:t>
      </w:r>
    </w:p>
    <w:p w14:paraId="7A6CCA15" w14:textId="77777777" w:rsidR="00C0605F" w:rsidRDefault="00C0605F" w:rsidP="00C81505">
      <w:pPr>
        <w:spacing w:line="360" w:lineRule="auto"/>
        <w:jc w:val="both"/>
        <w:rPr>
          <w:lang w:val="en-GB"/>
        </w:rPr>
      </w:pPr>
    </w:p>
    <w:p w14:paraId="3A919159" w14:textId="77777777" w:rsidR="00425AB1" w:rsidRDefault="00425AB1" w:rsidP="00C81505">
      <w:pPr>
        <w:spacing w:line="360" w:lineRule="auto"/>
        <w:jc w:val="both"/>
        <w:rPr>
          <w:lang w:val="en-GB"/>
        </w:rPr>
      </w:pPr>
    </w:p>
    <w:p w14:paraId="7D81D7C6" w14:textId="77777777" w:rsidR="00425AB1" w:rsidRDefault="005C0FE9" w:rsidP="00C81505">
      <w:pPr>
        <w:pStyle w:val="berschrift4"/>
        <w:spacing w:line="360" w:lineRule="auto"/>
        <w:rPr>
          <w:lang w:val="en-GB"/>
        </w:rPr>
      </w:pPr>
      <w:r>
        <w:rPr>
          <w:lang w:val="en-GB"/>
        </w:rPr>
        <w:t>J</w:t>
      </w:r>
      <w:r w:rsidR="00425AB1">
        <w:rPr>
          <w:lang w:val="en-GB"/>
        </w:rPr>
        <w:t xml:space="preserve">udgements </w:t>
      </w:r>
      <w:r w:rsidR="005F673D">
        <w:rPr>
          <w:lang w:val="en-GB"/>
        </w:rPr>
        <w:t>refer</w:t>
      </w:r>
      <w:r w:rsidR="00EB5304">
        <w:rPr>
          <w:lang w:val="en-GB"/>
        </w:rPr>
        <w:t xml:space="preserve"> to</w:t>
      </w:r>
      <w:r w:rsidR="001363F9">
        <w:rPr>
          <w:lang w:val="en-GB"/>
        </w:rPr>
        <w:t xml:space="preserve"> legal acts</w:t>
      </w:r>
      <w:r>
        <w:rPr>
          <w:lang w:val="en-GB"/>
        </w:rPr>
        <w:t xml:space="preserve"> or provisions</w:t>
      </w:r>
      <w:r w:rsidR="001363F9">
        <w:rPr>
          <w:lang w:val="en-GB"/>
        </w:rPr>
        <w:t xml:space="preserve"> which are not pertinent</w:t>
      </w:r>
    </w:p>
    <w:p w14:paraId="793FBBF7" w14:textId="77777777" w:rsidR="008F1992" w:rsidRDefault="008F1992" w:rsidP="00C81505">
      <w:pPr>
        <w:spacing w:line="360" w:lineRule="auto"/>
        <w:jc w:val="both"/>
        <w:rPr>
          <w:lang w:val="en-GB"/>
        </w:rPr>
      </w:pPr>
      <w:r>
        <w:rPr>
          <w:lang w:val="en-GB"/>
        </w:rPr>
        <w:t>Many judgments cite</w:t>
      </w:r>
      <w:r w:rsidR="005E65F2">
        <w:rPr>
          <w:lang w:val="en-GB"/>
        </w:rPr>
        <w:t xml:space="preserve"> a number of legal provisions or acts which are connected to the general legal problem a case give</w:t>
      </w:r>
      <w:r w:rsidR="00335553">
        <w:rPr>
          <w:lang w:val="en-GB"/>
        </w:rPr>
        <w:t>s</w:t>
      </w:r>
      <w:r w:rsidR="005E65F2">
        <w:rPr>
          <w:lang w:val="en-GB"/>
        </w:rPr>
        <w:t xml:space="preserve"> rise to but have no bearing on the decision of the case. This tends to obfuscate the way the court applied the law to the facts of the case. For the reader, it is hard to establish which legal provisions determined the ruling</w:t>
      </w:r>
      <w:r w:rsidR="00335553">
        <w:rPr>
          <w:lang w:val="en-GB"/>
        </w:rPr>
        <w:t xml:space="preserve"> and</w:t>
      </w:r>
      <w:r w:rsidR="005E65F2">
        <w:rPr>
          <w:lang w:val="en-GB"/>
        </w:rPr>
        <w:t xml:space="preserve"> how the judge </w:t>
      </w:r>
      <w:r w:rsidR="00220545">
        <w:rPr>
          <w:lang w:val="en-GB"/>
        </w:rPr>
        <w:t>arrived at</w:t>
      </w:r>
      <w:r w:rsidR="005E65F2">
        <w:rPr>
          <w:lang w:val="en-GB"/>
        </w:rPr>
        <w:t xml:space="preserve"> the conclusion that the ruling he made was </w:t>
      </w:r>
      <w:r w:rsidR="00220545">
        <w:rPr>
          <w:lang w:val="en-GB"/>
        </w:rPr>
        <w:t>the one dictated by</w:t>
      </w:r>
      <w:r w:rsidR="00743BCD">
        <w:rPr>
          <w:lang w:val="en-GB"/>
        </w:rPr>
        <w:t xml:space="preserve"> the</w:t>
      </w:r>
      <w:r w:rsidR="00220545">
        <w:rPr>
          <w:lang w:val="en-GB"/>
        </w:rPr>
        <w:t xml:space="preserve"> law.</w:t>
      </w:r>
    </w:p>
    <w:p w14:paraId="1D1AE872" w14:textId="77777777" w:rsidR="003C77AF" w:rsidRDefault="003C77AF" w:rsidP="00C81505">
      <w:pPr>
        <w:spacing w:line="360" w:lineRule="auto"/>
        <w:jc w:val="both"/>
        <w:rPr>
          <w:lang w:val="en-GB"/>
        </w:rPr>
      </w:pPr>
      <w:r>
        <w:rPr>
          <w:lang w:val="en-GB"/>
        </w:rPr>
        <w:t>A</w:t>
      </w:r>
      <w:r w:rsidR="00E462D8">
        <w:rPr>
          <w:lang w:val="en-GB"/>
        </w:rPr>
        <w:t xml:space="preserve"> case adjudged by the Court of </w:t>
      </w:r>
      <w:proofErr w:type="spellStart"/>
      <w:r w:rsidR="00E462D8">
        <w:rPr>
          <w:lang w:val="en-GB"/>
        </w:rPr>
        <w:t>Criuleni</w:t>
      </w:r>
      <w:proofErr w:type="spellEnd"/>
      <w:r w:rsidR="00E462D8">
        <w:rPr>
          <w:rStyle w:val="Funotenzeichen"/>
          <w:lang w:val="en-GB"/>
        </w:rPr>
        <w:footnoteReference w:id="17"/>
      </w:r>
      <w:r w:rsidR="00743BCD">
        <w:rPr>
          <w:lang w:val="en-GB"/>
        </w:rPr>
        <w:t xml:space="preserve"> may serve as an example</w:t>
      </w:r>
      <w:r w:rsidR="00E462D8">
        <w:rPr>
          <w:lang w:val="en-GB"/>
        </w:rPr>
        <w:t>. It concerned a claim for compensation by a prosecutor who had been charged with a crime, suspended and reinstated in his position following his acquittal by the Supreme Court (upholding the judgments by the two previous instances).</w:t>
      </w:r>
    </w:p>
    <w:p w14:paraId="2C541EAE" w14:textId="77777777" w:rsidR="00E462D8" w:rsidRDefault="00E462D8" w:rsidP="00C81505">
      <w:pPr>
        <w:spacing w:line="360" w:lineRule="auto"/>
        <w:jc w:val="both"/>
        <w:rPr>
          <w:lang w:val="en-GB"/>
        </w:rPr>
      </w:pPr>
      <w:r>
        <w:rPr>
          <w:lang w:val="en-GB"/>
        </w:rPr>
        <w:t>The court granted his claim. Its reasoning commenced:</w:t>
      </w:r>
    </w:p>
    <w:p w14:paraId="3229B4B5" w14:textId="77777777" w:rsidR="00E462D8" w:rsidRPr="00E462D8" w:rsidRDefault="00E462D8" w:rsidP="00C81505">
      <w:pPr>
        <w:spacing w:line="360" w:lineRule="auto"/>
        <w:ind w:left="708"/>
        <w:jc w:val="both"/>
        <w:rPr>
          <w:i/>
          <w:lang w:val="en-GB"/>
        </w:rPr>
      </w:pPr>
      <w:r w:rsidRPr="00E462D8">
        <w:rPr>
          <w:i/>
          <w:lang w:val="en-GB"/>
        </w:rPr>
        <w:t>Hearing the participants present in the trial, studying and analysing the materials of the case, the court concludes the partial admission of the lawsuit for the following reasons.</w:t>
      </w:r>
    </w:p>
    <w:p w14:paraId="05063FC7" w14:textId="77777777" w:rsidR="00E462D8" w:rsidRPr="00E462D8" w:rsidRDefault="00E462D8" w:rsidP="00C81505">
      <w:pPr>
        <w:spacing w:line="360" w:lineRule="auto"/>
        <w:ind w:left="708"/>
        <w:jc w:val="both"/>
        <w:rPr>
          <w:i/>
          <w:lang w:val="en-GB"/>
        </w:rPr>
      </w:pPr>
      <w:r w:rsidRPr="00E462D8">
        <w:rPr>
          <w:i/>
          <w:lang w:val="en-GB"/>
        </w:rPr>
        <w:t>The provisions of art.130 paragraph (1) of the CPC state that the court judges shall assess the evidences according to its intimate conviction, based on many aspectual, complete, unbiased and direct research of all the evidences in the casefile in their entirety and their interconnection, being guided by the law.</w:t>
      </w:r>
    </w:p>
    <w:p w14:paraId="5BC9555C" w14:textId="77777777" w:rsidR="00E462D8" w:rsidRPr="00E462D8" w:rsidRDefault="00E462D8" w:rsidP="00C81505">
      <w:pPr>
        <w:spacing w:line="360" w:lineRule="auto"/>
        <w:ind w:left="708"/>
        <w:jc w:val="both"/>
        <w:rPr>
          <w:i/>
          <w:lang w:val="en-GB"/>
        </w:rPr>
      </w:pPr>
      <w:r w:rsidRPr="00E462D8">
        <w:rPr>
          <w:i/>
          <w:lang w:val="en-GB"/>
        </w:rPr>
        <w:t>According to Article 1 (1) of the CPC, which defines the purpose of the criminal process, identifying it as the activity of the criminal investigation bodies and the courts with the participation of the parties in the proceedings and other persons, carried out in accordance with the provisions of the Criminal Procedure Code. The criminal proceedings are considered to have started from the moment when the competent body was notified or self-notified about the preparation or commission of a crime.</w:t>
      </w:r>
    </w:p>
    <w:p w14:paraId="55DCA0BC" w14:textId="77777777" w:rsidR="00E462D8" w:rsidRPr="00E462D8" w:rsidRDefault="00E462D8" w:rsidP="00C81505">
      <w:pPr>
        <w:spacing w:line="360" w:lineRule="auto"/>
        <w:ind w:left="708"/>
        <w:jc w:val="both"/>
        <w:rPr>
          <w:i/>
          <w:lang w:val="en-GB"/>
        </w:rPr>
      </w:pPr>
      <w:r w:rsidRPr="00E462D8">
        <w:rPr>
          <w:i/>
          <w:lang w:val="en-GB"/>
        </w:rPr>
        <w:t>The provisions of paragraph (2) of the same article expressly indicate that the criminal proceedings are aiming at protecting the person, society and state from offenses, as well as at protecting the person and society from the illegal actions of the persons with a responsible position in their activity related to the investigation of the alleged crimes; so that any person who has committed an offense is punished according to its guilt and no innocent person shall be held criminally liable and convicted.</w:t>
      </w:r>
    </w:p>
    <w:p w14:paraId="0C0F1EDF" w14:textId="77777777" w:rsidR="00E462D8" w:rsidRPr="00E462D8" w:rsidRDefault="00E462D8" w:rsidP="00C81505">
      <w:pPr>
        <w:spacing w:line="360" w:lineRule="auto"/>
        <w:ind w:left="708"/>
        <w:jc w:val="both"/>
        <w:rPr>
          <w:i/>
          <w:lang w:val="en-GB"/>
        </w:rPr>
      </w:pPr>
      <w:r w:rsidRPr="00E462D8">
        <w:rPr>
          <w:i/>
          <w:lang w:val="en-GB"/>
        </w:rPr>
        <w:lastRenderedPageBreak/>
        <w:t>The provisions of paragraph (3) state that the criminal investigation bodies and the courts in the proceedings are obliged to act in such a way that no person is unreasonably suspected, accused or convicted and that no person is arbitrarily subjected or unnecessary procedural constraint measures.</w:t>
      </w:r>
    </w:p>
    <w:p w14:paraId="3B200AEF" w14:textId="77777777" w:rsidR="00E462D8" w:rsidRPr="00E462D8" w:rsidRDefault="00E462D8" w:rsidP="00C81505">
      <w:pPr>
        <w:spacing w:line="360" w:lineRule="auto"/>
        <w:ind w:left="708"/>
        <w:jc w:val="both"/>
        <w:rPr>
          <w:i/>
          <w:lang w:val="en-GB"/>
        </w:rPr>
      </w:pPr>
      <w:r w:rsidRPr="00E462D8">
        <w:rPr>
          <w:i/>
          <w:lang w:val="en-GB"/>
        </w:rPr>
        <w:t>According to art. 1423 of the Civil Code, the amount of compensation for non-pecuniary damage is determined by the court depending on the nature and gravity of the psychological or physical suffering caused to the injured person, the degree of guilt of the author of the damage, if the guilt is a condition of the liability, and the measure which compensation can bring satisfaction to the injured person</w:t>
      </w:r>
    </w:p>
    <w:p w14:paraId="575035F5" w14:textId="77777777" w:rsidR="00E462D8" w:rsidRPr="00E462D8" w:rsidRDefault="00E462D8" w:rsidP="00C81505">
      <w:pPr>
        <w:spacing w:line="360" w:lineRule="auto"/>
        <w:ind w:left="708"/>
        <w:jc w:val="both"/>
        <w:rPr>
          <w:i/>
          <w:lang w:val="en-GB"/>
        </w:rPr>
      </w:pPr>
      <w:r w:rsidRPr="00E462D8">
        <w:rPr>
          <w:i/>
          <w:lang w:val="en-GB"/>
        </w:rPr>
        <w:t>The nature and severity of mental or physical suffering are assessed by the court, taking into account the circumstances in which the damage was caused and the social status of the injured person.</w:t>
      </w:r>
    </w:p>
    <w:p w14:paraId="3B32EE9E" w14:textId="77777777" w:rsidR="00E462D8" w:rsidRPr="00E462D8" w:rsidRDefault="00E462D8" w:rsidP="00C81505">
      <w:pPr>
        <w:spacing w:line="360" w:lineRule="auto"/>
        <w:ind w:left="708"/>
        <w:jc w:val="both"/>
        <w:rPr>
          <w:i/>
          <w:lang w:val="en-GB"/>
        </w:rPr>
      </w:pPr>
      <w:r w:rsidRPr="00E462D8">
        <w:rPr>
          <w:i/>
          <w:lang w:val="en-GB"/>
        </w:rPr>
        <w:t>According to art. 2 of the Law on the reparation of the damages caused by the illicit actions of the criminal prosecution bodies, prosecutor's office and the courts no.1545-XIII of 25 February 1998, the illicit actions are meant actions or inactions of the body authorized to examine cases of administrative offenses, of  the criminal prosecution bodies or courts, which exclude their guilt, the illegality of which is manifested in violation of the general principle that no innocent person can be held liable and cannot be judged, (errors) or deeds of the persons with responsible positions from the criminal investigation bodies or courts, manifested through intentional violation of procedural and material norms during criminal or administrative proceedings (offenses).</w:t>
      </w:r>
    </w:p>
    <w:p w14:paraId="2BF8EB7B" w14:textId="77777777" w:rsidR="00E462D8" w:rsidRPr="00E462D8" w:rsidRDefault="00E462D8" w:rsidP="00C81505">
      <w:pPr>
        <w:spacing w:line="360" w:lineRule="auto"/>
        <w:ind w:left="708"/>
        <w:jc w:val="both"/>
        <w:rPr>
          <w:i/>
          <w:lang w:val="en-GB"/>
        </w:rPr>
      </w:pPr>
      <w:r w:rsidRPr="00E462D8">
        <w:rPr>
          <w:i/>
          <w:lang w:val="en-GB"/>
        </w:rPr>
        <w:t>According to art. Article 3 (1) a) of the same law, it shall be repairable the material and moral damage caused to the natural or legal person following the illegal detention, the illegal application of preventive measures in form of arrest, the declaration of not leaving the city or the country, the illegal extradition to criminal liability.</w:t>
      </w:r>
    </w:p>
    <w:p w14:paraId="076E9D7C" w14:textId="77777777" w:rsidR="00E462D8" w:rsidRPr="00E462D8" w:rsidRDefault="00E462D8" w:rsidP="00C81505">
      <w:pPr>
        <w:spacing w:line="360" w:lineRule="auto"/>
        <w:ind w:left="708"/>
        <w:jc w:val="both"/>
        <w:rPr>
          <w:i/>
          <w:lang w:val="en-GB"/>
        </w:rPr>
      </w:pPr>
      <w:r w:rsidRPr="00E462D8">
        <w:rPr>
          <w:i/>
          <w:lang w:val="en-GB"/>
        </w:rPr>
        <w:t xml:space="preserve">According to art. 11 par. (1) - (3) of the Law on the reparation of the damage caused by illegal actions of the criminal investigation authorities, the prosecutor's office and the courts, the amount of compensation for the reparation of the moral damages shall be determined by the court in the manner prescribed by the law. The actual amount of the compensation shall be determined taking into account: a) the seriousness of the offense with which the person has been charged; b) the nature and gravity of the procedural violations committed in the criminal investigation and in the examination of the criminal case in the court; c) the resonance in society of the information about the accusation of the person; d) the length of the criminal </w:t>
      </w:r>
      <w:r w:rsidRPr="00E462D8">
        <w:rPr>
          <w:i/>
          <w:lang w:val="en-GB"/>
        </w:rPr>
        <w:lastRenderedPageBreak/>
        <w:t>investigation, as well as the length of the examination of the criminal case in the court; e) the nature of the injured person's right and its place in the value system of the person; f) physical suffering, the nature and degree of mental suffering; g) the extent to which monetary compensation can alleviate the physical and mental suffering caused; h) the duration of the person’s illegitimate detention.</w:t>
      </w:r>
    </w:p>
    <w:p w14:paraId="399C62AF" w14:textId="77777777" w:rsidR="00E462D8" w:rsidRPr="00E462D8" w:rsidRDefault="00E462D8" w:rsidP="00C81505">
      <w:pPr>
        <w:spacing w:line="360" w:lineRule="auto"/>
        <w:ind w:left="708"/>
        <w:jc w:val="both"/>
        <w:rPr>
          <w:i/>
          <w:lang w:val="en-GB"/>
        </w:rPr>
      </w:pPr>
      <w:r w:rsidRPr="00E462D8">
        <w:rPr>
          <w:i/>
          <w:lang w:val="en-GB"/>
        </w:rPr>
        <w:t>The court shall determine the amount of compensation and on the basis of the criteria specified in Article 219 (4) of the Criminal Procedure Code.</w:t>
      </w:r>
    </w:p>
    <w:p w14:paraId="3F8295BC" w14:textId="77777777" w:rsidR="00E462D8" w:rsidRPr="00E462D8" w:rsidRDefault="00E462D8" w:rsidP="00C81505">
      <w:pPr>
        <w:spacing w:line="360" w:lineRule="auto"/>
        <w:ind w:left="708"/>
        <w:jc w:val="both"/>
        <w:rPr>
          <w:i/>
          <w:lang w:val="en-GB"/>
        </w:rPr>
      </w:pPr>
      <w:r w:rsidRPr="00E462D8">
        <w:rPr>
          <w:i/>
          <w:lang w:val="en-GB"/>
        </w:rPr>
        <w:t>In all cases, the court will rely on the principles of reasonable and fair compensation of moral damages.</w:t>
      </w:r>
    </w:p>
    <w:p w14:paraId="0FB7360D" w14:textId="77777777" w:rsidR="00E462D8" w:rsidRPr="00E462D8" w:rsidRDefault="00E462D8" w:rsidP="00C81505">
      <w:pPr>
        <w:spacing w:line="360" w:lineRule="auto"/>
        <w:ind w:left="708"/>
        <w:jc w:val="both"/>
        <w:rPr>
          <w:i/>
          <w:lang w:val="en-GB"/>
        </w:rPr>
      </w:pPr>
      <w:r w:rsidRPr="00E462D8">
        <w:rPr>
          <w:i/>
          <w:lang w:val="en-GB"/>
        </w:rPr>
        <w:t>According to art. 5 par. (1) of the Law no. 1545-XIII of February 25, 1998 on the way of reparation of the damage caused by the illicit actions of the criminal investigation authorities, of the prosecutor's office and of the courts, the body representing the state in the court on this category of cases is the Ministry of Justice.</w:t>
      </w:r>
    </w:p>
    <w:p w14:paraId="02A141A8" w14:textId="77777777" w:rsidR="00E462D8" w:rsidRDefault="00E462D8" w:rsidP="00C81505">
      <w:pPr>
        <w:spacing w:line="360" w:lineRule="auto"/>
        <w:jc w:val="both"/>
        <w:rPr>
          <w:lang w:val="en-GB"/>
        </w:rPr>
      </w:pPr>
    </w:p>
    <w:p w14:paraId="7F606E98" w14:textId="77777777" w:rsidR="004768EB" w:rsidRDefault="004768EB" w:rsidP="00C81505">
      <w:pPr>
        <w:spacing w:line="360" w:lineRule="auto"/>
        <w:jc w:val="both"/>
        <w:rPr>
          <w:lang w:val="en-GB"/>
        </w:rPr>
      </w:pPr>
      <w:r>
        <w:rPr>
          <w:lang w:val="en-GB"/>
        </w:rPr>
        <w:t xml:space="preserve">The court then chronicles (again) the events starting with the investigation into the plaintiff’s actions to his final acquittal </w:t>
      </w:r>
    </w:p>
    <w:p w14:paraId="317FAFA3" w14:textId="77777777" w:rsidR="004768EB" w:rsidRDefault="004768EB" w:rsidP="00C81505">
      <w:pPr>
        <w:spacing w:line="360" w:lineRule="auto"/>
        <w:ind w:left="708"/>
        <w:jc w:val="both"/>
        <w:rPr>
          <w:i/>
          <w:lang w:val="en-GB"/>
        </w:rPr>
      </w:pPr>
      <w:r w:rsidRPr="004768EB">
        <w:rPr>
          <w:i/>
          <w:lang w:val="en-GB"/>
        </w:rPr>
        <w:t xml:space="preserve">(‘At the court hearing, it was found that by the Order of the criminal investigation body of November 18, 2010, on criminal case no. 2010978161, </w:t>
      </w:r>
      <w:proofErr w:type="spellStart"/>
      <w:r w:rsidRPr="004768EB">
        <w:rPr>
          <w:i/>
          <w:lang w:val="en-GB"/>
        </w:rPr>
        <w:t>Zamşa</w:t>
      </w:r>
      <w:proofErr w:type="spellEnd"/>
      <w:r w:rsidRPr="004768EB">
        <w:rPr>
          <w:i/>
          <w:lang w:val="en-GB"/>
        </w:rPr>
        <w:t xml:space="preserve"> Viorel was acknowledged as suspect in committing the offense provided by art. 327 par. (1) Criminal Code (f.d.25), and he was heard on the criminal casefile according to the assigned quality (f.d.27)</w:t>
      </w:r>
    </w:p>
    <w:p w14:paraId="0A81D8B5" w14:textId="77777777" w:rsidR="004768EB" w:rsidRDefault="0024421B" w:rsidP="00C81505">
      <w:pPr>
        <w:spacing w:line="360" w:lineRule="auto"/>
        <w:ind w:firstLine="708"/>
        <w:jc w:val="both"/>
        <w:rPr>
          <w:lang w:val="en-GB"/>
        </w:rPr>
      </w:pPr>
      <w:r>
        <w:rPr>
          <w:lang w:val="en-GB"/>
        </w:rPr>
        <w:t>(</w:t>
      </w:r>
      <w:r w:rsidR="004768EB">
        <w:rPr>
          <w:lang w:val="en-GB"/>
        </w:rPr>
        <w:t>….</w:t>
      </w:r>
      <w:r>
        <w:rPr>
          <w:lang w:val="en-GB"/>
        </w:rPr>
        <w:t>)</w:t>
      </w:r>
    </w:p>
    <w:p w14:paraId="32635F16" w14:textId="77777777" w:rsidR="004768EB" w:rsidRPr="004768EB" w:rsidRDefault="004768EB" w:rsidP="00C81505">
      <w:pPr>
        <w:spacing w:line="360" w:lineRule="auto"/>
        <w:ind w:left="708"/>
        <w:jc w:val="both"/>
        <w:rPr>
          <w:i/>
          <w:lang w:val="en-GB"/>
        </w:rPr>
      </w:pPr>
      <w:r w:rsidRPr="004768EB">
        <w:rPr>
          <w:i/>
          <w:lang w:val="en-GB"/>
        </w:rPr>
        <w:t xml:space="preserve">In turn, the Criminal Panel of the Supreme Court of Justice on December 17, 2013 pronounced the decision by which it dismissed as inadmissible, as plainly as ungrounded, the ordinary appeal declared by the prosecutor of the Prosecutor's Office at the level of the Chisinau Court of Appeal, Radu </w:t>
      </w:r>
      <w:proofErr w:type="spellStart"/>
      <w:r w:rsidRPr="004768EB">
        <w:rPr>
          <w:i/>
          <w:lang w:val="en-GB"/>
        </w:rPr>
        <w:t>Sili</w:t>
      </w:r>
      <w:proofErr w:type="spellEnd"/>
      <w:r w:rsidRPr="004768EB">
        <w:rPr>
          <w:i/>
          <w:lang w:val="en-GB"/>
        </w:rPr>
        <w:t xml:space="preserve">, against the decision of the Criminal Panel of the Chisinau Court of Appeal of April 25, 2013 regarding </w:t>
      </w:r>
      <w:proofErr w:type="spellStart"/>
      <w:r w:rsidRPr="004768EB">
        <w:rPr>
          <w:i/>
          <w:lang w:val="en-GB"/>
        </w:rPr>
        <w:t>Zamşa</w:t>
      </w:r>
      <w:proofErr w:type="spellEnd"/>
      <w:r w:rsidRPr="004768EB">
        <w:rPr>
          <w:i/>
          <w:lang w:val="en-GB"/>
        </w:rPr>
        <w:t xml:space="preserve"> Viorel </w:t>
      </w:r>
      <w:proofErr w:type="spellStart"/>
      <w:r w:rsidRPr="004768EB">
        <w:rPr>
          <w:i/>
          <w:lang w:val="en-GB"/>
        </w:rPr>
        <w:t>Mihail</w:t>
      </w:r>
      <w:proofErr w:type="spellEnd"/>
      <w:r w:rsidRPr="004768EB">
        <w:rPr>
          <w:i/>
          <w:lang w:val="en-GB"/>
        </w:rPr>
        <w:t>, with upholding the contested judgment (fd19-21).</w:t>
      </w:r>
    </w:p>
    <w:p w14:paraId="2943A5D6" w14:textId="77777777" w:rsidR="004768EB" w:rsidRPr="004768EB" w:rsidRDefault="004768EB" w:rsidP="00C81505">
      <w:pPr>
        <w:spacing w:line="360" w:lineRule="auto"/>
        <w:jc w:val="both"/>
        <w:rPr>
          <w:lang w:val="en-GB"/>
        </w:rPr>
      </w:pPr>
    </w:p>
    <w:p w14:paraId="233DCA3A" w14:textId="77777777" w:rsidR="004768EB" w:rsidRDefault="004768EB" w:rsidP="00C81505">
      <w:pPr>
        <w:spacing w:line="360" w:lineRule="auto"/>
        <w:jc w:val="both"/>
        <w:rPr>
          <w:lang w:val="en-GB"/>
        </w:rPr>
      </w:pPr>
      <w:r>
        <w:rPr>
          <w:lang w:val="en-GB"/>
        </w:rPr>
        <w:t>The court then states why it considers that the plaintiff is entitled to compensation:</w:t>
      </w:r>
    </w:p>
    <w:p w14:paraId="1483D17D" w14:textId="77777777" w:rsidR="004768EB" w:rsidRPr="004768EB" w:rsidRDefault="004768EB" w:rsidP="00C81505">
      <w:pPr>
        <w:spacing w:line="360" w:lineRule="auto"/>
        <w:ind w:left="708"/>
        <w:jc w:val="both"/>
        <w:rPr>
          <w:i/>
          <w:lang w:val="en-GB"/>
        </w:rPr>
      </w:pPr>
      <w:r w:rsidRPr="004768EB">
        <w:rPr>
          <w:i/>
          <w:lang w:val="en-GB"/>
        </w:rPr>
        <w:t xml:space="preserve">Article 3 of the Universal Declaration of Human Rights, adopted by the UN General Assembly, enshrines the rule that "Every human being has the right to life, to his or her liberty and </w:t>
      </w:r>
      <w:r w:rsidRPr="004768EB">
        <w:rPr>
          <w:i/>
          <w:lang w:val="en-GB"/>
        </w:rPr>
        <w:lastRenderedPageBreak/>
        <w:t xml:space="preserve">security". This fundamental right of the person is also enshrined in the Habeas Corpus Act, in the US Declaration of Independence, in the European Convention for the Protection of Human Rights (Article 5), in the Constitution of the Republic of Moldova (Article 25), in the Criminal Procedure Code (art.1), etc., which configures its content, providing the </w:t>
      </w:r>
      <w:proofErr w:type="spellStart"/>
      <w:r w:rsidRPr="004768EB">
        <w:rPr>
          <w:i/>
          <w:lang w:val="en-GB"/>
        </w:rPr>
        <w:t>libertatis</w:t>
      </w:r>
      <w:proofErr w:type="spellEnd"/>
      <w:r w:rsidRPr="004768EB">
        <w:rPr>
          <w:i/>
          <w:lang w:val="en-GB"/>
        </w:rPr>
        <w:t xml:space="preserve"> status of the person. This right is restricted only in case of violations against the social values, protected by the criminal law.</w:t>
      </w:r>
    </w:p>
    <w:p w14:paraId="200867A7" w14:textId="77777777" w:rsidR="004768EB" w:rsidRPr="004768EB" w:rsidRDefault="004768EB" w:rsidP="00C81505">
      <w:pPr>
        <w:spacing w:line="360" w:lineRule="auto"/>
        <w:ind w:left="708"/>
        <w:jc w:val="both"/>
        <w:rPr>
          <w:i/>
          <w:lang w:val="en-GB"/>
        </w:rPr>
      </w:pPr>
      <w:bookmarkStart w:id="15" w:name="page6"/>
      <w:bookmarkEnd w:id="15"/>
      <w:r w:rsidRPr="004768EB">
        <w:rPr>
          <w:i/>
          <w:lang w:val="en-GB"/>
        </w:rPr>
        <w:t xml:space="preserve">Under these circumstances, the court concludes that the applicant, </w:t>
      </w:r>
      <w:proofErr w:type="spellStart"/>
      <w:r w:rsidRPr="004768EB">
        <w:rPr>
          <w:i/>
          <w:lang w:val="en-GB"/>
        </w:rPr>
        <w:t>Zamşa</w:t>
      </w:r>
      <w:proofErr w:type="spellEnd"/>
      <w:r w:rsidRPr="004768EB">
        <w:rPr>
          <w:i/>
          <w:lang w:val="en-GB"/>
        </w:rPr>
        <w:t xml:space="preserve"> Viorel </w:t>
      </w:r>
      <w:proofErr w:type="spellStart"/>
      <w:r w:rsidRPr="004768EB">
        <w:rPr>
          <w:i/>
          <w:lang w:val="en-GB"/>
        </w:rPr>
        <w:t>Mihail</w:t>
      </w:r>
      <w:proofErr w:type="spellEnd"/>
      <w:r w:rsidRPr="004768EB">
        <w:rPr>
          <w:i/>
          <w:lang w:val="en-GB"/>
        </w:rPr>
        <w:t>, has the right to claim compensation of moral damages under the Law on compensation for the damage caused by the illicit actions of the criminal investigation authorities, the prosecutor's office and the courts.</w:t>
      </w:r>
    </w:p>
    <w:p w14:paraId="7D7D30D4" w14:textId="77777777" w:rsidR="004768EB" w:rsidRDefault="000347D0" w:rsidP="00C81505">
      <w:pPr>
        <w:spacing w:line="360" w:lineRule="auto"/>
        <w:jc w:val="both"/>
        <w:rPr>
          <w:lang w:val="en-GB"/>
        </w:rPr>
      </w:pPr>
      <w:r>
        <w:rPr>
          <w:lang w:val="en-GB"/>
        </w:rPr>
        <w:t xml:space="preserve">The court lists a number of legal acts, </w:t>
      </w:r>
      <w:r w:rsidR="00335553">
        <w:rPr>
          <w:lang w:val="en-GB"/>
        </w:rPr>
        <w:t>from</w:t>
      </w:r>
      <w:r>
        <w:rPr>
          <w:lang w:val="en-GB"/>
        </w:rPr>
        <w:t xml:space="preserve"> numerous articles of the </w:t>
      </w:r>
      <w:r w:rsidR="00335553">
        <w:rPr>
          <w:lang w:val="en-GB"/>
        </w:rPr>
        <w:t>C</w:t>
      </w:r>
      <w:r>
        <w:rPr>
          <w:lang w:val="en-GB"/>
        </w:rPr>
        <w:t xml:space="preserve">ivil </w:t>
      </w:r>
      <w:r w:rsidR="00335553">
        <w:rPr>
          <w:lang w:val="en-GB"/>
        </w:rPr>
        <w:t>C</w:t>
      </w:r>
      <w:r>
        <w:rPr>
          <w:lang w:val="en-GB"/>
        </w:rPr>
        <w:t>ode to several international provisions. It cannot be inferred from the reasoning, though, which exact l</w:t>
      </w:r>
      <w:r w:rsidR="009F03D7">
        <w:rPr>
          <w:lang w:val="en-GB"/>
        </w:rPr>
        <w:t xml:space="preserve">aws or provisions the court applied to </w:t>
      </w:r>
      <w:r w:rsidR="001408A4">
        <w:rPr>
          <w:lang w:val="en-GB"/>
        </w:rPr>
        <w:t>reach the result it did</w:t>
      </w:r>
      <w:r>
        <w:rPr>
          <w:lang w:val="en-GB"/>
        </w:rPr>
        <w:t xml:space="preserve">. In regard to some of the </w:t>
      </w:r>
      <w:r w:rsidR="00335553">
        <w:rPr>
          <w:lang w:val="en-GB"/>
        </w:rPr>
        <w:t>laws</w:t>
      </w:r>
      <w:r>
        <w:rPr>
          <w:lang w:val="en-GB"/>
        </w:rPr>
        <w:t xml:space="preserve"> invoked, it may well be doubted whether they are pertinent to the facts of the case at all. It is hard to see what role article 3 of the Universal Declaration of </w:t>
      </w:r>
      <w:r w:rsidR="005151F8">
        <w:rPr>
          <w:lang w:val="en-GB"/>
        </w:rPr>
        <w:t xml:space="preserve">Human Rights would play in deciding the case (apart from the fact that it is not binding law). Article 5 ECHR does not seem relevant since the plaintiff had not been deprived of his liberty and the US Declaration of Independence does not </w:t>
      </w:r>
      <w:r w:rsidR="00335553">
        <w:rPr>
          <w:lang w:val="en-GB"/>
        </w:rPr>
        <w:t>appear</w:t>
      </w:r>
      <w:r w:rsidR="005151F8">
        <w:rPr>
          <w:lang w:val="en-GB"/>
        </w:rPr>
        <w:t xml:space="preserve"> to contain pertinent provisions either. </w:t>
      </w:r>
    </w:p>
    <w:p w14:paraId="46C739F0" w14:textId="77777777" w:rsidR="001408A4" w:rsidRDefault="001408A4" w:rsidP="00C81505">
      <w:pPr>
        <w:spacing w:line="360" w:lineRule="auto"/>
        <w:jc w:val="both"/>
        <w:rPr>
          <w:lang w:val="en-GB"/>
        </w:rPr>
      </w:pPr>
      <w:r>
        <w:rPr>
          <w:lang w:val="en-GB"/>
        </w:rPr>
        <w:t>In addition to that, the judgment hardly identifies any legal issues arising from the case. It seems that the court bases its decision to grant compensation on leg</w:t>
      </w:r>
      <w:r w:rsidR="00335553">
        <w:rPr>
          <w:lang w:val="en-GB"/>
        </w:rPr>
        <w:t>al provisions</w:t>
      </w:r>
      <w:r>
        <w:rPr>
          <w:lang w:val="en-GB"/>
        </w:rPr>
        <w:t xml:space="preserve"> to the effect that the state is liable to compensation if the prosecution service has committed illicit acts. One of the important questions to be answered when adjudicating in the case</w:t>
      </w:r>
      <w:r w:rsidR="00855377">
        <w:rPr>
          <w:lang w:val="en-GB"/>
        </w:rPr>
        <w:t>, in my opinion, would</w:t>
      </w:r>
      <w:r>
        <w:rPr>
          <w:lang w:val="en-GB"/>
        </w:rPr>
        <w:t xml:space="preserve"> be whether investigating and indicting a suspect has to be considered an illicit act </w:t>
      </w:r>
      <w:r w:rsidR="00335553">
        <w:rPr>
          <w:lang w:val="en-GB"/>
        </w:rPr>
        <w:t>just because</w:t>
      </w:r>
      <w:r>
        <w:rPr>
          <w:lang w:val="en-GB"/>
        </w:rPr>
        <w:t xml:space="preserve"> the suspect is acquitted later on. The judgment does not deal with that problem at all.</w:t>
      </w:r>
    </w:p>
    <w:p w14:paraId="64068F04" w14:textId="77777777" w:rsidR="00F1597C" w:rsidRDefault="00F1597C" w:rsidP="00C81505">
      <w:pPr>
        <w:spacing w:line="360" w:lineRule="auto"/>
        <w:jc w:val="both"/>
        <w:rPr>
          <w:lang w:val="en-GB"/>
        </w:rPr>
      </w:pPr>
      <w:r>
        <w:rPr>
          <w:lang w:val="en-GB"/>
        </w:rPr>
        <w:t>A case decided by a court in Chisin</w:t>
      </w:r>
      <w:r w:rsidR="005C0FE9">
        <w:rPr>
          <w:lang w:val="en-GB"/>
        </w:rPr>
        <w:t>au</w:t>
      </w:r>
      <w:r>
        <w:rPr>
          <w:lang w:val="en-GB"/>
        </w:rPr>
        <w:t xml:space="preserve"> regarding defamation is an additional example</w:t>
      </w:r>
      <w:r w:rsidRPr="00F1597C">
        <w:rPr>
          <w:lang w:val="en-GB"/>
        </w:rPr>
        <w:t xml:space="preserve">: </w:t>
      </w:r>
    </w:p>
    <w:p w14:paraId="6AA97CB2" w14:textId="77777777" w:rsidR="00F1597C" w:rsidRPr="00F1597C" w:rsidRDefault="00F1597C" w:rsidP="00C81505">
      <w:pPr>
        <w:spacing w:line="360" w:lineRule="auto"/>
        <w:jc w:val="both"/>
        <w:rPr>
          <w:lang w:val="en-GB"/>
        </w:rPr>
      </w:pPr>
      <w:r w:rsidRPr="00F1597C">
        <w:rPr>
          <w:lang w:val="en-GB"/>
        </w:rPr>
        <w:t xml:space="preserve">A Moldovan TV-station had published a report on </w:t>
      </w:r>
      <w:r w:rsidR="0024421B">
        <w:rPr>
          <w:lang w:val="en-GB"/>
        </w:rPr>
        <w:t>a</w:t>
      </w:r>
      <w:r w:rsidRPr="00F1597C">
        <w:rPr>
          <w:lang w:val="en-GB"/>
        </w:rPr>
        <w:t xml:space="preserve"> trial in a criminal case. </w:t>
      </w:r>
      <w:r w:rsidR="0024421B">
        <w:rPr>
          <w:lang w:val="en-GB"/>
        </w:rPr>
        <w:t>It</w:t>
      </w:r>
      <w:r w:rsidRPr="00F1597C">
        <w:rPr>
          <w:lang w:val="en-GB"/>
        </w:rPr>
        <w:t xml:space="preserve"> concerned members of a group called ANTIFA; they were accused of preparing armed attacks and storing weapons and money of Russian origin in their homes. In the report, the voice of the speaker said ‘at least two members of the </w:t>
      </w:r>
      <w:r>
        <w:rPr>
          <w:lang w:val="en-GB"/>
        </w:rPr>
        <w:t>ANTIFA</w:t>
      </w:r>
      <w:r w:rsidRPr="00F1597C">
        <w:rPr>
          <w:lang w:val="en-GB"/>
        </w:rPr>
        <w:t xml:space="preserve"> group are targeted in criminal proceedings’. At the same time, pictures of two persons were displayed. One of them was the plaintiff. He initiated proceedings for defamation on the grounds that viewers must have had the impression that he was a member of the ANTIFA group</w:t>
      </w:r>
      <w:r w:rsidR="00855377">
        <w:rPr>
          <w:lang w:val="en-GB"/>
        </w:rPr>
        <w:t>, which he was not.</w:t>
      </w:r>
    </w:p>
    <w:p w14:paraId="03219641" w14:textId="77777777" w:rsidR="00F1597C" w:rsidRPr="00F1597C" w:rsidRDefault="00F1597C" w:rsidP="00C81505">
      <w:pPr>
        <w:spacing w:line="360" w:lineRule="auto"/>
        <w:jc w:val="both"/>
        <w:rPr>
          <w:lang w:val="en-GB"/>
        </w:rPr>
      </w:pPr>
      <w:r w:rsidRPr="00F1597C">
        <w:rPr>
          <w:lang w:val="en-GB"/>
        </w:rPr>
        <w:t xml:space="preserve">The court rejected the claim. The reasoning of the judgement starts by paraphrasing the content of the articles 117, 180, and 113 of the </w:t>
      </w:r>
      <w:r w:rsidR="004A06A9">
        <w:rPr>
          <w:lang w:val="en-GB"/>
        </w:rPr>
        <w:t>C</w:t>
      </w:r>
      <w:r w:rsidRPr="00F1597C">
        <w:rPr>
          <w:lang w:val="en-GB"/>
        </w:rPr>
        <w:t xml:space="preserve">ivil </w:t>
      </w:r>
      <w:r w:rsidR="004A06A9">
        <w:rPr>
          <w:lang w:val="en-GB"/>
        </w:rPr>
        <w:t>P</w:t>
      </w:r>
      <w:r w:rsidRPr="00F1597C">
        <w:rPr>
          <w:lang w:val="en-GB"/>
        </w:rPr>
        <w:t xml:space="preserve">rocedure </w:t>
      </w:r>
      <w:r w:rsidR="004A06A9">
        <w:rPr>
          <w:lang w:val="en-GB"/>
        </w:rPr>
        <w:t>C</w:t>
      </w:r>
      <w:r w:rsidRPr="00F1597C">
        <w:rPr>
          <w:lang w:val="en-GB"/>
        </w:rPr>
        <w:t>ode. These articles set out</w:t>
      </w:r>
      <w:r>
        <w:rPr>
          <w:lang w:val="en-GB"/>
        </w:rPr>
        <w:t xml:space="preserve"> </w:t>
      </w:r>
      <w:r w:rsidRPr="00F1597C">
        <w:rPr>
          <w:lang w:val="en-GB"/>
        </w:rPr>
        <w:t xml:space="preserve">that the court is </w:t>
      </w:r>
      <w:r w:rsidRPr="00F1597C">
        <w:rPr>
          <w:lang w:val="en-GB"/>
        </w:rPr>
        <w:lastRenderedPageBreak/>
        <w:t xml:space="preserve">obliged to obtain lawful evidence, that each party has to prove circumstances in his favour and that the court is free in </w:t>
      </w:r>
      <w:r w:rsidR="0024421B">
        <w:rPr>
          <w:lang w:val="en-GB"/>
        </w:rPr>
        <w:t>its</w:t>
      </w:r>
      <w:r w:rsidRPr="00F1597C">
        <w:rPr>
          <w:lang w:val="en-GB"/>
        </w:rPr>
        <w:t xml:space="preserve"> assessment of the evidence. Which concrete conclusions are to be drawn from these provisions for the case at hand</w:t>
      </w:r>
      <w:r w:rsidR="0024421B">
        <w:rPr>
          <w:lang w:val="en-GB"/>
        </w:rPr>
        <w:t>,</w:t>
      </w:r>
      <w:r w:rsidRPr="00F1597C">
        <w:rPr>
          <w:lang w:val="en-GB"/>
        </w:rPr>
        <w:t xml:space="preserve"> or why the court is quoting these provisions remains unclear.</w:t>
      </w:r>
    </w:p>
    <w:p w14:paraId="3A8DEA12" w14:textId="77777777" w:rsidR="00F1597C" w:rsidRPr="00F1597C" w:rsidRDefault="00F1597C" w:rsidP="00C81505">
      <w:pPr>
        <w:spacing w:line="360" w:lineRule="auto"/>
        <w:jc w:val="both"/>
        <w:rPr>
          <w:lang w:val="en-GB"/>
        </w:rPr>
      </w:pPr>
      <w:r w:rsidRPr="00F1597C">
        <w:rPr>
          <w:lang w:val="en-GB"/>
        </w:rPr>
        <w:t xml:space="preserve">The court then refers to article 10 ECHR (freedom of expression), article 32 of the </w:t>
      </w:r>
      <w:r w:rsidR="00D42E9E">
        <w:rPr>
          <w:lang w:val="en-GB"/>
        </w:rPr>
        <w:t>C</w:t>
      </w:r>
      <w:r w:rsidRPr="00F1597C">
        <w:rPr>
          <w:lang w:val="en-GB"/>
        </w:rPr>
        <w:t xml:space="preserve">onstitution of Moldova (freedom of expression), article 7 of the </w:t>
      </w:r>
      <w:r w:rsidR="004A06A9">
        <w:rPr>
          <w:lang w:val="en-GB"/>
        </w:rPr>
        <w:t>L</w:t>
      </w:r>
      <w:r w:rsidRPr="00F1597C">
        <w:rPr>
          <w:lang w:val="en-GB"/>
        </w:rPr>
        <w:t xml:space="preserve">aw on </w:t>
      </w:r>
      <w:r w:rsidR="004A06A9">
        <w:rPr>
          <w:lang w:val="en-GB"/>
        </w:rPr>
        <w:t>F</w:t>
      </w:r>
      <w:r w:rsidRPr="00F1597C">
        <w:rPr>
          <w:lang w:val="en-GB"/>
        </w:rPr>
        <w:t xml:space="preserve">reedom of </w:t>
      </w:r>
      <w:r w:rsidR="004A06A9">
        <w:rPr>
          <w:lang w:val="en-GB"/>
        </w:rPr>
        <w:t>E</w:t>
      </w:r>
      <w:r w:rsidRPr="00F1597C">
        <w:rPr>
          <w:lang w:val="en-GB"/>
        </w:rPr>
        <w:t xml:space="preserve">xpression, article 16 of the </w:t>
      </w:r>
      <w:r w:rsidR="00D42E9E">
        <w:rPr>
          <w:lang w:val="en-GB"/>
        </w:rPr>
        <w:t>C</w:t>
      </w:r>
      <w:r w:rsidRPr="00F1597C">
        <w:rPr>
          <w:lang w:val="en-GB"/>
        </w:rPr>
        <w:t xml:space="preserve">ivil </w:t>
      </w:r>
      <w:r w:rsidR="00D42E9E">
        <w:rPr>
          <w:lang w:val="en-GB"/>
        </w:rPr>
        <w:t>C</w:t>
      </w:r>
      <w:r w:rsidRPr="00F1597C">
        <w:rPr>
          <w:lang w:val="en-GB"/>
        </w:rPr>
        <w:t xml:space="preserve">ode (governing the right reputation). The concrete relevance of these provisions for the case is not explained at that stage. </w:t>
      </w:r>
    </w:p>
    <w:p w14:paraId="71597FB1" w14:textId="77777777" w:rsidR="00F1597C" w:rsidRPr="00F1597C" w:rsidRDefault="00F1597C" w:rsidP="00C81505">
      <w:pPr>
        <w:spacing w:line="360" w:lineRule="auto"/>
        <w:jc w:val="both"/>
        <w:rPr>
          <w:lang w:val="en-GB"/>
        </w:rPr>
      </w:pPr>
      <w:r w:rsidRPr="00F1597C">
        <w:rPr>
          <w:lang w:val="en-GB"/>
        </w:rPr>
        <w:t xml:space="preserve">The judgement then gives an account of the facts, starting </w:t>
      </w:r>
      <w:r w:rsidR="00D42E9E">
        <w:rPr>
          <w:lang w:val="en-GB"/>
        </w:rPr>
        <w:t>with</w:t>
      </w:r>
      <w:r w:rsidRPr="00F1597C">
        <w:rPr>
          <w:lang w:val="en-GB"/>
        </w:rPr>
        <w:t xml:space="preserve"> information on the broadcasting licence of the defendant. This account runs to eight lines of the judgement.</w:t>
      </w:r>
    </w:p>
    <w:p w14:paraId="1184A144" w14:textId="77777777" w:rsidR="00F1597C" w:rsidRPr="00F1597C" w:rsidRDefault="00F1597C" w:rsidP="00C81505">
      <w:pPr>
        <w:spacing w:line="360" w:lineRule="auto"/>
        <w:jc w:val="both"/>
        <w:rPr>
          <w:lang w:val="en-GB"/>
        </w:rPr>
      </w:pPr>
      <w:r w:rsidRPr="00F1597C">
        <w:rPr>
          <w:lang w:val="en-GB"/>
        </w:rPr>
        <w:t>Following this summary, the judgement sta</w:t>
      </w:r>
      <w:r w:rsidR="00D42E9E">
        <w:rPr>
          <w:lang w:val="en-GB"/>
        </w:rPr>
        <w:t>tes</w:t>
      </w:r>
      <w:r w:rsidRPr="00F1597C">
        <w:rPr>
          <w:lang w:val="en-GB"/>
        </w:rPr>
        <w:t xml:space="preserve"> again th</w:t>
      </w:r>
      <w:r w:rsidR="00D42E9E">
        <w:rPr>
          <w:lang w:val="en-GB"/>
        </w:rPr>
        <w:t xml:space="preserve">at pursuant to </w:t>
      </w:r>
      <w:r w:rsidRPr="00F1597C">
        <w:rPr>
          <w:lang w:val="en-GB"/>
        </w:rPr>
        <w:t xml:space="preserve">article 16 of the </w:t>
      </w:r>
      <w:r w:rsidR="004A06A9">
        <w:rPr>
          <w:lang w:val="en-GB"/>
        </w:rPr>
        <w:t>C</w:t>
      </w:r>
      <w:r w:rsidRPr="00F1597C">
        <w:rPr>
          <w:lang w:val="en-GB"/>
        </w:rPr>
        <w:t xml:space="preserve">ivil </w:t>
      </w:r>
      <w:r w:rsidR="004A06A9">
        <w:rPr>
          <w:lang w:val="en-GB"/>
        </w:rPr>
        <w:t>C</w:t>
      </w:r>
      <w:r w:rsidRPr="00F1597C">
        <w:rPr>
          <w:lang w:val="en-GB"/>
        </w:rPr>
        <w:t xml:space="preserve">ode a </w:t>
      </w:r>
      <w:r w:rsidR="00855377">
        <w:rPr>
          <w:lang w:val="en-GB"/>
        </w:rPr>
        <w:t>p</w:t>
      </w:r>
      <w:r w:rsidRPr="00F1597C">
        <w:rPr>
          <w:lang w:val="en-GB"/>
        </w:rPr>
        <w:t>erson has the right to demand</w:t>
      </w:r>
      <w:r w:rsidR="004A06A9">
        <w:rPr>
          <w:lang w:val="en-GB"/>
        </w:rPr>
        <w:t xml:space="preserve"> the</w:t>
      </w:r>
      <w:r w:rsidRPr="00F1597C">
        <w:rPr>
          <w:lang w:val="en-GB"/>
        </w:rPr>
        <w:t xml:space="preserve"> </w:t>
      </w:r>
      <w:r w:rsidR="004A06A9">
        <w:rPr>
          <w:lang w:val="en-GB"/>
        </w:rPr>
        <w:t>revocation</w:t>
      </w:r>
      <w:r w:rsidRPr="00F1597C">
        <w:rPr>
          <w:lang w:val="en-GB"/>
        </w:rPr>
        <w:t xml:space="preserve"> of information </w:t>
      </w:r>
      <w:r w:rsidR="00855377">
        <w:rPr>
          <w:lang w:val="en-GB"/>
        </w:rPr>
        <w:t>which</w:t>
      </w:r>
      <w:r w:rsidRPr="00F1597C">
        <w:rPr>
          <w:lang w:val="en-GB"/>
        </w:rPr>
        <w:t xml:space="preserve"> damag</w:t>
      </w:r>
      <w:r w:rsidR="00D42E9E">
        <w:rPr>
          <w:lang w:val="en-GB"/>
        </w:rPr>
        <w:t>es his personal</w:t>
      </w:r>
      <w:r w:rsidRPr="00F1597C">
        <w:rPr>
          <w:lang w:val="en-GB"/>
        </w:rPr>
        <w:t xml:space="preserve"> or professional reputation. The judgement then again paraphrases article 3 of the </w:t>
      </w:r>
      <w:r w:rsidR="00D42E9E">
        <w:rPr>
          <w:lang w:val="en-GB"/>
        </w:rPr>
        <w:t>L</w:t>
      </w:r>
      <w:r w:rsidRPr="00F1597C">
        <w:rPr>
          <w:lang w:val="en-GB"/>
        </w:rPr>
        <w:t xml:space="preserve">aw on </w:t>
      </w:r>
      <w:r w:rsidR="00D42E9E">
        <w:rPr>
          <w:lang w:val="en-GB"/>
        </w:rPr>
        <w:t>F</w:t>
      </w:r>
      <w:r w:rsidRPr="00F1597C">
        <w:rPr>
          <w:lang w:val="en-GB"/>
        </w:rPr>
        <w:t xml:space="preserve">reedom of </w:t>
      </w:r>
      <w:r w:rsidR="00D42E9E">
        <w:rPr>
          <w:lang w:val="en-GB"/>
        </w:rPr>
        <w:t>E</w:t>
      </w:r>
      <w:r w:rsidRPr="00F1597C">
        <w:rPr>
          <w:lang w:val="en-GB"/>
        </w:rPr>
        <w:t>xpression. It goes on to explain the distinction between</w:t>
      </w:r>
      <w:r w:rsidR="00D42E9E">
        <w:rPr>
          <w:lang w:val="en-GB"/>
        </w:rPr>
        <w:t xml:space="preserve"> value</w:t>
      </w:r>
      <w:r w:rsidRPr="00F1597C">
        <w:rPr>
          <w:lang w:val="en-GB"/>
        </w:rPr>
        <w:t xml:space="preserve"> judgements and allegations of facts. The court does not elaborate on the bearing of that distinction for the case at hand.</w:t>
      </w:r>
    </w:p>
    <w:p w14:paraId="282B59D6" w14:textId="77777777" w:rsidR="00F1597C" w:rsidRPr="00F1597C" w:rsidRDefault="00F1597C" w:rsidP="00C81505">
      <w:pPr>
        <w:spacing w:line="360" w:lineRule="auto"/>
        <w:jc w:val="both"/>
        <w:rPr>
          <w:lang w:val="en-GB"/>
        </w:rPr>
      </w:pPr>
      <w:r w:rsidRPr="00F1597C">
        <w:rPr>
          <w:lang w:val="en-GB"/>
        </w:rPr>
        <w:t xml:space="preserve">The judgement then states that pursuant to article 24 of the </w:t>
      </w:r>
      <w:r w:rsidR="00D42E9E">
        <w:rPr>
          <w:lang w:val="en-GB"/>
        </w:rPr>
        <w:t>L</w:t>
      </w:r>
      <w:r w:rsidRPr="00F1597C">
        <w:rPr>
          <w:lang w:val="en-GB"/>
        </w:rPr>
        <w:t xml:space="preserve">aw on </w:t>
      </w:r>
      <w:r w:rsidR="00D42E9E">
        <w:rPr>
          <w:lang w:val="en-GB"/>
        </w:rPr>
        <w:t>F</w:t>
      </w:r>
      <w:r w:rsidRPr="00F1597C">
        <w:rPr>
          <w:lang w:val="en-GB"/>
        </w:rPr>
        <w:t xml:space="preserve">reedom of </w:t>
      </w:r>
      <w:r w:rsidR="00D42E9E">
        <w:rPr>
          <w:lang w:val="en-GB"/>
        </w:rPr>
        <w:t>E</w:t>
      </w:r>
      <w:r w:rsidRPr="00F1597C">
        <w:rPr>
          <w:lang w:val="en-GB"/>
        </w:rPr>
        <w:t>xpression the plaintiff must prove the dissemination of information, th</w:t>
      </w:r>
      <w:r w:rsidR="00D42E9E">
        <w:rPr>
          <w:lang w:val="en-GB"/>
        </w:rPr>
        <w:t>at the defamation contained therein is</w:t>
      </w:r>
      <w:r w:rsidRPr="00F1597C">
        <w:rPr>
          <w:lang w:val="en-GB"/>
        </w:rPr>
        <w:t xml:space="preserve"> defamatory the information is the account of facts and essentially fal</w:t>
      </w:r>
      <w:r w:rsidR="00D42E9E">
        <w:rPr>
          <w:lang w:val="en-GB"/>
        </w:rPr>
        <w:t>se</w:t>
      </w:r>
      <w:r w:rsidRPr="00F1597C">
        <w:rPr>
          <w:lang w:val="en-GB"/>
        </w:rPr>
        <w:t xml:space="preserve">, or </w:t>
      </w:r>
      <w:r w:rsidR="00D42E9E">
        <w:rPr>
          <w:lang w:val="en-GB"/>
        </w:rPr>
        <w:t>value</w:t>
      </w:r>
      <w:r w:rsidRPr="00F1597C">
        <w:rPr>
          <w:lang w:val="en-GB"/>
        </w:rPr>
        <w:t xml:space="preserve"> judgement is not based on</w:t>
      </w:r>
      <w:r w:rsidR="00D42E9E">
        <w:rPr>
          <w:lang w:val="en-GB"/>
        </w:rPr>
        <w:t xml:space="preserve"> a</w:t>
      </w:r>
      <w:r w:rsidRPr="00F1597C">
        <w:rPr>
          <w:lang w:val="en-GB"/>
        </w:rPr>
        <w:t xml:space="preserve"> sufficient factual substrate</w:t>
      </w:r>
      <w:r w:rsidR="00D42E9E">
        <w:rPr>
          <w:lang w:val="en-GB"/>
        </w:rPr>
        <w:t xml:space="preserve"> and </w:t>
      </w:r>
      <w:r w:rsidRPr="00F1597C">
        <w:rPr>
          <w:lang w:val="en-GB"/>
        </w:rPr>
        <w:t>the existence and the amount of damage caused. The court then states that the information spread about the plaintiff was simply a value judgement based on factual substrate. However, there is no explanation whatsoever on the criteria the court applied or the way in which that result</w:t>
      </w:r>
      <w:r w:rsidR="00855377">
        <w:rPr>
          <w:lang w:val="en-GB"/>
        </w:rPr>
        <w:t xml:space="preserve"> impacts the ruling.</w:t>
      </w:r>
    </w:p>
    <w:p w14:paraId="2222400F" w14:textId="77777777" w:rsidR="00F1597C" w:rsidRPr="00F1597C" w:rsidRDefault="00F1597C" w:rsidP="00C81505">
      <w:pPr>
        <w:spacing w:line="360" w:lineRule="auto"/>
        <w:jc w:val="both"/>
        <w:rPr>
          <w:lang w:val="en-GB"/>
        </w:rPr>
      </w:pPr>
      <w:r w:rsidRPr="00F1597C">
        <w:rPr>
          <w:lang w:val="en-GB"/>
        </w:rPr>
        <w:t xml:space="preserve">In addition to that, the judgement states that the information spread by the defendant company was not defamatory since </w:t>
      </w:r>
      <w:r w:rsidRPr="00F1597C">
        <w:rPr>
          <w:i/>
          <w:lang w:val="en-GB"/>
        </w:rPr>
        <w:t>‘the defendant did not give names to any person, presenting about the case that was accompanied by video, without mentioning that these would have anything to do with the people in the video’.</w:t>
      </w:r>
      <w:r w:rsidRPr="00F1597C">
        <w:rPr>
          <w:lang w:val="en-GB"/>
        </w:rPr>
        <w:t xml:space="preserve"> The court does</w:t>
      </w:r>
      <w:r w:rsidR="00D42E9E">
        <w:rPr>
          <w:lang w:val="en-GB"/>
        </w:rPr>
        <w:t xml:space="preserve"> not</w:t>
      </w:r>
      <w:r w:rsidRPr="00F1597C">
        <w:rPr>
          <w:lang w:val="en-GB"/>
        </w:rPr>
        <w:t xml:space="preserve"> elaborate further on this. Consequently, the issue is not discussed whether the information was defamatory since viewers were likely to get the impression that the persons depicted were members of the Antifa - although </w:t>
      </w:r>
      <w:r w:rsidR="00D42E9E">
        <w:rPr>
          <w:lang w:val="en-GB"/>
        </w:rPr>
        <w:t>this</w:t>
      </w:r>
      <w:r w:rsidRPr="00F1597C">
        <w:rPr>
          <w:lang w:val="en-GB"/>
        </w:rPr>
        <w:t xml:space="preserve"> </w:t>
      </w:r>
      <w:r w:rsidR="00D42E9E">
        <w:rPr>
          <w:lang w:val="en-GB"/>
        </w:rPr>
        <w:t>seems to be</w:t>
      </w:r>
      <w:r w:rsidRPr="00F1597C">
        <w:rPr>
          <w:lang w:val="en-GB"/>
        </w:rPr>
        <w:t xml:space="preserve"> one of the main issues of the case.</w:t>
      </w:r>
    </w:p>
    <w:p w14:paraId="170046B5" w14:textId="77777777" w:rsidR="00F1597C" w:rsidRPr="00F1597C" w:rsidRDefault="00F1597C" w:rsidP="00C81505">
      <w:pPr>
        <w:spacing w:line="360" w:lineRule="auto"/>
        <w:jc w:val="both"/>
        <w:rPr>
          <w:lang w:val="en-GB"/>
        </w:rPr>
      </w:pPr>
      <w:r w:rsidRPr="00F1597C">
        <w:rPr>
          <w:lang w:val="en-GB"/>
        </w:rPr>
        <w:t>The judgement then points out that the plaintiff did not substantiate whether the information constituted an account of facts which was basically fal</w:t>
      </w:r>
      <w:r w:rsidR="00D42E9E">
        <w:rPr>
          <w:lang w:val="en-GB"/>
        </w:rPr>
        <w:t>se</w:t>
      </w:r>
      <w:r w:rsidRPr="00F1597C">
        <w:rPr>
          <w:lang w:val="en-GB"/>
        </w:rPr>
        <w:t xml:space="preserve"> and that he did not submit evidence proving that the value judgement was not based on sufficient factual substrate. Subsequently, the judgement explains yet another time the difference between value judgements and allegations of facts. It refers to jurisprudence by the European Court on Human Rights both with regard to value judgements and </w:t>
      </w:r>
      <w:r w:rsidRPr="00F1597C">
        <w:rPr>
          <w:lang w:val="en-GB"/>
        </w:rPr>
        <w:lastRenderedPageBreak/>
        <w:t>statements of fact. Again, the judgement does not link these legal concepts to the case. At this point, the court neither explains whether it considered the information a value judgement or an allegation of facts nor does it state what legal conclusions it draws from that.</w:t>
      </w:r>
    </w:p>
    <w:p w14:paraId="00A55DA2" w14:textId="77777777" w:rsidR="00F1597C" w:rsidRPr="00F1597C" w:rsidRDefault="00F1597C" w:rsidP="00C81505">
      <w:pPr>
        <w:spacing w:line="360" w:lineRule="auto"/>
        <w:jc w:val="both"/>
        <w:rPr>
          <w:lang w:val="en-GB"/>
        </w:rPr>
      </w:pPr>
      <w:r w:rsidRPr="00F1597C">
        <w:rPr>
          <w:lang w:val="en-GB"/>
        </w:rPr>
        <w:t xml:space="preserve">The court proceeds to refer practice direction issued by the Supreme Court regarding the </w:t>
      </w:r>
      <w:r w:rsidR="00D42E9E">
        <w:rPr>
          <w:lang w:val="en-GB"/>
        </w:rPr>
        <w:t>L</w:t>
      </w:r>
      <w:r w:rsidRPr="00F1597C">
        <w:rPr>
          <w:lang w:val="en-GB"/>
        </w:rPr>
        <w:t xml:space="preserve">aw on </w:t>
      </w:r>
      <w:r w:rsidR="00D42E9E">
        <w:rPr>
          <w:lang w:val="en-GB"/>
        </w:rPr>
        <w:t>F</w:t>
      </w:r>
      <w:r w:rsidRPr="00F1597C">
        <w:rPr>
          <w:lang w:val="en-GB"/>
        </w:rPr>
        <w:t xml:space="preserve">reedom of </w:t>
      </w:r>
      <w:r w:rsidR="00D42E9E">
        <w:rPr>
          <w:lang w:val="en-GB"/>
        </w:rPr>
        <w:t>E</w:t>
      </w:r>
      <w:r w:rsidRPr="00F1597C">
        <w:rPr>
          <w:lang w:val="en-GB"/>
        </w:rPr>
        <w:t xml:space="preserve">xpression and </w:t>
      </w:r>
      <w:r w:rsidR="00855377">
        <w:rPr>
          <w:lang w:val="en-GB"/>
        </w:rPr>
        <w:t>c</w:t>
      </w:r>
      <w:r w:rsidRPr="00F1597C">
        <w:rPr>
          <w:lang w:val="en-GB"/>
        </w:rPr>
        <w:t>ites definitions of honour, dignity and professional reputation. Again</w:t>
      </w:r>
      <w:r w:rsidR="00D42E9E">
        <w:rPr>
          <w:lang w:val="en-GB"/>
        </w:rPr>
        <w:t>,</w:t>
      </w:r>
      <w:r w:rsidRPr="00F1597C">
        <w:rPr>
          <w:lang w:val="en-GB"/>
        </w:rPr>
        <w:t xml:space="preserve"> the court does not explain what the bearing of these definitions on the case at hand is.</w:t>
      </w:r>
    </w:p>
    <w:p w14:paraId="6305B517" w14:textId="77777777" w:rsidR="00F1597C" w:rsidRPr="00F1597C" w:rsidRDefault="00F1597C" w:rsidP="00C81505">
      <w:pPr>
        <w:spacing w:line="360" w:lineRule="auto"/>
        <w:jc w:val="both"/>
        <w:rPr>
          <w:lang w:val="en-GB"/>
        </w:rPr>
      </w:pPr>
      <w:r w:rsidRPr="00F1597C">
        <w:rPr>
          <w:lang w:val="en-GB"/>
        </w:rPr>
        <w:t>The court then points out that according to the practice direction of the Supreme Court the re</w:t>
      </w:r>
      <w:r w:rsidR="00D42E9E">
        <w:rPr>
          <w:lang w:val="en-GB"/>
        </w:rPr>
        <w:t>v</w:t>
      </w:r>
      <w:r w:rsidRPr="00F1597C">
        <w:rPr>
          <w:lang w:val="en-GB"/>
        </w:rPr>
        <w:t>ocation of statements can only be demanded if the information was found to be false. It also underlines that it is incumbent on the plaintiff to prove that the information is false.</w:t>
      </w:r>
    </w:p>
    <w:p w14:paraId="6D0117C2" w14:textId="77777777" w:rsidR="00F1597C" w:rsidRPr="00F1597C" w:rsidRDefault="00F1597C" w:rsidP="00C81505">
      <w:pPr>
        <w:spacing w:line="360" w:lineRule="auto"/>
        <w:jc w:val="both"/>
        <w:rPr>
          <w:lang w:val="en-GB"/>
        </w:rPr>
      </w:pPr>
      <w:r w:rsidRPr="00F1597C">
        <w:rPr>
          <w:lang w:val="en-GB"/>
        </w:rPr>
        <w:t xml:space="preserve">The judgement then explains that there was no defamation </w:t>
      </w:r>
      <w:r w:rsidRPr="00F1597C">
        <w:rPr>
          <w:i/>
          <w:lang w:val="en-GB"/>
        </w:rPr>
        <w:t>‘but there was news that was accompanied by some visual images, including that of the plaintiff, including through video recording attached to the case material.’</w:t>
      </w:r>
      <w:r w:rsidRPr="00F1597C">
        <w:rPr>
          <w:lang w:val="en-GB"/>
        </w:rPr>
        <w:t xml:space="preserve"> Again, the court does not deal with the issue whether depicting the plaintiff in the report by referring to the Antifa group portrays the plaintiff by implication as a member of this group.</w:t>
      </w:r>
    </w:p>
    <w:p w14:paraId="5DF96210" w14:textId="77777777" w:rsidR="00F1597C" w:rsidRDefault="00F1597C" w:rsidP="00C81505">
      <w:pPr>
        <w:spacing w:line="360" w:lineRule="auto"/>
        <w:jc w:val="both"/>
        <w:rPr>
          <w:lang w:val="en-GB"/>
        </w:rPr>
      </w:pPr>
      <w:r w:rsidRPr="00F1597C">
        <w:rPr>
          <w:lang w:val="en-GB"/>
        </w:rPr>
        <w:t>Finally, the judgement states that the plaintiff did not prove to have suffered any damage.</w:t>
      </w:r>
    </w:p>
    <w:p w14:paraId="4333F1EE" w14:textId="77777777" w:rsidR="000F12D3" w:rsidRDefault="000F12D3" w:rsidP="00C81505">
      <w:pPr>
        <w:spacing w:line="360" w:lineRule="auto"/>
        <w:jc w:val="both"/>
        <w:rPr>
          <w:lang w:val="en-GB"/>
        </w:rPr>
      </w:pPr>
      <w:r>
        <w:rPr>
          <w:lang w:val="en-GB"/>
        </w:rPr>
        <w:t>Thus, the judgment fails to</w:t>
      </w:r>
      <w:r w:rsidR="00DB4909">
        <w:rPr>
          <w:lang w:val="en-GB"/>
        </w:rPr>
        <w:t xml:space="preserve"> identify the crucial legal points on which the decision turned. It remains unclear which legal provision was decisive, what role freedom of expression played (if any) and in how far the distinction between facts and value judgments impacted the decision.</w:t>
      </w:r>
    </w:p>
    <w:p w14:paraId="3AD50370" w14:textId="0C81E502" w:rsidR="00DB4909" w:rsidRDefault="00DB4909" w:rsidP="00C81505">
      <w:pPr>
        <w:spacing w:line="360" w:lineRule="auto"/>
        <w:jc w:val="both"/>
        <w:rPr>
          <w:lang w:val="en-GB"/>
        </w:rPr>
      </w:pPr>
      <w:r>
        <w:rPr>
          <w:lang w:val="en-GB"/>
        </w:rPr>
        <w:t xml:space="preserve">While this judgment is an extreme example, chosen to highlight a point, the tendency to cite numerous legal norms without clarifying their importance for the case is widespread. It was found in about 50% of the judgments scrutinized for purposes of this report. </w:t>
      </w:r>
    </w:p>
    <w:p w14:paraId="18F1C093" w14:textId="77777777" w:rsidR="00C0605F" w:rsidRPr="00F1597C" w:rsidRDefault="00C0605F" w:rsidP="00C81505">
      <w:pPr>
        <w:spacing w:line="360" w:lineRule="auto"/>
        <w:jc w:val="both"/>
        <w:rPr>
          <w:lang w:val="en-GB"/>
        </w:rPr>
      </w:pPr>
    </w:p>
    <w:p w14:paraId="0D757590" w14:textId="77777777" w:rsidR="00F1597C" w:rsidRPr="000709CB" w:rsidRDefault="00F1597C" w:rsidP="00C81505">
      <w:pPr>
        <w:spacing w:line="360" w:lineRule="auto"/>
        <w:jc w:val="both"/>
        <w:rPr>
          <w:lang w:val="en-GB"/>
        </w:rPr>
      </w:pPr>
    </w:p>
    <w:p w14:paraId="6E2BC497" w14:textId="77777777" w:rsidR="00E261DB" w:rsidRDefault="004F27C9" w:rsidP="00C81505">
      <w:pPr>
        <w:pStyle w:val="berschrift4"/>
        <w:spacing w:line="360" w:lineRule="auto"/>
        <w:rPr>
          <w:lang w:val="en-GB"/>
        </w:rPr>
      </w:pPr>
      <w:r>
        <w:rPr>
          <w:lang w:val="en-GB"/>
        </w:rPr>
        <w:t>Not addressing legal arguments advanced by the parties</w:t>
      </w:r>
    </w:p>
    <w:p w14:paraId="2021C64D" w14:textId="77777777" w:rsidR="000F4718" w:rsidRPr="008F783B" w:rsidRDefault="00184807" w:rsidP="00C81505">
      <w:pPr>
        <w:spacing w:line="360" w:lineRule="auto"/>
        <w:jc w:val="both"/>
        <w:rPr>
          <w:lang w:val="en-GB"/>
        </w:rPr>
      </w:pPr>
      <w:r>
        <w:rPr>
          <w:lang w:val="en-GB"/>
        </w:rPr>
        <w:t xml:space="preserve">Another observation </w:t>
      </w:r>
      <w:r w:rsidR="004B67E1">
        <w:rPr>
          <w:lang w:val="en-GB"/>
        </w:rPr>
        <w:t>regarding the judgements examin</w:t>
      </w:r>
      <w:r w:rsidR="007523DC">
        <w:rPr>
          <w:lang w:val="en-GB"/>
        </w:rPr>
        <w:t>ed is that they often deal with legal arguments advanced by the parties in cavalier and superficial way or fails to address them altogether.</w:t>
      </w:r>
    </w:p>
    <w:p w14:paraId="4AC12BBF" w14:textId="6E20BD7A" w:rsidR="00DE2D4C" w:rsidRDefault="007523DC" w:rsidP="00C81505">
      <w:pPr>
        <w:spacing w:line="360" w:lineRule="auto"/>
        <w:jc w:val="both"/>
        <w:rPr>
          <w:lang w:val="en-US"/>
        </w:rPr>
      </w:pPr>
      <w:r>
        <w:rPr>
          <w:lang w:val="en-GB"/>
        </w:rPr>
        <w:t>An example for the form</w:t>
      </w:r>
      <w:r w:rsidR="00423E78">
        <w:rPr>
          <w:lang w:val="en-GB"/>
        </w:rPr>
        <w:t>er</w:t>
      </w:r>
      <w:r>
        <w:rPr>
          <w:lang w:val="en-GB"/>
        </w:rPr>
        <w:t xml:space="preserve"> is a </w:t>
      </w:r>
      <w:r w:rsidR="00423E78">
        <w:rPr>
          <w:lang w:val="en-GB"/>
        </w:rPr>
        <w:t xml:space="preserve">decision </w:t>
      </w:r>
      <w:r>
        <w:rPr>
          <w:lang w:val="en-GB"/>
        </w:rPr>
        <w:t xml:space="preserve">given by </w:t>
      </w:r>
      <w:r w:rsidR="00DE2D4C">
        <w:rPr>
          <w:lang w:val="en-US"/>
        </w:rPr>
        <w:t>the Supreme Court</w:t>
      </w:r>
      <w:r>
        <w:rPr>
          <w:lang w:val="en-US"/>
        </w:rPr>
        <w:t>.</w:t>
      </w:r>
      <w:r>
        <w:rPr>
          <w:rStyle w:val="Funotenzeichen"/>
          <w:lang w:val="en-US"/>
        </w:rPr>
        <w:footnoteReference w:id="18"/>
      </w:r>
      <w:r w:rsidR="006C627F">
        <w:rPr>
          <w:lang w:val="en-US"/>
        </w:rPr>
        <w:t xml:space="preserve"> </w:t>
      </w:r>
      <w:r>
        <w:rPr>
          <w:lang w:val="en-US"/>
        </w:rPr>
        <w:t>T</w:t>
      </w:r>
      <w:r w:rsidR="00DE2D4C">
        <w:rPr>
          <w:lang w:val="en-US"/>
        </w:rPr>
        <w:t>he defendant had been convicted for bribing a public official. He argued that he had been entrapped (leaning on judgments by the ECtHR, the term ‘provocation’ is used in Moldova). The Supreme Court stated:</w:t>
      </w:r>
    </w:p>
    <w:p w14:paraId="6FB82BEE" w14:textId="77777777" w:rsidR="00DE2D4C" w:rsidRPr="00DE2D4C" w:rsidRDefault="00DE2D4C" w:rsidP="00C81505">
      <w:pPr>
        <w:spacing w:line="360" w:lineRule="auto"/>
        <w:ind w:left="708"/>
        <w:jc w:val="both"/>
        <w:rPr>
          <w:i/>
          <w:lang w:val="en-US"/>
        </w:rPr>
      </w:pPr>
      <w:r w:rsidRPr="00DE2D4C">
        <w:rPr>
          <w:i/>
          <w:lang w:val="en-US"/>
        </w:rPr>
        <w:lastRenderedPageBreak/>
        <w:t>In another line of thought, the Criminal Chamber assesses critically the arguments of the appellant that the defendant has been provoked by Smirnova T. to commit the crime, that provocation as a means of establishing the crime is not accepted, and that the minutes of receipt of the complaint of citizen Smirnova T. of 03.08.2012 were to be declared void, due to the reason that they were drawn up in a language not known to the denouncer, in the absence of a translator, which implies their nullity, because the appellate court expressed its argued view on them in its decision, considering the arguments as unfounded.</w:t>
      </w:r>
    </w:p>
    <w:p w14:paraId="077A38BC" w14:textId="77777777" w:rsidR="003C329C" w:rsidRDefault="003C329C" w:rsidP="00C81505">
      <w:pPr>
        <w:spacing w:line="360" w:lineRule="auto"/>
        <w:jc w:val="both"/>
        <w:rPr>
          <w:i/>
          <w:lang w:val="en-US"/>
        </w:rPr>
      </w:pPr>
    </w:p>
    <w:p w14:paraId="76DF2DBB" w14:textId="77777777" w:rsidR="007523DC" w:rsidRDefault="007523DC" w:rsidP="00C81505">
      <w:pPr>
        <w:spacing w:line="360" w:lineRule="auto"/>
        <w:jc w:val="both"/>
        <w:rPr>
          <w:lang w:val="en-US"/>
        </w:rPr>
      </w:pPr>
      <w:r>
        <w:rPr>
          <w:lang w:val="en-US"/>
        </w:rPr>
        <w:t>In essence, the Supreme Court argued that it rejected the appeal against the judgement by the Court of Appeal because the Court of Appeal had already decided on the matter.</w:t>
      </w:r>
    </w:p>
    <w:p w14:paraId="6AEA49EE" w14:textId="77777777" w:rsidR="006907D7" w:rsidRDefault="007523DC" w:rsidP="00C81505">
      <w:pPr>
        <w:spacing w:line="360" w:lineRule="auto"/>
        <w:jc w:val="both"/>
        <w:rPr>
          <w:lang w:val="en-US"/>
        </w:rPr>
      </w:pPr>
      <w:r>
        <w:rPr>
          <w:lang w:val="en-US"/>
        </w:rPr>
        <w:t>In other cases, courts failed to address legal arguments or important legal issues altogether. It is, obviously, h</w:t>
      </w:r>
      <w:r w:rsidR="0024421B">
        <w:rPr>
          <w:lang w:val="en-US"/>
        </w:rPr>
        <w:t>ard</w:t>
      </w:r>
      <w:r>
        <w:rPr>
          <w:lang w:val="en-US"/>
        </w:rPr>
        <w:t xml:space="preserve"> to substantiate this finding on the basis of judgements only (since the point is that certain considerations are </w:t>
      </w:r>
      <w:r w:rsidRPr="006A1602">
        <w:rPr>
          <w:b/>
          <w:lang w:val="en-US"/>
        </w:rPr>
        <w:t>not</w:t>
      </w:r>
      <w:r>
        <w:rPr>
          <w:lang w:val="en-US"/>
        </w:rPr>
        <w:t xml:space="preserve"> in the judgement). The case in point can be made, however, referring to judgements by the European </w:t>
      </w:r>
      <w:r w:rsidR="006472D0">
        <w:rPr>
          <w:lang w:val="en-US"/>
        </w:rPr>
        <w:t>C</w:t>
      </w:r>
      <w:r>
        <w:rPr>
          <w:lang w:val="en-US"/>
        </w:rPr>
        <w:t xml:space="preserve">ourt of </w:t>
      </w:r>
      <w:r w:rsidR="006472D0">
        <w:rPr>
          <w:lang w:val="en-US"/>
        </w:rPr>
        <w:t>H</w:t>
      </w:r>
      <w:r>
        <w:rPr>
          <w:lang w:val="en-US"/>
        </w:rPr>
        <w:t xml:space="preserve">uman </w:t>
      </w:r>
      <w:r w:rsidR="006472D0">
        <w:rPr>
          <w:lang w:val="en-US"/>
        </w:rPr>
        <w:t>R</w:t>
      </w:r>
      <w:r>
        <w:rPr>
          <w:lang w:val="en-US"/>
        </w:rPr>
        <w:t>ights.</w:t>
      </w:r>
      <w:r w:rsidR="006472D0">
        <w:rPr>
          <w:lang w:val="en-US"/>
        </w:rPr>
        <w:t xml:space="preserve"> As pointed out above, the European Court of Human Rights interprets the right to a fair trial pursuant to article 6 ECHR as encompassing the right to a reasoned judgement. The court found Moldova in violation of this right in several cases. </w:t>
      </w:r>
    </w:p>
    <w:p w14:paraId="392317FD" w14:textId="7911DF89" w:rsidR="007523DC" w:rsidRDefault="006472D0" w:rsidP="00C81505">
      <w:pPr>
        <w:spacing w:line="360" w:lineRule="auto"/>
        <w:jc w:val="both"/>
        <w:rPr>
          <w:lang w:val="en-US"/>
        </w:rPr>
      </w:pPr>
      <w:r>
        <w:rPr>
          <w:lang w:val="en-US"/>
        </w:rPr>
        <w:t xml:space="preserve">For example, in </w:t>
      </w:r>
      <w:proofErr w:type="spellStart"/>
      <w:r>
        <w:rPr>
          <w:lang w:val="en-US"/>
        </w:rPr>
        <w:t>Nichifor</w:t>
      </w:r>
      <w:proofErr w:type="spellEnd"/>
      <w:r>
        <w:rPr>
          <w:lang w:val="en-US"/>
        </w:rPr>
        <w:t xml:space="preserve"> v Moldova</w:t>
      </w:r>
      <w:r w:rsidR="00855377">
        <w:rPr>
          <w:rStyle w:val="Funotenzeichen"/>
          <w:lang w:val="en-US"/>
        </w:rPr>
        <w:footnoteReference w:id="19"/>
      </w:r>
      <w:r>
        <w:rPr>
          <w:lang w:val="en-US"/>
        </w:rPr>
        <w:t xml:space="preserve">, the applicant had created a company in form of a limited </w:t>
      </w:r>
      <w:r w:rsidR="00423E78">
        <w:rPr>
          <w:lang w:val="en-US"/>
        </w:rPr>
        <w:t xml:space="preserve">liability company </w:t>
      </w:r>
      <w:r>
        <w:rPr>
          <w:lang w:val="en-US"/>
        </w:rPr>
        <w:t xml:space="preserve">together with partner. Years after they had founded the company, the partner initiated an action with the aim that the applicant be removed from the list of shareholders since he had not paid his contribution to the capital of the </w:t>
      </w:r>
      <w:r w:rsidR="00423E78">
        <w:rPr>
          <w:lang w:val="en-US"/>
        </w:rPr>
        <w:t>company</w:t>
      </w:r>
      <w:r>
        <w:rPr>
          <w:lang w:val="en-US"/>
        </w:rPr>
        <w:t xml:space="preserve">. In </w:t>
      </w:r>
      <w:r w:rsidR="006A1602">
        <w:rPr>
          <w:lang w:val="en-US"/>
        </w:rPr>
        <w:t>first</w:t>
      </w:r>
      <w:r>
        <w:rPr>
          <w:lang w:val="en-US"/>
        </w:rPr>
        <w:t xml:space="preserve"> instance, the action was rejected as time-barred. The plaintiff appealed. At the appeal stage, he produced an agreement allegedly signed by the applicant several years before, in which the applicant agreed to pay his outstanding contribution within one month or, should he fail to pay, be removed from the list of shareholders. The applicant asserted that the document had been fo</w:t>
      </w:r>
      <w:r w:rsidR="006A1602">
        <w:rPr>
          <w:lang w:val="en-US"/>
        </w:rPr>
        <w:t>rged</w:t>
      </w:r>
      <w:r>
        <w:rPr>
          <w:lang w:val="en-US"/>
        </w:rPr>
        <w:t xml:space="preserve"> and requested that an ex</w:t>
      </w:r>
      <w:r w:rsidR="006A1602">
        <w:rPr>
          <w:lang w:val="en-US"/>
        </w:rPr>
        <w:t>pert</w:t>
      </w:r>
      <w:r>
        <w:rPr>
          <w:lang w:val="en-US"/>
        </w:rPr>
        <w:t xml:space="preserve"> be commissioned</w:t>
      </w:r>
      <w:r w:rsidR="006A1602">
        <w:rPr>
          <w:lang w:val="en-US"/>
        </w:rPr>
        <w:t xml:space="preserve"> </w:t>
      </w:r>
      <w:r>
        <w:rPr>
          <w:lang w:val="en-US"/>
        </w:rPr>
        <w:t xml:space="preserve">to examine if the signature </w:t>
      </w:r>
      <w:r w:rsidR="006A1602">
        <w:rPr>
          <w:lang w:val="en-US"/>
        </w:rPr>
        <w:t>under the</w:t>
      </w:r>
      <w:r>
        <w:rPr>
          <w:lang w:val="en-US"/>
        </w:rPr>
        <w:t xml:space="preserve"> document was authentic. He submitted documentation proving that he had been in Israel when the document had allegedly been signed. The court did not respond to his request and did not include in the minutes that the request had been submitted. It ruled, that the applicant be erased from the list of shareholders. The applicant noted that his motion to authenticate his signature had not even been included in the minutes of the trial and asked for an amendment of the minutes. The court turned down the request. The applicant appealed against the judgement. The Supreme Court </w:t>
      </w:r>
      <w:r>
        <w:rPr>
          <w:lang w:val="en-US"/>
        </w:rPr>
        <w:lastRenderedPageBreak/>
        <w:t>rejected the appeal, relying solely on the minutes of the trial. In the reasoning of its decision, the Supreme Court did not address the applicant’s argument that his signature had been forged.</w:t>
      </w:r>
    </w:p>
    <w:p w14:paraId="125C0760" w14:textId="77777777" w:rsidR="006472D0" w:rsidRDefault="000D7B47" w:rsidP="00C81505">
      <w:pPr>
        <w:spacing w:line="360" w:lineRule="auto"/>
        <w:jc w:val="both"/>
        <w:rPr>
          <w:lang w:val="en-US"/>
        </w:rPr>
      </w:pPr>
      <w:r>
        <w:rPr>
          <w:lang w:val="en-US"/>
        </w:rPr>
        <w:t>The European Court of Human Rights found a violation of article 6 ECHR. It pointed out, that the applicant’s argument that his signature had been forged had been sufficiently substantiated and that it had been potentially decisive for the outcome of the litigation. Consequently, the domestic court had been under an obligation to deal with this argument.</w:t>
      </w:r>
    </w:p>
    <w:p w14:paraId="6F93A5C5" w14:textId="3DB99277" w:rsidR="000D7B47" w:rsidRDefault="000D7B47" w:rsidP="00C81505">
      <w:pPr>
        <w:spacing w:line="360" w:lineRule="auto"/>
        <w:jc w:val="both"/>
        <w:rPr>
          <w:lang w:val="en-US"/>
        </w:rPr>
      </w:pPr>
      <w:r>
        <w:rPr>
          <w:lang w:val="en-US"/>
        </w:rPr>
        <w:t xml:space="preserve">In </w:t>
      </w:r>
      <w:proofErr w:type="spellStart"/>
      <w:r>
        <w:rPr>
          <w:lang w:val="en-US"/>
        </w:rPr>
        <w:t>Vetrenko</w:t>
      </w:r>
      <w:proofErr w:type="spellEnd"/>
      <w:r>
        <w:rPr>
          <w:lang w:val="en-US"/>
        </w:rPr>
        <w:t xml:space="preserve"> v Moldova</w:t>
      </w:r>
      <w:r w:rsidR="00855377">
        <w:rPr>
          <w:rStyle w:val="Funotenzeichen"/>
          <w:lang w:val="en-US"/>
        </w:rPr>
        <w:footnoteReference w:id="20"/>
      </w:r>
      <w:r>
        <w:rPr>
          <w:lang w:val="en-US"/>
        </w:rPr>
        <w:t xml:space="preserve">, the applicant had been convicted of murder. He maintained that he had made his confession under duress. he contended that the way he had described the commitment of the crime in his confession did not match the findings of the forensic expert.  The defendant was initially acquitted on account of the inconsistency of his confession and the findings of the forensic expert. Following a </w:t>
      </w:r>
      <w:r w:rsidR="006907D7">
        <w:rPr>
          <w:lang w:val="en-US"/>
        </w:rPr>
        <w:t>retrial,</w:t>
      </w:r>
      <w:r>
        <w:rPr>
          <w:lang w:val="en-US"/>
        </w:rPr>
        <w:t xml:space="preserve"> he was convicted of murder.  He appealed the judgement, pointing to the difference between his confession and the way the crime had been committed according to the forensic experts. The Supreme Court did not examine these arguments. The European Court of Human Rights found a violation of the right to reasoned judgement. It attached particular w</w:t>
      </w:r>
      <w:r w:rsidR="00423E78">
        <w:rPr>
          <w:lang w:val="en-US"/>
        </w:rPr>
        <w:t>eight</w:t>
      </w:r>
      <w:r>
        <w:rPr>
          <w:lang w:val="en-US"/>
        </w:rPr>
        <w:t xml:space="preserve"> to the fact that during the retrial the courts have not dealt with the very arguments which ha</w:t>
      </w:r>
      <w:r w:rsidR="00AB3E95">
        <w:rPr>
          <w:lang w:val="en-US"/>
        </w:rPr>
        <w:t>d</w:t>
      </w:r>
      <w:r>
        <w:rPr>
          <w:lang w:val="en-US"/>
        </w:rPr>
        <w:t xml:space="preserve"> </w:t>
      </w:r>
      <w:r w:rsidR="00CE06B9">
        <w:rPr>
          <w:lang w:val="en-US"/>
        </w:rPr>
        <w:t>prompted</w:t>
      </w:r>
      <w:r>
        <w:rPr>
          <w:lang w:val="en-US"/>
        </w:rPr>
        <w:t xml:space="preserve"> the </w:t>
      </w:r>
      <w:r w:rsidR="00CE06B9">
        <w:rPr>
          <w:lang w:val="en-US"/>
        </w:rPr>
        <w:t>first</w:t>
      </w:r>
      <w:r>
        <w:rPr>
          <w:lang w:val="en-US"/>
        </w:rPr>
        <w:t xml:space="preserve"> court adjudicating the case to acquit the applicant.</w:t>
      </w:r>
    </w:p>
    <w:p w14:paraId="0E4B63BE" w14:textId="77777777" w:rsidR="00855377" w:rsidRDefault="00182DB5" w:rsidP="00C81505">
      <w:pPr>
        <w:spacing w:line="360" w:lineRule="auto"/>
        <w:jc w:val="both"/>
        <w:rPr>
          <w:lang w:val="en-US"/>
        </w:rPr>
      </w:pPr>
      <w:r>
        <w:rPr>
          <w:lang w:val="en-US"/>
        </w:rPr>
        <w:t xml:space="preserve">Cases in which the European Court of Human Rights held that Moldova had breached its obligations under the Convention are not limited to article 6. </w:t>
      </w:r>
    </w:p>
    <w:p w14:paraId="7D3E1629" w14:textId="77777777" w:rsidR="00182DB5" w:rsidRDefault="00182DB5" w:rsidP="00C81505">
      <w:pPr>
        <w:spacing w:line="360" w:lineRule="auto"/>
        <w:jc w:val="both"/>
        <w:rPr>
          <w:lang w:val="en-US"/>
        </w:rPr>
      </w:pPr>
      <w:r>
        <w:rPr>
          <w:lang w:val="en-US"/>
        </w:rPr>
        <w:t xml:space="preserve">In </w:t>
      </w:r>
      <w:proofErr w:type="spellStart"/>
      <w:r>
        <w:rPr>
          <w:lang w:val="en-US"/>
        </w:rPr>
        <w:t>Tiramavia</w:t>
      </w:r>
      <w:proofErr w:type="spellEnd"/>
      <w:r>
        <w:rPr>
          <w:lang w:val="en-US"/>
        </w:rPr>
        <w:t xml:space="preserve"> </w:t>
      </w:r>
      <w:proofErr w:type="spellStart"/>
      <w:r>
        <w:rPr>
          <w:lang w:val="en-US"/>
        </w:rPr>
        <w:t>Srl</w:t>
      </w:r>
      <w:proofErr w:type="spellEnd"/>
      <w:r>
        <w:rPr>
          <w:lang w:val="en-US"/>
        </w:rPr>
        <w:t xml:space="preserve"> and others v Moldova</w:t>
      </w:r>
      <w:r w:rsidR="00855377">
        <w:rPr>
          <w:rStyle w:val="Funotenzeichen"/>
          <w:lang w:val="en-US"/>
        </w:rPr>
        <w:footnoteReference w:id="21"/>
      </w:r>
      <w:r>
        <w:rPr>
          <w:lang w:val="en-US"/>
        </w:rPr>
        <w:t>, the Moldovan</w:t>
      </w:r>
      <w:r w:rsidR="001D42B8">
        <w:rPr>
          <w:lang w:val="en-US"/>
        </w:rPr>
        <w:t xml:space="preserve"> Civil Aviation State Authority had certain irregularities in the way three companies </w:t>
      </w:r>
      <w:proofErr w:type="spellStart"/>
      <w:r w:rsidR="001D42B8">
        <w:rPr>
          <w:lang w:val="en-US"/>
        </w:rPr>
        <w:t>specialising</w:t>
      </w:r>
      <w:proofErr w:type="spellEnd"/>
      <w:r w:rsidR="001D42B8">
        <w:rPr>
          <w:lang w:val="en-US"/>
        </w:rPr>
        <w:t xml:space="preserve"> in air transportation conducted the</w:t>
      </w:r>
      <w:r w:rsidR="006A1602">
        <w:rPr>
          <w:lang w:val="en-US"/>
        </w:rPr>
        <w:t>ir</w:t>
      </w:r>
      <w:r w:rsidR="001D42B8">
        <w:rPr>
          <w:lang w:val="en-US"/>
        </w:rPr>
        <w:t xml:space="preserve"> business</w:t>
      </w:r>
      <w:r w:rsidR="006A1602">
        <w:rPr>
          <w:lang w:val="en-US"/>
        </w:rPr>
        <w:t>es</w:t>
      </w:r>
      <w:r w:rsidR="001D42B8">
        <w:rPr>
          <w:lang w:val="en-US"/>
        </w:rPr>
        <w:t xml:space="preserve">. It set a deadline to remedy these irregularities; however, before the deadline had expired it withdrew the companies’ </w:t>
      </w:r>
      <w:r w:rsidR="00A9626E">
        <w:rPr>
          <w:lang w:val="en-US"/>
        </w:rPr>
        <w:t>licenses</w:t>
      </w:r>
      <w:r w:rsidR="001D42B8">
        <w:rPr>
          <w:lang w:val="en-US"/>
        </w:rPr>
        <w:t>. The companies appealed th</w:t>
      </w:r>
      <w:r w:rsidR="00A9626E">
        <w:rPr>
          <w:lang w:val="en-US"/>
        </w:rPr>
        <w:t>at</w:t>
      </w:r>
      <w:r w:rsidR="001D42B8">
        <w:rPr>
          <w:lang w:val="en-US"/>
        </w:rPr>
        <w:t xml:space="preserve"> decision. They argued that according to the applicable law</w:t>
      </w:r>
      <w:r w:rsidR="006A1602">
        <w:rPr>
          <w:lang w:val="en-US"/>
        </w:rPr>
        <w:t>, the</w:t>
      </w:r>
      <w:r w:rsidR="001D42B8">
        <w:rPr>
          <w:lang w:val="en-US"/>
        </w:rPr>
        <w:t xml:space="preserve"> </w:t>
      </w:r>
      <w:r w:rsidR="00A9626E">
        <w:rPr>
          <w:lang w:val="en-US"/>
        </w:rPr>
        <w:t>license</w:t>
      </w:r>
      <w:r w:rsidR="001D42B8">
        <w:rPr>
          <w:lang w:val="en-US"/>
        </w:rPr>
        <w:t xml:space="preserve"> could only be withdrawn after irregularities had not been addressed within the deadline set by the Civil Aviation State Authority. The competent court confirmed the decision to withdraw the </w:t>
      </w:r>
      <w:r w:rsidR="00A9626E">
        <w:rPr>
          <w:lang w:val="en-US"/>
        </w:rPr>
        <w:t>license</w:t>
      </w:r>
      <w:r w:rsidR="001D42B8">
        <w:rPr>
          <w:lang w:val="en-US"/>
        </w:rPr>
        <w:t xml:space="preserve"> without addressing this argument</w:t>
      </w:r>
      <w:r w:rsidR="00CA4A61">
        <w:rPr>
          <w:lang w:val="en-US"/>
        </w:rPr>
        <w:t>. The Supreme Court upheld this decision without addressing the applicant’s argument. The European Court of Human Rights held that the applicants right to property had been violated since the domestic courts had not provided sufficient reasoning for their judgements.</w:t>
      </w:r>
    </w:p>
    <w:p w14:paraId="51E50E31" w14:textId="77777777" w:rsidR="00A55524" w:rsidRDefault="00A55524" w:rsidP="00C81505">
      <w:pPr>
        <w:spacing w:line="360" w:lineRule="auto"/>
        <w:jc w:val="both"/>
        <w:rPr>
          <w:lang w:val="en-US"/>
        </w:rPr>
      </w:pPr>
    </w:p>
    <w:p w14:paraId="5B5E4BD6" w14:textId="77777777" w:rsidR="00A55524" w:rsidRDefault="00A55524" w:rsidP="000A72BB">
      <w:pPr>
        <w:pStyle w:val="berschrift2"/>
        <w:rPr>
          <w:lang w:val="en-US"/>
        </w:rPr>
      </w:pPr>
      <w:bookmarkStart w:id="16" w:name="_Toc3821709"/>
      <w:r>
        <w:rPr>
          <w:lang w:val="en-US"/>
        </w:rPr>
        <w:lastRenderedPageBreak/>
        <w:t>Possible reasons for short-comings</w:t>
      </w:r>
      <w:bookmarkEnd w:id="16"/>
    </w:p>
    <w:p w14:paraId="4B902902" w14:textId="77777777" w:rsidR="000A72BB" w:rsidRDefault="000A72BB" w:rsidP="000A72BB">
      <w:pPr>
        <w:rPr>
          <w:lang w:val="en-US"/>
        </w:rPr>
      </w:pPr>
    </w:p>
    <w:p w14:paraId="74820A84" w14:textId="77777777" w:rsidR="000A72BB" w:rsidRPr="000A72BB" w:rsidRDefault="000A72BB" w:rsidP="000A72BB">
      <w:pPr>
        <w:pStyle w:val="berschrift3"/>
        <w:rPr>
          <w:lang w:val="en-US"/>
        </w:rPr>
      </w:pPr>
      <w:bookmarkStart w:id="17" w:name="_Toc3821710"/>
      <w:r>
        <w:rPr>
          <w:lang w:val="en-US"/>
        </w:rPr>
        <w:t>Workload</w:t>
      </w:r>
      <w:bookmarkEnd w:id="17"/>
    </w:p>
    <w:p w14:paraId="3BDA4D29" w14:textId="77777777" w:rsidR="00A55524" w:rsidRDefault="005C64D7" w:rsidP="00C81505">
      <w:pPr>
        <w:spacing w:line="360" w:lineRule="auto"/>
        <w:jc w:val="both"/>
        <w:rPr>
          <w:lang w:val="en-US"/>
        </w:rPr>
      </w:pPr>
      <w:r>
        <w:rPr>
          <w:lang w:val="en-US"/>
        </w:rPr>
        <w:t>There was a widespread consensus among interlocutors – judges, attorneys, law professors, prosecutors and representatives of NGOs – that judgments rendered by Moldovan courts are generally not well-written (most persons interviewed underlined that there are capable legal professionals in Moldova and that there are also numerous examples of excellent judgments).</w:t>
      </w:r>
    </w:p>
    <w:p w14:paraId="40CEE441" w14:textId="77777777" w:rsidR="005C64D7" w:rsidRDefault="005C64D7" w:rsidP="00C81505">
      <w:pPr>
        <w:spacing w:line="360" w:lineRule="auto"/>
        <w:jc w:val="both"/>
        <w:rPr>
          <w:lang w:val="en-US"/>
        </w:rPr>
      </w:pPr>
      <w:r>
        <w:rPr>
          <w:lang w:val="en-US"/>
        </w:rPr>
        <w:t>Interviewees attributed this to various factors. The reason most frequently cited was the overwhelming work-load which did not enable judges to</w:t>
      </w:r>
      <w:r w:rsidR="0083500E">
        <w:rPr>
          <w:lang w:val="en-US"/>
        </w:rPr>
        <w:t xml:space="preserve"> dedicate sufficient time to analyzing the case and to</w:t>
      </w:r>
      <w:r>
        <w:rPr>
          <w:lang w:val="en-US"/>
        </w:rPr>
        <w:t xml:space="preserve"> draft their judgments thoroughly</w:t>
      </w:r>
      <w:r w:rsidR="0083500E">
        <w:rPr>
          <w:lang w:val="en-US"/>
        </w:rPr>
        <w:t>. One interlocutor suggested that a study be produced to establish whether it was humanly possible to cope with the number of cases a Moldovan judge was burdened with.</w:t>
      </w:r>
    </w:p>
    <w:p w14:paraId="5C175A98" w14:textId="6867BC50" w:rsidR="0083500E" w:rsidRDefault="0083500E" w:rsidP="00C81505">
      <w:pPr>
        <w:spacing w:line="360" w:lineRule="auto"/>
        <w:jc w:val="both"/>
        <w:rPr>
          <w:lang w:val="en-US"/>
        </w:rPr>
      </w:pPr>
      <w:r>
        <w:rPr>
          <w:lang w:val="en-US"/>
        </w:rPr>
        <w:t>Number support the claim of overburdening to a limited extent. Study no. 26 published by the European Commission for the Efficiency of Justice (a body under the Council of Europe) compared, inter alia, statistics regarding the justice system in 45 member states of the Council of Europe</w:t>
      </w:r>
      <w:r w:rsidR="00220EE9">
        <w:rPr>
          <w:lang w:val="en-US"/>
        </w:rPr>
        <w:t xml:space="preserve"> plus Israel and Morocco (the latter ones had been granted observer status and were therefore included in the exercise). The report states that there are 11,8 judges per 100.000 inhabitants in Moldova. This is significantly lower than the median of all countries included in the report, which is 17,8 and far below the average of 21,5</w:t>
      </w:r>
      <w:r w:rsidR="00220EE9">
        <w:rPr>
          <w:rStyle w:val="Funotenzeichen"/>
          <w:lang w:val="en-US"/>
        </w:rPr>
        <w:footnoteReference w:id="22"/>
      </w:r>
      <w:r w:rsidR="00220EE9">
        <w:rPr>
          <w:lang w:val="en-US"/>
        </w:rPr>
        <w:t xml:space="preserve"> (the average is increase</w:t>
      </w:r>
      <w:r w:rsidR="001A3920">
        <w:rPr>
          <w:lang w:val="en-US"/>
        </w:rPr>
        <w:t>d</w:t>
      </w:r>
      <w:r w:rsidR="00220EE9">
        <w:rPr>
          <w:lang w:val="en-US"/>
        </w:rPr>
        <w:t xml:space="preserve"> substantially </w:t>
      </w:r>
      <w:r w:rsidR="00DB0514">
        <w:rPr>
          <w:lang w:val="en-US"/>
        </w:rPr>
        <w:t xml:space="preserve">due to </w:t>
      </w:r>
      <w:r w:rsidR="00220EE9">
        <w:rPr>
          <w:lang w:val="en-US"/>
        </w:rPr>
        <w:t xml:space="preserve">states such as Monaco with </w:t>
      </w:r>
      <w:r w:rsidR="00BC1965">
        <w:rPr>
          <w:lang w:val="en-US"/>
        </w:rPr>
        <w:t xml:space="preserve">an average of 98,5 judges, Montenegro with 51 judges and Serbia with 38,5 judges). It is noteworthy, though, that there are also several countries in which the average number of judges per 100.000 inhabitants is lower than in Moldova or approximately the same. Examples are Norway (10,6), Denmark (6,5), </w:t>
      </w:r>
      <w:r w:rsidR="00CF6F56">
        <w:rPr>
          <w:lang w:val="en-US"/>
        </w:rPr>
        <w:t>UK – England and Wales (3,0)</w:t>
      </w:r>
      <w:r w:rsidR="000E0974">
        <w:rPr>
          <w:rStyle w:val="Funotenzeichen"/>
          <w:lang w:val="en-US"/>
        </w:rPr>
        <w:footnoteReference w:id="23"/>
      </w:r>
      <w:r w:rsidR="00CF6F56">
        <w:rPr>
          <w:lang w:val="en-US"/>
        </w:rPr>
        <w:t xml:space="preserve">, </w:t>
      </w:r>
      <w:r w:rsidR="00BC1965">
        <w:rPr>
          <w:lang w:val="en-US"/>
        </w:rPr>
        <w:t>Spain (11,5) or the Netherlands (13,6)</w:t>
      </w:r>
      <w:r w:rsidR="00D85F30">
        <w:rPr>
          <w:rStyle w:val="Funotenzeichen"/>
          <w:lang w:val="en-US"/>
        </w:rPr>
        <w:footnoteReference w:id="24"/>
      </w:r>
      <w:r w:rsidR="00BC1965">
        <w:rPr>
          <w:lang w:val="en-US"/>
        </w:rPr>
        <w:t xml:space="preserve">. </w:t>
      </w:r>
    </w:p>
    <w:p w14:paraId="06FB4FEA" w14:textId="77777777" w:rsidR="00553B93" w:rsidRDefault="00553B93" w:rsidP="00C81505">
      <w:pPr>
        <w:spacing w:line="360" w:lineRule="auto"/>
        <w:jc w:val="both"/>
        <w:rPr>
          <w:lang w:val="en-US"/>
        </w:rPr>
      </w:pPr>
      <w:r>
        <w:rPr>
          <w:lang w:val="en-US"/>
        </w:rPr>
        <w:t>These numbers draw an incomplete picture. The number of judges has to be seen in relation to the volume of cases</w:t>
      </w:r>
      <w:r w:rsidR="00F62CF2">
        <w:rPr>
          <w:lang w:val="en-US"/>
        </w:rPr>
        <w:t xml:space="preserve">. A statistic </w:t>
      </w:r>
      <w:commentRangeStart w:id="18"/>
      <w:commentRangeStart w:id="19"/>
      <w:r w:rsidR="00F62CF2">
        <w:rPr>
          <w:lang w:val="en-US"/>
        </w:rPr>
        <w:t>published</w:t>
      </w:r>
      <w:commentRangeEnd w:id="18"/>
      <w:r w:rsidR="00E7186F">
        <w:rPr>
          <w:rStyle w:val="Kommentarzeichen"/>
        </w:rPr>
        <w:commentReference w:id="18"/>
      </w:r>
      <w:commentRangeEnd w:id="19"/>
      <w:r w:rsidR="00D85F30">
        <w:rPr>
          <w:rStyle w:val="Kommentarzeichen"/>
        </w:rPr>
        <w:commentReference w:id="19"/>
      </w:r>
      <w:r w:rsidR="00F62CF2">
        <w:rPr>
          <w:lang w:val="en-US"/>
        </w:rPr>
        <w:t xml:space="preserve"> by the Supreme Council of Magistrates of Moldova indicates that the average number of monthly cases per judge is 62,7, which is substantial.</w:t>
      </w:r>
      <w:r>
        <w:rPr>
          <w:lang w:val="en-US"/>
        </w:rPr>
        <w:t xml:space="preserve"> </w:t>
      </w:r>
      <w:r w:rsidR="00F62CF2">
        <w:rPr>
          <w:lang w:val="en-US"/>
        </w:rPr>
        <w:t>Another factor to be considered is</w:t>
      </w:r>
      <w:r>
        <w:rPr>
          <w:lang w:val="en-US"/>
        </w:rPr>
        <w:t xml:space="preserve"> the proclivity of litigants to exhaust all legal remedies (several interlocutors stated that </w:t>
      </w:r>
      <w:r w:rsidR="00A53589">
        <w:rPr>
          <w:lang w:val="en-US"/>
        </w:rPr>
        <w:t xml:space="preserve">individuals involved in litigation as well as defendants in criminal trials and prosecutors tend to make use of every appeal available to them). Still, it seems that the number of judges in Moldova is at the lower end of the scale in comparison but not exorbitantly small. In addition to that, many judges </w:t>
      </w:r>
      <w:r w:rsidR="00A53589">
        <w:rPr>
          <w:lang w:val="en-US"/>
        </w:rPr>
        <w:lastRenderedPageBreak/>
        <w:t xml:space="preserve">benefit from the help of legal assistants who conduct research for them or draft judgements. There are countries in which this is not the case. For example, in Germany only judges of the highest courts have law clerks or assistants. </w:t>
      </w:r>
    </w:p>
    <w:p w14:paraId="72357D8D" w14:textId="77777777" w:rsidR="00A53589" w:rsidRDefault="00A53589" w:rsidP="00C81505">
      <w:pPr>
        <w:spacing w:line="360" w:lineRule="auto"/>
        <w:jc w:val="both"/>
        <w:rPr>
          <w:lang w:val="en-US"/>
        </w:rPr>
      </w:pPr>
      <w:r>
        <w:rPr>
          <w:lang w:val="en-US"/>
        </w:rPr>
        <w:t xml:space="preserve">However, numbers of judges also have to be taken with a grain of salt because cases are not distributed evenly among the judges in the country. </w:t>
      </w:r>
      <w:r w:rsidR="00AF466B">
        <w:rPr>
          <w:lang w:val="en-US"/>
        </w:rPr>
        <w:t xml:space="preserve">Many interlocutors stated that judges working in rural areas are assigned a substantially lower number of cases than judges in Chisinau, the commercial center of the country. </w:t>
      </w:r>
      <w:r w:rsidR="00CE602E">
        <w:rPr>
          <w:lang w:val="en-US"/>
        </w:rPr>
        <w:t>The statistic shows that the courts with the smallest workload have between 1010 and 1511 cases per year, while there are courts dealing with numbers as high as 5.321 (</w:t>
      </w:r>
      <w:proofErr w:type="spellStart"/>
      <w:r w:rsidR="00CE602E">
        <w:rPr>
          <w:lang w:val="en-US"/>
        </w:rPr>
        <w:t>Anenii</w:t>
      </w:r>
      <w:proofErr w:type="spellEnd"/>
      <w:r w:rsidR="00CE602E">
        <w:rPr>
          <w:lang w:val="en-US"/>
        </w:rPr>
        <w:t xml:space="preserve"> Noi) or 5.529 (</w:t>
      </w:r>
      <w:proofErr w:type="spellStart"/>
      <w:r w:rsidR="00CE602E">
        <w:rPr>
          <w:lang w:val="en-US"/>
        </w:rPr>
        <w:t>Hincesti</w:t>
      </w:r>
      <w:proofErr w:type="spellEnd"/>
      <w:r w:rsidR="00CE602E">
        <w:rPr>
          <w:lang w:val="en-US"/>
        </w:rPr>
        <w:t xml:space="preserve">). It is difficult to draw conclusions from this disparity, though, since the statistic does not show how many judges are working in the </w:t>
      </w:r>
      <w:commentRangeStart w:id="20"/>
      <w:commentRangeStart w:id="21"/>
      <w:r w:rsidR="00CE602E">
        <w:rPr>
          <w:lang w:val="en-US"/>
        </w:rPr>
        <w:t>respective courts</w:t>
      </w:r>
      <w:commentRangeEnd w:id="20"/>
      <w:r w:rsidR="00C272AE">
        <w:rPr>
          <w:rStyle w:val="Kommentarzeichen"/>
        </w:rPr>
        <w:commentReference w:id="20"/>
      </w:r>
      <w:commentRangeEnd w:id="21"/>
      <w:r w:rsidR="00D85F30">
        <w:rPr>
          <w:rStyle w:val="Kommentarzeichen"/>
        </w:rPr>
        <w:commentReference w:id="21"/>
      </w:r>
      <w:r w:rsidR="00CE602E">
        <w:rPr>
          <w:lang w:val="en-US"/>
        </w:rPr>
        <w:t>.</w:t>
      </w:r>
    </w:p>
    <w:p w14:paraId="091E773F" w14:textId="77777777" w:rsidR="00F62CF2" w:rsidRDefault="00F62CF2" w:rsidP="00C81505">
      <w:pPr>
        <w:spacing w:line="360" w:lineRule="auto"/>
        <w:jc w:val="both"/>
        <w:rPr>
          <w:lang w:val="en-US"/>
        </w:rPr>
      </w:pPr>
      <w:r>
        <w:rPr>
          <w:lang w:val="en-US"/>
        </w:rPr>
        <w:t>Finally, it should be noted that it is not entirely clear how reliable these statistics are. The report by the European Commission for the Efficiency of Justice, which is based on number submitted by the participating states in 2016, states that the total number of judges in Moldova is 418</w:t>
      </w:r>
      <w:r>
        <w:rPr>
          <w:rStyle w:val="Funotenzeichen"/>
          <w:lang w:val="en-US"/>
        </w:rPr>
        <w:footnoteReference w:id="25"/>
      </w:r>
      <w:r>
        <w:rPr>
          <w:lang w:val="en-US"/>
        </w:rPr>
        <w:t>. According to the statistic for the year 2017 by the Superior Council of Magistrates it is 397</w:t>
      </w:r>
      <w:r w:rsidR="00AF466B">
        <w:rPr>
          <w:lang w:val="en-US"/>
        </w:rPr>
        <w:t xml:space="preserve">. This might mean that the number of judges has been reduced, for example through retirements, or it might reflect a lack of accuracy in one of the statistics. </w:t>
      </w:r>
    </w:p>
    <w:p w14:paraId="70D16A73" w14:textId="77777777" w:rsidR="000A72BB" w:rsidRDefault="000A72BB" w:rsidP="00C81505">
      <w:pPr>
        <w:spacing w:line="360" w:lineRule="auto"/>
        <w:jc w:val="both"/>
        <w:rPr>
          <w:lang w:val="en-US"/>
        </w:rPr>
      </w:pPr>
      <w:r>
        <w:rPr>
          <w:lang w:val="en-US"/>
        </w:rPr>
        <w:t xml:space="preserve">It is hard to derive clear conclusions from the above numbers. Without doubt, the workload of many judges in Moldova is substantial. Resources in terms of personnel and technical equipment are limited. </w:t>
      </w:r>
    </w:p>
    <w:p w14:paraId="2CEDB151" w14:textId="279DA82D" w:rsidR="000A72BB" w:rsidRDefault="000A72BB" w:rsidP="00C81505">
      <w:pPr>
        <w:spacing w:line="360" w:lineRule="auto"/>
        <w:jc w:val="both"/>
        <w:rPr>
          <w:lang w:val="en-US"/>
        </w:rPr>
      </w:pPr>
      <w:r>
        <w:rPr>
          <w:lang w:val="en-US"/>
        </w:rPr>
        <w:t>I would argue, though, that approaching case</w:t>
      </w:r>
      <w:r w:rsidR="00B07C2F">
        <w:rPr>
          <w:lang w:val="en-US"/>
        </w:rPr>
        <w:t>s</w:t>
      </w:r>
      <w:r>
        <w:rPr>
          <w:lang w:val="en-US"/>
        </w:rPr>
        <w:t xml:space="preserve"> with the right methodology and structuring judgements in a clear way is </w:t>
      </w:r>
      <w:r w:rsidR="00AE185D">
        <w:rPr>
          <w:lang w:val="en-US"/>
        </w:rPr>
        <w:t>often less time-consuming than drafting them in the way many of the judgements were written. For example, focusing on relevant parts of witness testimony and its analysis will in many cases reduce the length of judgments significantly, which sa</w:t>
      </w:r>
      <w:r w:rsidR="00B07C2F">
        <w:rPr>
          <w:lang w:val="en-US"/>
        </w:rPr>
        <w:t>v</w:t>
      </w:r>
      <w:r w:rsidR="00AE185D">
        <w:rPr>
          <w:lang w:val="en-US"/>
        </w:rPr>
        <w:t xml:space="preserve">es time and resources.  </w:t>
      </w:r>
    </w:p>
    <w:p w14:paraId="35B84DDD" w14:textId="77777777" w:rsidR="00521E29" w:rsidRDefault="00521E29" w:rsidP="00C81505">
      <w:pPr>
        <w:spacing w:line="360" w:lineRule="auto"/>
        <w:jc w:val="both"/>
        <w:rPr>
          <w:lang w:val="en-US"/>
        </w:rPr>
      </w:pPr>
    </w:p>
    <w:p w14:paraId="7A8FDE2A" w14:textId="77777777" w:rsidR="00521E29" w:rsidRDefault="00521E29" w:rsidP="00521E29">
      <w:pPr>
        <w:pStyle w:val="berschrift3"/>
        <w:rPr>
          <w:lang w:val="en-US"/>
        </w:rPr>
      </w:pPr>
      <w:bookmarkStart w:id="22" w:name="_Toc3821711"/>
      <w:r>
        <w:rPr>
          <w:lang w:val="en-US"/>
        </w:rPr>
        <w:t>Corruption</w:t>
      </w:r>
      <w:bookmarkEnd w:id="22"/>
    </w:p>
    <w:p w14:paraId="7C4AEB03" w14:textId="75248122" w:rsidR="00521E29" w:rsidRDefault="00521E29" w:rsidP="00DB3A2A">
      <w:pPr>
        <w:spacing w:line="360" w:lineRule="auto"/>
        <w:jc w:val="both"/>
        <w:rPr>
          <w:lang w:val="en-US"/>
        </w:rPr>
      </w:pPr>
      <w:r>
        <w:rPr>
          <w:lang w:val="en-US"/>
        </w:rPr>
        <w:t xml:space="preserve">A small number of interlocutors argued that corruption of judges impacted the quality of drafting of judgments. Different arguments were advanced as to the form this impact takes. </w:t>
      </w:r>
      <w:r w:rsidR="00AE741F">
        <w:rPr>
          <w:lang w:val="en-US"/>
        </w:rPr>
        <w:t>However, as</w:t>
      </w:r>
      <w:r>
        <w:rPr>
          <w:lang w:val="en-US"/>
        </w:rPr>
        <w:t xml:space="preserve"> </w:t>
      </w:r>
      <w:r w:rsidR="00AE741F">
        <w:rPr>
          <w:lang w:val="en-US"/>
        </w:rPr>
        <w:t>n</w:t>
      </w:r>
      <w:r w:rsidR="00DB3A2A">
        <w:rPr>
          <w:lang w:val="en-US"/>
        </w:rPr>
        <w:t>one of these points can be proven nor can the actual amount of corruption in the judiciary</w:t>
      </w:r>
      <w:r w:rsidR="00AE741F">
        <w:rPr>
          <w:lang w:val="en-US"/>
        </w:rPr>
        <w:t xml:space="preserve"> be assessed, I did</w:t>
      </w:r>
      <w:r w:rsidR="00D85F30">
        <w:rPr>
          <w:lang w:val="en-US"/>
        </w:rPr>
        <w:t xml:space="preserve"> not</w:t>
      </w:r>
      <w:r w:rsidR="00AE741F">
        <w:rPr>
          <w:lang w:val="en-US"/>
        </w:rPr>
        <w:t xml:space="preserve"> </w:t>
      </w:r>
      <w:r w:rsidR="00D52C0C">
        <w:rPr>
          <w:lang w:val="en-US"/>
        </w:rPr>
        <w:t>analyze</w:t>
      </w:r>
      <w:r w:rsidR="00AE741F">
        <w:rPr>
          <w:lang w:val="en-US"/>
        </w:rPr>
        <w:t xml:space="preserve"> its impact on the quality of judicial decisions</w:t>
      </w:r>
      <w:r w:rsidR="00DB3A2A">
        <w:rPr>
          <w:lang w:val="en-US"/>
        </w:rPr>
        <w:t xml:space="preserve">. </w:t>
      </w:r>
    </w:p>
    <w:p w14:paraId="6126D8BC" w14:textId="77777777" w:rsidR="00DB3A2A" w:rsidRDefault="00DB3A2A" w:rsidP="00DB3A2A">
      <w:pPr>
        <w:spacing w:line="360" w:lineRule="auto"/>
        <w:jc w:val="both"/>
        <w:rPr>
          <w:lang w:val="en-US"/>
        </w:rPr>
      </w:pPr>
    </w:p>
    <w:p w14:paraId="2A558DDF" w14:textId="77777777" w:rsidR="00DB3A2A" w:rsidRPr="00521E29" w:rsidRDefault="00DB3A2A" w:rsidP="00DB3A2A">
      <w:pPr>
        <w:pStyle w:val="berschrift3"/>
        <w:rPr>
          <w:lang w:val="en-US"/>
        </w:rPr>
      </w:pPr>
      <w:bookmarkStart w:id="23" w:name="_Toc3821712"/>
      <w:r>
        <w:rPr>
          <w:lang w:val="en-US"/>
        </w:rPr>
        <w:lastRenderedPageBreak/>
        <w:t>Lack of training</w:t>
      </w:r>
      <w:bookmarkEnd w:id="23"/>
    </w:p>
    <w:p w14:paraId="2F307B3B" w14:textId="77777777" w:rsidR="00DB3A2A" w:rsidRDefault="00BF19C4" w:rsidP="00C81505">
      <w:pPr>
        <w:spacing w:line="360" w:lineRule="auto"/>
        <w:jc w:val="both"/>
        <w:rPr>
          <w:lang w:val="en-US"/>
        </w:rPr>
      </w:pPr>
      <w:r>
        <w:rPr>
          <w:lang w:val="en-US"/>
        </w:rPr>
        <w:t>Many interviewees underlined that judges did not undergo any formalized training on legal writing. They had to develop their own approach to writing judgments and the results differed depending on influences they were exposed to (their peers, judgments rendered by other judges which they read, their own studies etc.)</w:t>
      </w:r>
      <w:r w:rsidR="008413A3">
        <w:rPr>
          <w:lang w:val="en-US"/>
        </w:rPr>
        <w:t xml:space="preserve">. Consequently, </w:t>
      </w:r>
      <w:r w:rsidR="001702D5">
        <w:rPr>
          <w:lang w:val="en-US"/>
        </w:rPr>
        <w:t>results differed considerably.</w:t>
      </w:r>
    </w:p>
    <w:p w14:paraId="71F44A64" w14:textId="77777777" w:rsidR="00DB3A2A" w:rsidRDefault="00DB3A2A" w:rsidP="00C81505">
      <w:pPr>
        <w:spacing w:line="360" w:lineRule="auto"/>
        <w:jc w:val="both"/>
        <w:rPr>
          <w:lang w:val="en-US"/>
        </w:rPr>
      </w:pPr>
    </w:p>
    <w:p w14:paraId="43D6D4DD" w14:textId="77777777" w:rsidR="00DB3A2A" w:rsidRDefault="00DB3A2A" w:rsidP="00C81505">
      <w:pPr>
        <w:spacing w:line="360" w:lineRule="auto"/>
        <w:jc w:val="both"/>
        <w:rPr>
          <w:lang w:val="en-US"/>
        </w:rPr>
      </w:pPr>
    </w:p>
    <w:p w14:paraId="23B109EA" w14:textId="77777777" w:rsidR="006260DE" w:rsidRDefault="006A50AE" w:rsidP="00C81505">
      <w:pPr>
        <w:pStyle w:val="berschrift1"/>
        <w:spacing w:line="360" w:lineRule="auto"/>
        <w:rPr>
          <w:lang w:val="en-US"/>
        </w:rPr>
      </w:pPr>
      <w:bookmarkStart w:id="24" w:name="_Toc3821713"/>
      <w:r>
        <w:rPr>
          <w:lang w:val="en-US"/>
        </w:rPr>
        <w:t>Training on legal drafting</w:t>
      </w:r>
      <w:bookmarkEnd w:id="24"/>
    </w:p>
    <w:p w14:paraId="59D61180" w14:textId="77777777" w:rsidR="00B63AA4" w:rsidRDefault="00B63AA4" w:rsidP="00C81505">
      <w:pPr>
        <w:pStyle w:val="berschrift2"/>
        <w:spacing w:line="360" w:lineRule="auto"/>
        <w:rPr>
          <w:lang w:val="en-US"/>
        </w:rPr>
      </w:pPr>
      <w:bookmarkStart w:id="25" w:name="_Toc3821714"/>
      <w:r>
        <w:rPr>
          <w:lang w:val="en-US"/>
        </w:rPr>
        <w:t>Training on legal writing at the National Institute for Justice</w:t>
      </w:r>
      <w:bookmarkEnd w:id="25"/>
    </w:p>
    <w:p w14:paraId="046A3DE3" w14:textId="77777777" w:rsidR="005C3A94" w:rsidRDefault="00B63AA4" w:rsidP="00C81505">
      <w:pPr>
        <w:spacing w:line="360" w:lineRule="auto"/>
        <w:jc w:val="both"/>
        <w:rPr>
          <w:lang w:val="en-US"/>
        </w:rPr>
      </w:pPr>
      <w:r>
        <w:rPr>
          <w:lang w:val="en-US"/>
        </w:rPr>
        <w:t xml:space="preserve">During university education, law students do not undergo any </w:t>
      </w:r>
      <w:r w:rsidR="008B167D">
        <w:rPr>
          <w:lang w:val="en-US"/>
        </w:rPr>
        <w:t xml:space="preserve">specialized </w:t>
      </w:r>
      <w:r>
        <w:rPr>
          <w:lang w:val="en-US"/>
        </w:rPr>
        <w:t>training on legal writing.</w:t>
      </w:r>
      <w:r w:rsidR="005C3A94">
        <w:rPr>
          <w:lang w:val="en-US"/>
        </w:rPr>
        <w:t xml:space="preserve"> Drafting or legal reasoning is not</w:t>
      </w:r>
      <w:r w:rsidR="00ED017B">
        <w:rPr>
          <w:lang w:val="en-US"/>
        </w:rPr>
        <w:t xml:space="preserve"> a</w:t>
      </w:r>
      <w:r w:rsidR="005C3A94">
        <w:rPr>
          <w:lang w:val="en-US"/>
        </w:rPr>
        <w:t xml:space="preserve"> subject taught at university.</w:t>
      </w:r>
      <w:r>
        <w:rPr>
          <w:lang w:val="en-US"/>
        </w:rPr>
        <w:t xml:space="preserve"> Teaching is mostly based on lectures</w:t>
      </w:r>
      <w:r w:rsidR="005C3A94">
        <w:rPr>
          <w:lang w:val="en-US"/>
        </w:rPr>
        <w:t xml:space="preserve"> which usually focus on legal theory;</w:t>
      </w:r>
      <w:r>
        <w:rPr>
          <w:lang w:val="en-US"/>
        </w:rPr>
        <w:t xml:space="preserve"> exams are conducted </w:t>
      </w:r>
      <w:r w:rsidR="00ED017B">
        <w:rPr>
          <w:lang w:val="en-US"/>
        </w:rPr>
        <w:t>orally</w:t>
      </w:r>
      <w:r w:rsidR="005C3A94">
        <w:rPr>
          <w:lang w:val="en-US"/>
        </w:rPr>
        <w:t xml:space="preserve"> or in the form of questions students have to answer briefly</w:t>
      </w:r>
      <w:r w:rsidR="00E709D3">
        <w:rPr>
          <w:lang w:val="en-US"/>
        </w:rPr>
        <w:t xml:space="preserve"> or in form of multiple</w:t>
      </w:r>
      <w:r w:rsidR="00A9626E">
        <w:rPr>
          <w:lang w:val="en-US"/>
        </w:rPr>
        <w:t>-</w:t>
      </w:r>
      <w:r w:rsidR="00E709D3">
        <w:rPr>
          <w:lang w:val="en-US"/>
        </w:rPr>
        <w:t>choice tests</w:t>
      </w:r>
      <w:r w:rsidR="005C3A94">
        <w:rPr>
          <w:lang w:val="en-US"/>
        </w:rPr>
        <w:t xml:space="preserve">. </w:t>
      </w:r>
    </w:p>
    <w:p w14:paraId="7AD4CD88" w14:textId="77777777" w:rsidR="00E709D3" w:rsidRDefault="005C3A94" w:rsidP="00C81505">
      <w:pPr>
        <w:spacing w:line="360" w:lineRule="auto"/>
        <w:jc w:val="both"/>
        <w:rPr>
          <w:lang w:val="en-US"/>
        </w:rPr>
      </w:pPr>
      <w:r>
        <w:rPr>
          <w:lang w:val="en-US"/>
        </w:rPr>
        <w:t xml:space="preserve">The institution mandated to equip future judges and prosecutors with the requisite drafting skills is the National Institute of Justice (NIJ). </w:t>
      </w:r>
      <w:r w:rsidR="002959C6">
        <w:rPr>
          <w:lang w:val="en-US"/>
        </w:rPr>
        <w:t>I</w:t>
      </w:r>
      <w:r w:rsidR="00ED017B">
        <w:rPr>
          <w:lang w:val="en-US"/>
        </w:rPr>
        <w:t>t</w:t>
      </w:r>
      <w:r>
        <w:rPr>
          <w:lang w:val="en-US"/>
        </w:rPr>
        <w:t xml:space="preserve"> was created in </w:t>
      </w:r>
      <w:r w:rsidR="0086076E">
        <w:rPr>
          <w:lang w:val="en-US"/>
        </w:rPr>
        <w:t>2006</w:t>
      </w:r>
      <w:r w:rsidR="002959C6">
        <w:rPr>
          <w:lang w:val="en-US"/>
        </w:rPr>
        <w:t xml:space="preserve"> and pro</w:t>
      </w:r>
      <w:r w:rsidR="00E709D3">
        <w:rPr>
          <w:lang w:val="en-US"/>
        </w:rPr>
        <w:t>vides training to candidates aspiring to be judges or prosecutors.</w:t>
      </w:r>
      <w:r w:rsidR="002959C6">
        <w:rPr>
          <w:lang w:val="en-US"/>
        </w:rPr>
        <w:t xml:space="preserve"> </w:t>
      </w:r>
      <w:r w:rsidR="00E709D3">
        <w:rPr>
          <w:lang w:val="en-US"/>
        </w:rPr>
        <w:t xml:space="preserve">In addition to that, the NIJ offers </w:t>
      </w:r>
      <w:r w:rsidR="002959C6">
        <w:rPr>
          <w:lang w:val="en-US"/>
        </w:rPr>
        <w:t xml:space="preserve">continuing legal education to sitting judges and active prosecutors as well as to members of certain other professions such as law clerks or bailiffs. </w:t>
      </w:r>
    </w:p>
    <w:p w14:paraId="50DDD0B8" w14:textId="6F20886B" w:rsidR="00ED017B" w:rsidRDefault="002959C6" w:rsidP="00C81505">
      <w:pPr>
        <w:spacing w:line="360" w:lineRule="auto"/>
        <w:jc w:val="both"/>
        <w:rPr>
          <w:lang w:val="en-US"/>
        </w:rPr>
      </w:pPr>
      <w:r>
        <w:rPr>
          <w:lang w:val="en-US"/>
        </w:rPr>
        <w:t xml:space="preserve">The NIJ is designed to be the </w:t>
      </w:r>
      <w:r w:rsidR="008B167D">
        <w:rPr>
          <w:lang w:val="en-US"/>
        </w:rPr>
        <w:t xml:space="preserve">main </w:t>
      </w:r>
      <w:r>
        <w:rPr>
          <w:lang w:val="en-US"/>
        </w:rPr>
        <w:t xml:space="preserve">entry point into careers </w:t>
      </w:r>
      <w:r w:rsidR="00D52C0C">
        <w:rPr>
          <w:lang w:val="en-US"/>
        </w:rPr>
        <w:t>as</w:t>
      </w:r>
      <w:r>
        <w:rPr>
          <w:lang w:val="en-US"/>
        </w:rPr>
        <w:t xml:space="preserve"> judges or prosecutors. </w:t>
      </w:r>
      <w:r w:rsidR="00C92C17">
        <w:rPr>
          <w:lang w:val="en-US"/>
        </w:rPr>
        <w:t xml:space="preserve">The initial training is comprised of two components. Candidates undergo training at the Institute for </w:t>
      </w:r>
      <w:r w:rsidR="001702D5">
        <w:rPr>
          <w:lang w:val="en-US"/>
        </w:rPr>
        <w:t>41 weeks</w:t>
      </w:r>
      <w:r w:rsidR="00C92C17">
        <w:rPr>
          <w:lang w:val="en-US"/>
        </w:rPr>
        <w:t xml:space="preserve"> followed by a period of six months during which they work in prosecution offices</w:t>
      </w:r>
      <w:r w:rsidR="001702D5">
        <w:rPr>
          <w:lang w:val="en-US"/>
        </w:rPr>
        <w:t xml:space="preserve"> and/or</w:t>
      </w:r>
      <w:r w:rsidR="00C92C17">
        <w:rPr>
          <w:lang w:val="en-US"/>
        </w:rPr>
        <w:t xml:space="preserve"> courts under the mentorship of an experienced prosecutor or judge.</w:t>
      </w:r>
    </w:p>
    <w:p w14:paraId="689CF57D" w14:textId="77777777" w:rsidR="00E709D3" w:rsidRDefault="00C92C17" w:rsidP="00C81505">
      <w:pPr>
        <w:spacing w:line="360" w:lineRule="auto"/>
        <w:jc w:val="both"/>
        <w:rPr>
          <w:lang w:val="en-US"/>
        </w:rPr>
      </w:pPr>
      <w:r>
        <w:rPr>
          <w:lang w:val="en-US"/>
        </w:rPr>
        <w:t>The format of the training period at the NIJ has recently been changed. It was initially mostly comprised of teacher-</w:t>
      </w:r>
      <w:r w:rsidR="001A6781">
        <w:rPr>
          <w:lang w:val="en-US"/>
        </w:rPr>
        <w:t>centered</w:t>
      </w:r>
      <w:r>
        <w:rPr>
          <w:lang w:val="en-US"/>
        </w:rPr>
        <w:t xml:space="preserve"> teaching</w:t>
      </w:r>
      <w:r w:rsidR="00E709D3">
        <w:rPr>
          <w:lang w:val="en-US"/>
        </w:rPr>
        <w:t xml:space="preserve"> on various subjects which also included a course on legal writing.</w:t>
      </w:r>
    </w:p>
    <w:p w14:paraId="6882A3A9" w14:textId="77777777" w:rsidR="00DE2EC4" w:rsidRDefault="001A6781" w:rsidP="00C81505">
      <w:pPr>
        <w:spacing w:line="360" w:lineRule="auto"/>
        <w:jc w:val="both"/>
        <w:rPr>
          <w:lang w:val="en-US"/>
        </w:rPr>
      </w:pPr>
      <w:r>
        <w:rPr>
          <w:lang w:val="en-US"/>
        </w:rPr>
        <w:t>Now the legal education provided by the Institute is mostly based on trial simulations. Students assume the roles of judges, prosecutors, attorneys, clerks, witnesses and experts and enact trials. They are supervised by mentors</w:t>
      </w:r>
      <w:r w:rsidR="00DE2EC4">
        <w:rPr>
          <w:lang w:val="en-US"/>
        </w:rPr>
        <w:t xml:space="preserve"> who are carefully selected among experienced judges and prosecutors and who</w:t>
      </w:r>
      <w:r>
        <w:rPr>
          <w:lang w:val="en-US"/>
        </w:rPr>
        <w:t xml:space="preserve"> provide guidance and feedback. </w:t>
      </w:r>
    </w:p>
    <w:p w14:paraId="76CD6FC5" w14:textId="77777777" w:rsidR="001A6781" w:rsidRDefault="00EA540B" w:rsidP="00C81505">
      <w:pPr>
        <w:spacing w:line="360" w:lineRule="auto"/>
        <w:jc w:val="both"/>
        <w:rPr>
          <w:lang w:val="en-US"/>
        </w:rPr>
      </w:pPr>
      <w:r>
        <w:rPr>
          <w:lang w:val="en-US"/>
        </w:rPr>
        <w:t>Most of the</w:t>
      </w:r>
      <w:r w:rsidR="00DE2EC4">
        <w:rPr>
          <w:lang w:val="en-US"/>
        </w:rPr>
        <w:t xml:space="preserve"> mentors</w:t>
      </w:r>
      <w:r>
        <w:rPr>
          <w:lang w:val="en-US"/>
        </w:rPr>
        <w:t xml:space="preserve"> exercise th</w:t>
      </w:r>
      <w:r w:rsidR="00DE2EC4">
        <w:rPr>
          <w:lang w:val="en-US"/>
        </w:rPr>
        <w:t>is</w:t>
      </w:r>
      <w:r>
        <w:rPr>
          <w:lang w:val="en-US"/>
        </w:rPr>
        <w:t xml:space="preserve"> function in addition to their ordinary professions; a small number of mentors is seconded to the NIJ full-time.</w:t>
      </w:r>
    </w:p>
    <w:p w14:paraId="4245CF8D" w14:textId="3D3A4BEB" w:rsidR="00C92C17" w:rsidRDefault="001A6781" w:rsidP="00C81505">
      <w:pPr>
        <w:spacing w:line="360" w:lineRule="auto"/>
        <w:jc w:val="both"/>
        <w:rPr>
          <w:lang w:val="en-US"/>
        </w:rPr>
      </w:pPr>
      <w:r>
        <w:rPr>
          <w:lang w:val="en-US"/>
        </w:rPr>
        <w:lastRenderedPageBreak/>
        <w:t xml:space="preserve">The basis for simulations </w:t>
      </w:r>
      <w:proofErr w:type="gramStart"/>
      <w:r>
        <w:rPr>
          <w:lang w:val="en-US"/>
        </w:rPr>
        <w:t>are</w:t>
      </w:r>
      <w:proofErr w:type="gramEnd"/>
      <w:r>
        <w:rPr>
          <w:lang w:val="en-US"/>
        </w:rPr>
        <w:t xml:space="preserve"> real case files</w:t>
      </w:r>
      <w:r w:rsidR="002F131B">
        <w:rPr>
          <w:lang w:val="en-US"/>
        </w:rPr>
        <w:t>, which are chosen by the mentors</w:t>
      </w:r>
      <w:r w:rsidR="00DE2EC4">
        <w:rPr>
          <w:lang w:val="en-US"/>
        </w:rPr>
        <w:t xml:space="preserve"> (mostly from their own practice</w:t>
      </w:r>
      <w:r w:rsidR="00F86B43">
        <w:rPr>
          <w:lang w:val="en-US"/>
        </w:rPr>
        <w:t xml:space="preserve"> or designed by them specifically for trainings at the NIJ</w:t>
      </w:r>
      <w:r w:rsidR="00DE2EC4">
        <w:rPr>
          <w:lang w:val="en-US"/>
        </w:rPr>
        <w:t>)</w:t>
      </w:r>
      <w:r w:rsidR="002F131B">
        <w:rPr>
          <w:lang w:val="en-US"/>
        </w:rPr>
        <w:t xml:space="preserve">. </w:t>
      </w:r>
      <w:r w:rsidR="00DE2EC4">
        <w:rPr>
          <w:lang w:val="en-US"/>
        </w:rPr>
        <w:t xml:space="preserve">Students playing their parts have to undertake all activities required by their role in the trial. </w:t>
      </w:r>
      <w:r w:rsidR="007E1490">
        <w:rPr>
          <w:lang w:val="en-US"/>
        </w:rPr>
        <w:t xml:space="preserve">Training on legal writing is integrated into these exercises. </w:t>
      </w:r>
      <w:r w:rsidR="00DE2EC4">
        <w:rPr>
          <w:lang w:val="en-US"/>
        </w:rPr>
        <w:t xml:space="preserve">The candidate playing the judge has to </w:t>
      </w:r>
      <w:r w:rsidR="007E1490">
        <w:rPr>
          <w:lang w:val="en-US"/>
        </w:rPr>
        <w:t>write</w:t>
      </w:r>
      <w:r w:rsidR="00DE2EC4">
        <w:rPr>
          <w:lang w:val="en-US"/>
        </w:rPr>
        <w:t xml:space="preserve"> </w:t>
      </w:r>
      <w:r w:rsidR="007E1490">
        <w:rPr>
          <w:lang w:val="en-US"/>
        </w:rPr>
        <w:t>the</w:t>
      </w:r>
      <w:r w:rsidR="00DE2EC4">
        <w:rPr>
          <w:lang w:val="en-US"/>
        </w:rPr>
        <w:t xml:space="preserve"> judgement; the candidate playing the prosecutor will draft motions to be submitted on behalf of the prosecution etc.</w:t>
      </w:r>
      <w:r w:rsidR="007E1490">
        <w:rPr>
          <w:lang w:val="en-US"/>
        </w:rPr>
        <w:t xml:space="preserve"> Feedback on these writing assignments is furnished as part of the general feedback on their performance candidates receive at the end of each simulation.</w:t>
      </w:r>
    </w:p>
    <w:p w14:paraId="0B383F26" w14:textId="77777777" w:rsidR="00DE2EC4" w:rsidRDefault="00DE2EC4" w:rsidP="00C81505">
      <w:pPr>
        <w:spacing w:line="360" w:lineRule="auto"/>
        <w:jc w:val="both"/>
        <w:rPr>
          <w:lang w:val="en-US"/>
        </w:rPr>
      </w:pPr>
      <w:r>
        <w:rPr>
          <w:lang w:val="en-US"/>
        </w:rPr>
        <w:t>The mock trials are videotaped.</w:t>
      </w:r>
      <w:r w:rsidR="00817458">
        <w:rPr>
          <w:lang w:val="en-US"/>
        </w:rPr>
        <w:t xml:space="preserve"> Mentors as well as candidates</w:t>
      </w:r>
      <w:r w:rsidR="00380240">
        <w:rPr>
          <w:lang w:val="en-US"/>
        </w:rPr>
        <w:t xml:space="preserve"> have remote access to the recordings which enables them to check the performances at any time and from almost any place. Mentors also have access to the full files of any student </w:t>
      </w:r>
      <w:r w:rsidR="007E1490">
        <w:rPr>
          <w:lang w:val="en-US"/>
        </w:rPr>
        <w:t>including grades, documents written by candidates as part of their training etc.</w:t>
      </w:r>
      <w:r w:rsidR="00380240">
        <w:rPr>
          <w:lang w:val="en-US"/>
        </w:rPr>
        <w:t xml:space="preserve"> </w:t>
      </w:r>
    </w:p>
    <w:p w14:paraId="07DB5000" w14:textId="007F3DA2" w:rsidR="001702D5" w:rsidRDefault="001702D5" w:rsidP="00C81505">
      <w:pPr>
        <w:spacing w:line="360" w:lineRule="auto"/>
        <w:jc w:val="both"/>
        <w:rPr>
          <w:lang w:val="en-US"/>
        </w:rPr>
      </w:pPr>
      <w:r>
        <w:rPr>
          <w:lang w:val="en-US"/>
        </w:rPr>
        <w:t xml:space="preserve">The first semester at the NIJ lasts 19 weeks during which candidates receive 714 hours of training. It is, according to the program of the </w:t>
      </w:r>
      <w:r w:rsidR="00526441">
        <w:rPr>
          <w:lang w:val="en-US"/>
        </w:rPr>
        <w:t>Institute</w:t>
      </w:r>
      <w:r>
        <w:rPr>
          <w:lang w:val="en-US"/>
        </w:rPr>
        <w:t>, dedicated to pre-trial skills. Subjects taught are ‘conducting and exercising criminal prosecution’, ‘civil proceedings in first instance</w:t>
      </w:r>
      <w:r w:rsidR="00C3522F">
        <w:rPr>
          <w:lang w:val="en-US"/>
        </w:rPr>
        <w:t>s</w:t>
      </w:r>
      <w:r>
        <w:rPr>
          <w:lang w:val="en-US"/>
        </w:rPr>
        <w:t>: Incidents not relating</w:t>
      </w:r>
      <w:r w:rsidR="00C3522F">
        <w:rPr>
          <w:lang w:val="en-US"/>
        </w:rPr>
        <w:t xml:space="preserve"> to the examination of the merits of the case’ </w:t>
      </w:r>
      <w:proofErr w:type="gramStart"/>
      <w:r w:rsidR="00C3522F">
        <w:rPr>
          <w:lang w:val="en-US"/>
        </w:rPr>
        <w:t>and  ‘</w:t>
      </w:r>
      <w:proofErr w:type="gramEnd"/>
      <w:r w:rsidR="00C3522F">
        <w:rPr>
          <w:lang w:val="en-US"/>
        </w:rPr>
        <w:t xml:space="preserve">judicial control of pre-trial proceedings’. All of these subjects are broken down into several sub-categories. </w:t>
      </w:r>
    </w:p>
    <w:p w14:paraId="0398D683" w14:textId="77777777" w:rsidR="00C3522F" w:rsidRDefault="00C3522F" w:rsidP="00C81505">
      <w:pPr>
        <w:spacing w:line="360" w:lineRule="auto"/>
        <w:jc w:val="both"/>
        <w:rPr>
          <w:lang w:val="en-US"/>
        </w:rPr>
      </w:pPr>
      <w:r>
        <w:rPr>
          <w:lang w:val="en-US"/>
        </w:rPr>
        <w:t xml:space="preserve">In terms of methodology, the subjects are taught via simulations. This will include writing assignments, which subsume only a small portion of the lessons dedicated to the subject (see below). During the first semester, students receive </w:t>
      </w:r>
      <w:r w:rsidR="00733751">
        <w:rPr>
          <w:lang w:val="en-US"/>
        </w:rPr>
        <w:t xml:space="preserve">20 lessons on legal writing and stylistics (which is 10 lessons less than the 30 lessons dedicated to ‘judicial psychology’). </w:t>
      </w:r>
    </w:p>
    <w:p w14:paraId="196A1025" w14:textId="77777777" w:rsidR="00733751" w:rsidRDefault="00733751" w:rsidP="00C81505">
      <w:pPr>
        <w:spacing w:line="360" w:lineRule="auto"/>
        <w:jc w:val="both"/>
        <w:rPr>
          <w:lang w:val="en-US"/>
        </w:rPr>
      </w:pPr>
      <w:r>
        <w:rPr>
          <w:lang w:val="en-US"/>
        </w:rPr>
        <w:t xml:space="preserve">The second semester is comprised of 21 training weeks, equaling 764 of training, plus one week for final exams. Teaching is conducted via simulations. </w:t>
      </w:r>
      <w:r w:rsidR="00D157A3">
        <w:rPr>
          <w:lang w:val="en-US"/>
        </w:rPr>
        <w:t xml:space="preserve">Among the topics covered are </w:t>
      </w:r>
      <w:r w:rsidR="00874774">
        <w:rPr>
          <w:lang w:val="en-US"/>
        </w:rPr>
        <w:t xml:space="preserve">‘examination of civil and criminal cases in first instance’ and ‘representation of indictments in court’. There are no specific courses on legal writing in this semester. </w:t>
      </w:r>
    </w:p>
    <w:p w14:paraId="14FA29E5" w14:textId="77777777" w:rsidR="00874774" w:rsidRDefault="00874774" w:rsidP="00C81505">
      <w:pPr>
        <w:spacing w:line="360" w:lineRule="auto"/>
        <w:jc w:val="both"/>
        <w:rPr>
          <w:lang w:val="en-US"/>
        </w:rPr>
      </w:pPr>
      <w:r>
        <w:rPr>
          <w:lang w:val="en-US"/>
        </w:rPr>
        <w:t>The third semester is comprised of a 30 weeks traineeship. While legal writing is surely addressed in the frame of this internship, it is not expressly taught as a subject.</w:t>
      </w:r>
    </w:p>
    <w:p w14:paraId="5C25F07C" w14:textId="77777777" w:rsidR="00733751" w:rsidRDefault="00733751" w:rsidP="00C81505">
      <w:pPr>
        <w:spacing w:line="360" w:lineRule="auto"/>
        <w:jc w:val="both"/>
        <w:rPr>
          <w:lang w:val="en-US"/>
        </w:rPr>
      </w:pPr>
    </w:p>
    <w:p w14:paraId="3687AB06" w14:textId="77777777" w:rsidR="00E709D3" w:rsidRDefault="00E709D3" w:rsidP="00C81505">
      <w:pPr>
        <w:spacing w:line="360" w:lineRule="auto"/>
        <w:jc w:val="both"/>
        <w:rPr>
          <w:lang w:val="en-US"/>
        </w:rPr>
      </w:pPr>
    </w:p>
    <w:p w14:paraId="0DB8E730" w14:textId="77777777" w:rsidR="00E709D3" w:rsidRDefault="00E709D3" w:rsidP="00C81505">
      <w:pPr>
        <w:pStyle w:val="berschrift2"/>
        <w:spacing w:line="360" w:lineRule="auto"/>
        <w:rPr>
          <w:lang w:val="en-US"/>
        </w:rPr>
      </w:pPr>
      <w:bookmarkStart w:id="26" w:name="_Toc3821715"/>
      <w:r>
        <w:rPr>
          <w:lang w:val="en-US"/>
        </w:rPr>
        <w:t>The case for separate courses on legal writing</w:t>
      </w:r>
      <w:bookmarkEnd w:id="26"/>
    </w:p>
    <w:p w14:paraId="0989E665" w14:textId="77777777" w:rsidR="00380240" w:rsidRDefault="00380240" w:rsidP="00C81505">
      <w:pPr>
        <w:spacing w:line="360" w:lineRule="auto"/>
        <w:jc w:val="both"/>
        <w:rPr>
          <w:lang w:val="en-US"/>
        </w:rPr>
      </w:pPr>
      <w:r>
        <w:rPr>
          <w:lang w:val="en-US"/>
        </w:rPr>
        <w:t>The new approach to training candidates has clear advantages. It is widely accepted that learning actively and applying knowledge (‘learning by doing’) is more effective than ex-cathedra-teaching. In addition to that, the simulations allow students to acquire practical skills which are h</w:t>
      </w:r>
      <w:r w:rsidR="00346C80">
        <w:rPr>
          <w:lang w:val="en-US"/>
        </w:rPr>
        <w:t>ard</w:t>
      </w:r>
      <w:r>
        <w:rPr>
          <w:lang w:val="en-US"/>
        </w:rPr>
        <w:t xml:space="preserve"> to </w:t>
      </w:r>
      <w:r w:rsidR="00346C80">
        <w:rPr>
          <w:lang w:val="en-US"/>
        </w:rPr>
        <w:t xml:space="preserve">convey by </w:t>
      </w:r>
      <w:r w:rsidR="00346C80">
        <w:rPr>
          <w:lang w:val="en-US"/>
        </w:rPr>
        <w:lastRenderedPageBreak/>
        <w:t>teaching theory</w:t>
      </w:r>
      <w:r w:rsidR="00E7649B">
        <w:rPr>
          <w:lang w:val="en-US"/>
        </w:rPr>
        <w:t xml:space="preserve">. </w:t>
      </w:r>
      <w:r w:rsidR="00346C80">
        <w:rPr>
          <w:lang w:val="en-US"/>
        </w:rPr>
        <w:t>Delivering a closing argument cannot be learned by listening to a lecture</w:t>
      </w:r>
      <w:r w:rsidR="00E7649B">
        <w:rPr>
          <w:lang w:val="en-US"/>
        </w:rPr>
        <w:t>. The simulations bear the prospect that students will be able to</w:t>
      </w:r>
      <w:r w:rsidR="00346C80">
        <w:rPr>
          <w:lang w:val="en-US"/>
        </w:rPr>
        <w:t xml:space="preserve"> carry out</w:t>
      </w:r>
      <w:r w:rsidR="00E7649B">
        <w:rPr>
          <w:lang w:val="en-US"/>
        </w:rPr>
        <w:t xml:space="preserve"> such practical activities confidently from day one </w:t>
      </w:r>
      <w:r w:rsidR="005D6184">
        <w:rPr>
          <w:lang w:val="en-US"/>
        </w:rPr>
        <w:t>once they</w:t>
      </w:r>
      <w:r w:rsidR="00E7649B">
        <w:rPr>
          <w:lang w:val="en-US"/>
        </w:rPr>
        <w:t xml:space="preserve"> start working in their professions. It also seems likely that students would be more motivated when engaging in practical exercises then when listening to presentations.</w:t>
      </w:r>
      <w:r w:rsidR="00BB54C4">
        <w:rPr>
          <w:lang w:val="en-US"/>
        </w:rPr>
        <w:t xml:space="preserve"> </w:t>
      </w:r>
    </w:p>
    <w:p w14:paraId="0A586EE3" w14:textId="77777777" w:rsidR="00BB54C4" w:rsidRDefault="00BB54C4" w:rsidP="00C81505">
      <w:pPr>
        <w:spacing w:line="360" w:lineRule="auto"/>
        <w:jc w:val="both"/>
        <w:rPr>
          <w:lang w:val="en-US"/>
        </w:rPr>
      </w:pPr>
      <w:r>
        <w:rPr>
          <w:lang w:val="en-US"/>
        </w:rPr>
        <w:t xml:space="preserve">However, the methodology employed by the NIJ has downsides, too. </w:t>
      </w:r>
      <w:r w:rsidR="002367A7">
        <w:rPr>
          <w:lang w:val="en-US"/>
        </w:rPr>
        <w:t>In particular, I have doubts whether it is capable of equipping future judges and prosecutors with the drafting skills they need to exercise their professions.</w:t>
      </w:r>
    </w:p>
    <w:p w14:paraId="7DA2A4CC" w14:textId="77777777" w:rsidR="002367A7" w:rsidRDefault="002367A7" w:rsidP="00C81505">
      <w:pPr>
        <w:spacing w:line="360" w:lineRule="auto"/>
        <w:jc w:val="both"/>
        <w:rPr>
          <w:lang w:val="en-US"/>
        </w:rPr>
      </w:pPr>
      <w:r>
        <w:rPr>
          <w:lang w:val="en-US"/>
        </w:rPr>
        <w:t>Legal writing is an essential</w:t>
      </w:r>
      <w:r w:rsidR="005D6184">
        <w:rPr>
          <w:lang w:val="en-US"/>
        </w:rPr>
        <w:t xml:space="preserve"> skill</w:t>
      </w:r>
      <w:r>
        <w:rPr>
          <w:lang w:val="en-US"/>
        </w:rPr>
        <w:t xml:space="preserve"> for all attorneys, prosecutors and judges. For judges, it is arguably the single most important skill. Accordingly, future judges and prosecutors (training for attorneys is not within the scope of this report) should dedicate significant amounts of time and effort to honing it. </w:t>
      </w:r>
      <w:r w:rsidR="0026716F">
        <w:rPr>
          <w:lang w:val="en-US"/>
        </w:rPr>
        <w:t>This is particularly true in an environment</w:t>
      </w:r>
      <w:r w:rsidR="00C905BB">
        <w:rPr>
          <w:lang w:val="en-US"/>
        </w:rPr>
        <w:t xml:space="preserve"> where candidates have not undergone any previous training on the subject in the course of their education. </w:t>
      </w:r>
    </w:p>
    <w:p w14:paraId="63991800" w14:textId="77777777" w:rsidR="00A40DD5" w:rsidRDefault="00006BB2" w:rsidP="00C81505">
      <w:pPr>
        <w:spacing w:line="360" w:lineRule="auto"/>
        <w:jc w:val="both"/>
        <w:rPr>
          <w:lang w:val="en-US"/>
        </w:rPr>
      </w:pPr>
      <w:r>
        <w:rPr>
          <w:lang w:val="en-US"/>
        </w:rPr>
        <w:t xml:space="preserve">The number of writing assignments candidates undergoing training in the NIJ receive is very limited. </w:t>
      </w:r>
      <w:r w:rsidR="00675DB7">
        <w:rPr>
          <w:lang w:val="en-US"/>
        </w:rPr>
        <w:t>In every mock trial, only the candidate assuming the role of the judge is tasked to draft the judgement. Candidates playing witnesses, defendants, experts or interpreters (obviously) do not draft anything at all; since the number of students in a group frequently exceeds the number of roles to be played in the frame of the simulation, some candidates just watch the performance of their colleagues and do not write anything either. It was hard to obtain a concrete statement on the overall number of judgements each candidate has to write in the course of the training at the NIJ. Most interlocutors stated that it was somewhere between five and nine. At any rate,</w:t>
      </w:r>
      <w:r w:rsidR="00975979">
        <w:rPr>
          <w:lang w:val="en-US"/>
        </w:rPr>
        <w:t xml:space="preserve"> the amount of drafting assignments does not seem sufficient for the students to develop the necessary writing skills. Also, while acknowledging the benefits of the methodology developed by the NIJ, it is doubtful whether the training time is used efficiently when students spent such long periods playing witnesses or observing trials enacted by others.</w:t>
      </w:r>
    </w:p>
    <w:p w14:paraId="033A9571" w14:textId="77777777" w:rsidR="006E4A25" w:rsidRDefault="00C47431" w:rsidP="00C81505">
      <w:pPr>
        <w:spacing w:line="360" w:lineRule="auto"/>
        <w:jc w:val="both"/>
        <w:rPr>
          <w:lang w:val="en-US"/>
        </w:rPr>
      </w:pPr>
      <w:r>
        <w:rPr>
          <w:lang w:val="en-US"/>
        </w:rPr>
        <w:t xml:space="preserve">In addition to that, improving one’s writing skills requires extensive feedback. Texts have to be drafted and critiqued in detail and precise guidance must be provided; possibly texts have to be rewritten. </w:t>
      </w:r>
      <w:r w:rsidR="004B754F">
        <w:rPr>
          <w:lang w:val="en-US"/>
        </w:rPr>
        <w:t>The feedback furnished during the feedback sessions did not (and could not) achieve this.</w:t>
      </w:r>
    </w:p>
    <w:p w14:paraId="7983B091" w14:textId="77777777" w:rsidR="004B754F" w:rsidRDefault="004B754F" w:rsidP="00C81505">
      <w:pPr>
        <w:spacing w:line="360" w:lineRule="auto"/>
        <w:jc w:val="both"/>
        <w:rPr>
          <w:lang w:val="en-US"/>
        </w:rPr>
      </w:pPr>
      <w:r>
        <w:rPr>
          <w:lang w:val="en-US"/>
        </w:rPr>
        <w:t xml:space="preserve">The feedback sessions deal with the mock trials in their entirety. Mentors address all aspects of the candidate’s performance in their respective roles. This means assessing the display of skills such as witness examination, delivering closing arguments for presiding over the trial regarding at least three persons (judge, prosecutor, </w:t>
      </w:r>
      <w:proofErr w:type="spellStart"/>
      <w:r>
        <w:rPr>
          <w:lang w:val="en-US"/>
        </w:rPr>
        <w:t>defence</w:t>
      </w:r>
      <w:proofErr w:type="spellEnd"/>
      <w:r>
        <w:rPr>
          <w:lang w:val="en-US"/>
        </w:rPr>
        <w:t xml:space="preserve"> counsel), </w:t>
      </w:r>
      <w:r w:rsidR="003B0BCE">
        <w:rPr>
          <w:lang w:val="en-US"/>
        </w:rPr>
        <w:t>discussing legal questions arisen</w:t>
      </w:r>
      <w:r>
        <w:rPr>
          <w:lang w:val="en-US"/>
        </w:rPr>
        <w:t xml:space="preserve"> in the course of the trial and practical issues (for example when to file a certain motion when to decide on it).</w:t>
      </w:r>
      <w:r w:rsidR="00AF5ED3">
        <w:rPr>
          <w:lang w:val="en-US"/>
        </w:rPr>
        <w:t xml:space="preserve"> </w:t>
      </w:r>
      <w:r w:rsidR="000928EB">
        <w:rPr>
          <w:lang w:val="en-US"/>
        </w:rPr>
        <w:t xml:space="preserve">Considering </w:t>
      </w:r>
      <w:r w:rsidR="000928EB">
        <w:rPr>
          <w:lang w:val="en-US"/>
        </w:rPr>
        <w:lastRenderedPageBreak/>
        <w:t>the number of topics to address, the</w:t>
      </w:r>
      <w:r w:rsidR="003B0BCE">
        <w:rPr>
          <w:lang w:val="en-US"/>
        </w:rPr>
        <w:t>re is</w:t>
      </w:r>
      <w:r w:rsidR="000928EB">
        <w:rPr>
          <w:lang w:val="en-US"/>
        </w:rPr>
        <w:t xml:space="preserve"> not enough time to discuss the quality of written submissions or the judgement in a sufficiently detailed fashion</w:t>
      </w:r>
      <w:r w:rsidR="003B0BCE">
        <w:rPr>
          <w:lang w:val="en-US"/>
        </w:rPr>
        <w:t xml:space="preserve"> to</w:t>
      </w:r>
      <w:r w:rsidR="000928EB">
        <w:rPr>
          <w:lang w:val="en-US"/>
        </w:rPr>
        <w:t xml:space="preserve"> facilitate</w:t>
      </w:r>
      <w:r w:rsidR="00083F5E">
        <w:rPr>
          <w:lang w:val="en-US"/>
        </w:rPr>
        <w:t xml:space="preserve"> a</w:t>
      </w:r>
      <w:r w:rsidR="000928EB">
        <w:rPr>
          <w:lang w:val="en-US"/>
        </w:rPr>
        <w:t xml:space="preserve"> learning process</w:t>
      </w:r>
      <w:r w:rsidR="00083F5E">
        <w:rPr>
          <w:lang w:val="en-US"/>
        </w:rPr>
        <w:t xml:space="preserve">. </w:t>
      </w:r>
    </w:p>
    <w:p w14:paraId="4C19A470" w14:textId="77777777" w:rsidR="00A03DC9" w:rsidRDefault="00EA03A1" w:rsidP="00C81505">
      <w:pPr>
        <w:spacing w:line="360" w:lineRule="auto"/>
        <w:jc w:val="both"/>
        <w:rPr>
          <w:lang w:val="en-US"/>
        </w:rPr>
      </w:pPr>
      <w:r>
        <w:rPr>
          <w:lang w:val="en-US"/>
        </w:rPr>
        <w:t xml:space="preserve">The feedback session I attended during my visit to Chisinau lasted approximately </w:t>
      </w:r>
      <w:r w:rsidR="003B0BCE">
        <w:rPr>
          <w:lang w:val="en-US"/>
        </w:rPr>
        <w:t>one</w:t>
      </w:r>
      <w:r>
        <w:rPr>
          <w:lang w:val="en-US"/>
        </w:rPr>
        <w:t xml:space="preserve"> hour.</w:t>
      </w:r>
      <w:r w:rsidR="004233A7">
        <w:rPr>
          <w:lang w:val="en-US"/>
        </w:rPr>
        <w:t xml:space="preserve"> The mentor addressed a number of issues in regard to the mock trial the candidates had enacted in a rather superficial manner, inter alia advising the ‘judge’ to assert more authority. </w:t>
      </w:r>
      <w:r w:rsidR="00A03DC9">
        <w:rPr>
          <w:lang w:val="en-US"/>
        </w:rPr>
        <w:t xml:space="preserve">Some issues which in my opinion would have merited intense discussion were not mentioned or elaborated on. </w:t>
      </w:r>
      <w:r w:rsidR="008A26E9">
        <w:rPr>
          <w:lang w:val="en-US"/>
        </w:rPr>
        <w:t>The defendant’s phone had been intercepted. The mentor stated that the legality of this interception was questionable since it had been carried out by body not authorized</w:t>
      </w:r>
      <w:r w:rsidR="003B0BCE">
        <w:rPr>
          <w:lang w:val="en-US"/>
        </w:rPr>
        <w:t xml:space="preserve"> to do so</w:t>
      </w:r>
      <w:r w:rsidR="00B62720">
        <w:rPr>
          <w:lang w:val="en-US"/>
        </w:rPr>
        <w:t xml:space="preserve">. In my opinion, this could have triggered a broad debate on the admissibility of this piece of evidence, on how to raise the issue from the </w:t>
      </w:r>
      <w:proofErr w:type="spellStart"/>
      <w:r w:rsidR="00B62720">
        <w:rPr>
          <w:lang w:val="en-US"/>
        </w:rPr>
        <w:t>defence</w:t>
      </w:r>
      <w:proofErr w:type="spellEnd"/>
      <w:r w:rsidR="00B62720">
        <w:rPr>
          <w:lang w:val="en-US"/>
        </w:rPr>
        <w:t xml:space="preserve"> lawyer’s perspective, possibilities for the prosecutor to react and</w:t>
      </w:r>
      <w:r w:rsidR="003B0BCE">
        <w:rPr>
          <w:lang w:val="en-US"/>
        </w:rPr>
        <w:t>,</w:t>
      </w:r>
      <w:r w:rsidR="00B62720">
        <w:rPr>
          <w:lang w:val="en-US"/>
        </w:rPr>
        <w:t xml:space="preserve"> finally, on how to decide as a judge. None of that was discussed. During the mock trial, a defense lawyer had moved (orally) to suppress a certain piece of evidence. The mentor had interrupted and stated that arguments of this kind should be brought up in the closing arguments; the student had objected. The mentor had announced that this should be discussed further during the feedback session. However, the issue was not brought up. </w:t>
      </w:r>
    </w:p>
    <w:p w14:paraId="0EC62D8A" w14:textId="77777777" w:rsidR="00EA03A1" w:rsidRDefault="004233A7" w:rsidP="00C81505">
      <w:pPr>
        <w:spacing w:line="360" w:lineRule="auto"/>
        <w:jc w:val="both"/>
        <w:rPr>
          <w:lang w:val="en-US"/>
        </w:rPr>
      </w:pPr>
      <w:r>
        <w:rPr>
          <w:lang w:val="en-US"/>
        </w:rPr>
        <w:t>There was no feedback whatsoever in regard to the quality of motions which had been submitted or the drafting style of the judgement.</w:t>
      </w:r>
    </w:p>
    <w:p w14:paraId="63CDBA3B" w14:textId="77777777" w:rsidR="003041ED" w:rsidRDefault="003041ED" w:rsidP="00C81505">
      <w:pPr>
        <w:spacing w:line="360" w:lineRule="auto"/>
        <w:jc w:val="both"/>
        <w:rPr>
          <w:lang w:val="en-US"/>
        </w:rPr>
      </w:pPr>
      <w:r w:rsidRPr="003041ED">
        <w:rPr>
          <w:lang w:val="en-US"/>
        </w:rPr>
        <w:t>It also seems that much attention is paid to formal aspects of a judgment such as the structure, information on the parties to be provided, the right place to include the file number and so on. This focus on formalities might at times come at the cost of the time dedicated to the coherence and persuasiveness of judgments</w:t>
      </w:r>
      <w:r w:rsidR="003B0BCE">
        <w:rPr>
          <w:lang w:val="en-US"/>
        </w:rPr>
        <w:t>.</w:t>
      </w:r>
    </w:p>
    <w:p w14:paraId="666E64FD" w14:textId="77777777" w:rsidR="00BB18C7" w:rsidRDefault="004233A7" w:rsidP="00C81505">
      <w:pPr>
        <w:spacing w:line="360" w:lineRule="auto"/>
        <w:jc w:val="both"/>
        <w:rPr>
          <w:lang w:val="en-US"/>
        </w:rPr>
      </w:pPr>
      <w:r>
        <w:rPr>
          <w:lang w:val="en-US"/>
        </w:rPr>
        <w:t xml:space="preserve">In addition to that, experience suggests that complex skills are learnt better when broken down into several components. </w:t>
      </w:r>
      <w:r w:rsidR="003967F9">
        <w:rPr>
          <w:lang w:val="en-US"/>
        </w:rPr>
        <w:t>A</w:t>
      </w:r>
      <w:r>
        <w:rPr>
          <w:lang w:val="en-US"/>
        </w:rPr>
        <w:t xml:space="preserve"> person who wants to learn </w:t>
      </w:r>
      <w:r w:rsidR="003967F9">
        <w:rPr>
          <w:lang w:val="en-US"/>
        </w:rPr>
        <w:t>how to play</w:t>
      </w:r>
      <w:r>
        <w:rPr>
          <w:lang w:val="en-US"/>
        </w:rPr>
        <w:t xml:space="preserve"> tennis will not start by playing full matches but spend some time practicing forehand, backhand and service separately</w:t>
      </w:r>
      <w:r w:rsidR="00BB18C7">
        <w:rPr>
          <w:lang w:val="en-US"/>
        </w:rPr>
        <w:t>; an aspiring guitar player will not begin by playing ‘Smoke on the water’ and stage diving into the arms of an enthusiastic crowd.</w:t>
      </w:r>
      <w:r w:rsidR="00AB4221">
        <w:rPr>
          <w:lang w:val="en-US"/>
        </w:rPr>
        <w:t xml:space="preserve"> </w:t>
      </w:r>
      <w:r w:rsidR="007E58F9">
        <w:rPr>
          <w:lang w:val="en-US"/>
        </w:rPr>
        <w:t>Participating</w:t>
      </w:r>
      <w:r w:rsidR="003041ED">
        <w:rPr>
          <w:lang w:val="en-US"/>
        </w:rPr>
        <w:t xml:space="preserve"> in a trial</w:t>
      </w:r>
      <w:r w:rsidR="007E58F9">
        <w:rPr>
          <w:lang w:val="en-US"/>
        </w:rPr>
        <w:t xml:space="preserve"> i</w:t>
      </w:r>
      <w:r w:rsidR="00083F5E">
        <w:rPr>
          <w:lang w:val="en-US"/>
        </w:rPr>
        <w:t xml:space="preserve">s a very complex activity. To be learned, it should be broken down in several components, too. </w:t>
      </w:r>
    </w:p>
    <w:p w14:paraId="34252BE8" w14:textId="77777777" w:rsidR="002211E9" w:rsidRDefault="002211E9" w:rsidP="00C81505">
      <w:pPr>
        <w:spacing w:line="360" w:lineRule="auto"/>
        <w:jc w:val="both"/>
        <w:rPr>
          <w:lang w:val="en-US"/>
        </w:rPr>
      </w:pPr>
      <w:r>
        <w:rPr>
          <w:lang w:val="en-US"/>
        </w:rPr>
        <w:t xml:space="preserve">There is also a risk that the current </w:t>
      </w:r>
      <w:r w:rsidR="0073304B">
        <w:rPr>
          <w:lang w:val="en-US"/>
        </w:rPr>
        <w:t>approach to</w:t>
      </w:r>
      <w:r>
        <w:rPr>
          <w:lang w:val="en-US"/>
        </w:rPr>
        <w:t xml:space="preserve"> teaching judgement</w:t>
      </w:r>
      <w:r w:rsidR="0073304B">
        <w:rPr>
          <w:lang w:val="en-US"/>
        </w:rPr>
        <w:t>-</w:t>
      </w:r>
      <w:r>
        <w:rPr>
          <w:lang w:val="en-US"/>
        </w:rPr>
        <w:t xml:space="preserve">writing tends to exacerbate widespread short-comings in the way legal documents are drafted. The issues addressed in the section dealing with the analysis of judgments </w:t>
      </w:r>
      <w:r w:rsidR="0073304B">
        <w:rPr>
          <w:lang w:val="en-US"/>
        </w:rPr>
        <w:t>do not seem</w:t>
      </w:r>
      <w:r>
        <w:rPr>
          <w:lang w:val="en-US"/>
        </w:rPr>
        <w:t xml:space="preserve"> attributable to individual errors</w:t>
      </w:r>
      <w:r w:rsidR="0073304B">
        <w:rPr>
          <w:lang w:val="en-US"/>
        </w:rPr>
        <w:t xml:space="preserve"> or</w:t>
      </w:r>
      <w:r>
        <w:rPr>
          <w:lang w:val="en-US"/>
        </w:rPr>
        <w:t xml:space="preserve"> lack of time</w:t>
      </w:r>
      <w:r w:rsidR="0073304B">
        <w:rPr>
          <w:lang w:val="en-US"/>
        </w:rPr>
        <w:t xml:space="preserve">. The judgments examined were </w:t>
      </w:r>
      <w:r w:rsidR="00DA0C3F">
        <w:rPr>
          <w:lang w:val="en-US"/>
        </w:rPr>
        <w:t>passed by courts from different regions in various areas of law. This indicates that they reflect what is considered ‘state of the art’ rather than occasional outliers.</w:t>
      </w:r>
      <w:r w:rsidR="0052437D">
        <w:rPr>
          <w:lang w:val="en-US"/>
        </w:rPr>
        <w:t xml:space="preserve"> Although </w:t>
      </w:r>
      <w:r w:rsidR="0052437D">
        <w:rPr>
          <w:lang w:val="en-US"/>
        </w:rPr>
        <w:lastRenderedPageBreak/>
        <w:t>many of the mentors at the NIJ are experience</w:t>
      </w:r>
      <w:r w:rsidR="003B0BCE">
        <w:rPr>
          <w:lang w:val="en-US"/>
        </w:rPr>
        <w:t>d</w:t>
      </w:r>
      <w:r w:rsidR="0052437D">
        <w:rPr>
          <w:lang w:val="en-US"/>
        </w:rPr>
        <w:t xml:space="preserve"> and highly respected legal professionals, it is likely that the concepts they teach will not differ substantially from the </w:t>
      </w:r>
      <w:r w:rsidR="00005B9E">
        <w:rPr>
          <w:lang w:val="en-US"/>
        </w:rPr>
        <w:t xml:space="preserve">current practice in Moldova. </w:t>
      </w:r>
    </w:p>
    <w:p w14:paraId="11122FA3" w14:textId="77777777" w:rsidR="00924A5E" w:rsidRDefault="003B0BCE" w:rsidP="00C81505">
      <w:pPr>
        <w:spacing w:line="360" w:lineRule="auto"/>
        <w:jc w:val="both"/>
        <w:rPr>
          <w:lang w:val="en-US"/>
        </w:rPr>
      </w:pPr>
      <w:r>
        <w:rPr>
          <w:lang w:val="en-US"/>
        </w:rPr>
        <w:t>A</w:t>
      </w:r>
      <w:r w:rsidR="00924A5E">
        <w:rPr>
          <w:lang w:val="en-US"/>
        </w:rPr>
        <w:t xml:space="preserve"> mock trial I observed during my visit,</w:t>
      </w:r>
      <w:r w:rsidR="00207994">
        <w:rPr>
          <w:lang w:val="en-US"/>
        </w:rPr>
        <w:t xml:space="preserve"> may illustrate the point: In the trial,</w:t>
      </w:r>
      <w:r w:rsidR="00924A5E">
        <w:rPr>
          <w:lang w:val="en-US"/>
        </w:rPr>
        <w:t xml:space="preserve"> </w:t>
      </w:r>
      <w:r w:rsidR="00B37CA3">
        <w:rPr>
          <w:lang w:val="en-US"/>
        </w:rPr>
        <w:t xml:space="preserve">the court had to decide on the extension of a detention order (under Moldovan law, </w:t>
      </w:r>
      <w:r w:rsidR="00AF155E">
        <w:rPr>
          <w:lang w:val="en-US"/>
        </w:rPr>
        <w:t>detention on remand is ordered for an initial period of 30 days. After this period, the court has to review the measure and to determine whether continued detention is justified). The prosecutor asked for an extension of the measure without providing any reasoning; the defense attorney did not raise any objections. The court ordered that the detention on remand be continued for another 30 days. No rea</w:t>
      </w:r>
      <w:r w:rsidR="00283D3B">
        <w:rPr>
          <w:lang w:val="en-US"/>
        </w:rPr>
        <w:t xml:space="preserve">soning was provided. </w:t>
      </w:r>
    </w:p>
    <w:p w14:paraId="01BA3737" w14:textId="77777777" w:rsidR="00283D3B" w:rsidRDefault="00283D3B" w:rsidP="00C81505">
      <w:pPr>
        <w:spacing w:line="360" w:lineRule="auto"/>
        <w:jc w:val="both"/>
        <w:rPr>
          <w:lang w:val="en-US"/>
        </w:rPr>
      </w:pPr>
      <w:r>
        <w:rPr>
          <w:lang w:val="en-US"/>
        </w:rPr>
        <w:t xml:space="preserve">In the feedback session, the matter of detention on remand was not discussed. There would have been good reasons for debate. Article 5 ECHR requires court to provide relevant and sufficient reasons justifying detention on remand. </w:t>
      </w:r>
      <w:r w:rsidR="008A69EA">
        <w:rPr>
          <w:lang w:val="en-US"/>
        </w:rPr>
        <w:t xml:space="preserve">According to long-standing jurisprudence by the European Court of Human Rights, the threshold to continue detention on remand increases over the course of time. </w:t>
      </w:r>
      <w:r w:rsidR="00D67B4A">
        <w:rPr>
          <w:lang w:val="en-US"/>
        </w:rPr>
        <w:t xml:space="preserve">Courts have to display ‘special diligence’ when ruling on the necessity of detention on remand. In </w:t>
      </w:r>
      <w:proofErr w:type="spellStart"/>
      <w:r w:rsidR="00D67B4A">
        <w:rPr>
          <w:lang w:val="en-US"/>
        </w:rPr>
        <w:t>Buzadji</w:t>
      </w:r>
      <w:proofErr w:type="spellEnd"/>
      <w:r w:rsidR="00D67B4A">
        <w:rPr>
          <w:lang w:val="en-US"/>
        </w:rPr>
        <w:t xml:space="preserve"> v Moldova, the Court held: </w:t>
      </w:r>
    </w:p>
    <w:p w14:paraId="5FE4F8E5" w14:textId="77777777" w:rsidR="00D67B4A" w:rsidRPr="00D67B4A" w:rsidRDefault="00D67B4A" w:rsidP="00C81505">
      <w:pPr>
        <w:spacing w:line="360" w:lineRule="auto"/>
        <w:ind w:left="708"/>
        <w:jc w:val="both"/>
        <w:rPr>
          <w:i/>
          <w:lang w:val="en-GB"/>
        </w:rPr>
      </w:pPr>
      <w:r w:rsidRPr="00D67B4A">
        <w:rPr>
          <w:i/>
          <w:lang w:val="en-GB"/>
        </w:rPr>
        <w:t>According to the Court’s established case</w:t>
      </w:r>
      <w:r w:rsidRPr="00D67B4A">
        <w:rPr>
          <w:b/>
          <w:bCs/>
          <w:i/>
          <w:lang w:val="en-GB"/>
        </w:rPr>
        <w:t>-</w:t>
      </w:r>
      <w:r w:rsidRPr="00D67B4A">
        <w:rPr>
          <w:i/>
          <w:lang w:val="en-GB"/>
        </w:rPr>
        <w:t xml:space="preserve">law under Article 5 § 3, the persistence of a reasonable suspicion is a condition </w:t>
      </w:r>
      <w:r w:rsidRPr="00D67B4A">
        <w:rPr>
          <w:i/>
          <w:iCs/>
          <w:lang w:val="en-GB"/>
        </w:rPr>
        <w:t>sine qua non</w:t>
      </w:r>
      <w:r w:rsidRPr="00D67B4A">
        <w:rPr>
          <w:i/>
          <w:lang w:val="en-GB"/>
        </w:rPr>
        <w:t xml:space="preserve"> for the validity of the continued detention, but, after a certain lapse of time, it no longer suffices: the Court must then establish (1) whether other grounds cited by the judicial authorities continue to justify the deprivation of liberty and (2), where such grounds were “relevant” and “sufficient”, whether the national authorities displayed “special diligence” in the conduct of the proceedings (see, among many other authorities, </w:t>
      </w:r>
      <w:proofErr w:type="spellStart"/>
      <w:r w:rsidRPr="00D67B4A">
        <w:rPr>
          <w:i/>
          <w:iCs/>
          <w:lang w:val="en-GB"/>
        </w:rPr>
        <w:t>Letellier</w:t>
      </w:r>
      <w:proofErr w:type="spellEnd"/>
      <w:r w:rsidRPr="00D67B4A">
        <w:rPr>
          <w:i/>
          <w:lang w:val="en-GB"/>
        </w:rPr>
        <w:t xml:space="preserve">, cited above, § 35, and </w:t>
      </w:r>
      <w:proofErr w:type="spellStart"/>
      <w:r w:rsidRPr="00D67B4A">
        <w:rPr>
          <w:i/>
          <w:iCs/>
          <w:lang w:val="en-GB"/>
        </w:rPr>
        <w:t>Idalov</w:t>
      </w:r>
      <w:proofErr w:type="spellEnd"/>
      <w:r w:rsidRPr="00D67B4A">
        <w:rPr>
          <w:i/>
          <w:iCs/>
          <w:lang w:val="en-GB"/>
        </w:rPr>
        <w:t xml:space="preserve"> v. Russia</w:t>
      </w:r>
      <w:r w:rsidRPr="00D67B4A">
        <w:rPr>
          <w:i/>
          <w:lang w:val="en-GB"/>
        </w:rPr>
        <w:t xml:space="preserve"> [GC], no. </w:t>
      </w:r>
      <w:hyperlink r:id="rId12" w:anchor="{&quot;appno&quot;:[&quot;5826/03&quot;]}" w:tgtFrame="_blank" w:history="1">
        <w:r w:rsidRPr="00D67B4A">
          <w:rPr>
            <w:rStyle w:val="Hyperlink"/>
            <w:i/>
            <w:lang w:val="en-GB"/>
          </w:rPr>
          <w:t>5826/03</w:t>
        </w:r>
      </w:hyperlink>
      <w:r w:rsidRPr="00D67B4A">
        <w:rPr>
          <w:i/>
          <w:lang w:val="en-GB"/>
        </w:rPr>
        <w:t>, § 140, 22 May 2012). The Court has also held that justification for any period of detention, no matter how short, must be convincingly demonstrated by the authorities. When deciding whether a person should be released or detained, the authorities are obliged to consider alternative means of ensuring his or her appearance at trial</w:t>
      </w:r>
    </w:p>
    <w:p w14:paraId="6E2D40B5" w14:textId="77777777" w:rsidR="003C329C" w:rsidRDefault="00D67B4A" w:rsidP="00C81505">
      <w:pPr>
        <w:spacing w:line="360" w:lineRule="auto"/>
        <w:jc w:val="both"/>
        <w:rPr>
          <w:lang w:val="en-US"/>
        </w:rPr>
      </w:pPr>
      <w:r>
        <w:rPr>
          <w:lang w:val="en-US"/>
        </w:rPr>
        <w:t>There is a host of judgments by the European Court of Human Rights finding Moldova in violation of article 5</w:t>
      </w:r>
      <w:r w:rsidR="00444208">
        <w:rPr>
          <w:lang w:val="en-US"/>
        </w:rPr>
        <w:t xml:space="preserve"> ECHR</w:t>
      </w:r>
      <w:r>
        <w:rPr>
          <w:lang w:val="en-US"/>
        </w:rPr>
        <w:t xml:space="preserve"> on account of insufficiently reasoned pre-trial detention orders. Against this backdrop, it should be expected that candidates at the NIJ are taught how to draft decisions on detention on remand – and that mentors react if they fail to comply. </w:t>
      </w:r>
    </w:p>
    <w:p w14:paraId="59185697" w14:textId="77777777" w:rsidR="00444208" w:rsidRDefault="00444208" w:rsidP="00C81505">
      <w:pPr>
        <w:spacing w:line="360" w:lineRule="auto"/>
        <w:jc w:val="both"/>
        <w:rPr>
          <w:lang w:val="en-US"/>
        </w:rPr>
      </w:pPr>
      <w:r>
        <w:rPr>
          <w:lang w:val="en-US"/>
        </w:rPr>
        <w:t xml:space="preserve">In addition to that, some of the (few) judgments drafted by candidates in the frame of their training at the NIJ displayed similar characteristics as </w:t>
      </w:r>
      <w:r w:rsidR="00201EDF">
        <w:rPr>
          <w:lang w:val="en-US"/>
        </w:rPr>
        <w:t xml:space="preserve">‘real judgments’ examined for purposes of the report. </w:t>
      </w:r>
      <w:r w:rsidR="00367CD0">
        <w:rPr>
          <w:lang w:val="en-US"/>
        </w:rPr>
        <w:t>For example, a mock trial in a criminal case regarded charges against a defendant</w:t>
      </w:r>
      <w:r w:rsidR="00207994">
        <w:rPr>
          <w:lang w:val="en-US"/>
        </w:rPr>
        <w:t xml:space="preserve"> </w:t>
      </w:r>
      <w:r w:rsidR="00367CD0">
        <w:rPr>
          <w:lang w:val="en-US"/>
        </w:rPr>
        <w:t>accused of violating traffic rules</w:t>
      </w:r>
      <w:r w:rsidR="00E81BE6">
        <w:rPr>
          <w:lang w:val="en-US"/>
        </w:rPr>
        <w:t xml:space="preserve">, leading to the death of a person (art. 264 Criminal Code). According to the indictment, the </w:t>
      </w:r>
      <w:r w:rsidR="00E81BE6">
        <w:rPr>
          <w:lang w:val="en-US"/>
        </w:rPr>
        <w:lastRenderedPageBreak/>
        <w:t xml:space="preserve">defendant had ignored a red-traffic light and run into a pedestrian when trying to avoid a collision with another car. </w:t>
      </w:r>
    </w:p>
    <w:p w14:paraId="15BEBBFF" w14:textId="77777777" w:rsidR="00E81BE6" w:rsidRDefault="00E81BE6" w:rsidP="00C81505">
      <w:pPr>
        <w:spacing w:line="360" w:lineRule="auto"/>
        <w:jc w:val="both"/>
        <w:rPr>
          <w:lang w:val="en-US"/>
        </w:rPr>
      </w:pPr>
      <w:r>
        <w:rPr>
          <w:lang w:val="en-US"/>
        </w:rPr>
        <w:t>The judgment commences the assessment of evidence:</w:t>
      </w:r>
    </w:p>
    <w:p w14:paraId="513ED0A5" w14:textId="77777777" w:rsidR="00E81BE6" w:rsidRPr="00E81BE6" w:rsidRDefault="00E81BE6" w:rsidP="00C81505">
      <w:pPr>
        <w:spacing w:line="360" w:lineRule="auto"/>
        <w:ind w:left="708"/>
        <w:jc w:val="both"/>
        <w:rPr>
          <w:i/>
          <w:lang w:val="en-US"/>
        </w:rPr>
      </w:pPr>
      <w:r w:rsidRPr="00E81BE6">
        <w:rPr>
          <w:i/>
          <w:lang w:val="en-US"/>
        </w:rPr>
        <w:t xml:space="preserve">The guilt of the defendant, Dan Ruslan </w:t>
      </w:r>
      <w:proofErr w:type="spellStart"/>
      <w:r w:rsidRPr="00E81BE6">
        <w:rPr>
          <w:i/>
          <w:lang w:val="en-US"/>
        </w:rPr>
        <w:t>Somov</w:t>
      </w:r>
      <w:proofErr w:type="spellEnd"/>
      <w:r w:rsidRPr="00E81BE6">
        <w:rPr>
          <w:i/>
          <w:lang w:val="en-US"/>
        </w:rPr>
        <w:t>, has been confirmed in the court hearing, being proved by the following evidence, namely</w:t>
      </w:r>
    </w:p>
    <w:p w14:paraId="71D72DD1" w14:textId="77777777" w:rsidR="00E81BE6" w:rsidRPr="00E81BE6" w:rsidRDefault="00E81BE6" w:rsidP="00C81505">
      <w:pPr>
        <w:spacing w:line="360" w:lineRule="auto"/>
        <w:ind w:left="708"/>
        <w:jc w:val="both"/>
        <w:rPr>
          <w:i/>
          <w:lang w:val="en-US"/>
        </w:rPr>
      </w:pPr>
      <w:r w:rsidRPr="00E81BE6">
        <w:rPr>
          <w:i/>
          <w:lang w:val="en-US"/>
        </w:rPr>
        <w:t xml:space="preserve">- The statements of the injured party's successor, </w:t>
      </w:r>
      <w:proofErr w:type="spellStart"/>
      <w:r w:rsidRPr="00E81BE6">
        <w:rPr>
          <w:i/>
          <w:lang w:val="en-US"/>
        </w:rPr>
        <w:t>Vasile</w:t>
      </w:r>
      <w:proofErr w:type="spellEnd"/>
      <w:r w:rsidRPr="00E81BE6">
        <w:rPr>
          <w:i/>
          <w:lang w:val="en-US"/>
        </w:rPr>
        <w:t xml:space="preserve"> </w:t>
      </w:r>
      <w:proofErr w:type="spellStart"/>
      <w:r w:rsidRPr="00E81BE6">
        <w:rPr>
          <w:i/>
          <w:lang w:val="en-US"/>
        </w:rPr>
        <w:t>Dontu</w:t>
      </w:r>
      <w:proofErr w:type="spellEnd"/>
      <w:r w:rsidRPr="00E81BE6">
        <w:rPr>
          <w:i/>
          <w:lang w:val="en-US"/>
        </w:rPr>
        <w:t xml:space="preserve">, who said in the court hearing that he is the son of the deceased Galina </w:t>
      </w:r>
      <w:proofErr w:type="spellStart"/>
      <w:r w:rsidRPr="00E81BE6">
        <w:rPr>
          <w:i/>
          <w:lang w:val="en-US"/>
        </w:rPr>
        <w:t>Dontu</w:t>
      </w:r>
      <w:proofErr w:type="spellEnd"/>
      <w:r w:rsidRPr="00E81BE6">
        <w:rPr>
          <w:i/>
          <w:lang w:val="en-US"/>
        </w:rPr>
        <w:t xml:space="preserve">. For the last time, he saw his mother on 01.08.2017 at home. Later, probably, she went to a shopping center. The next day his sister, Elena </w:t>
      </w:r>
      <w:proofErr w:type="spellStart"/>
      <w:r w:rsidRPr="00E81BE6">
        <w:rPr>
          <w:i/>
          <w:lang w:val="en-US"/>
        </w:rPr>
        <w:t>Dontu</w:t>
      </w:r>
      <w:proofErr w:type="spellEnd"/>
      <w:r w:rsidRPr="00E81BE6">
        <w:rPr>
          <w:i/>
          <w:lang w:val="en-US"/>
        </w:rPr>
        <w:t xml:space="preserve">, told him that on 1 August 2017 his mother was hit by a car and is in serious condition at the hospital. On 07.08. 2017, Galina </w:t>
      </w:r>
      <w:proofErr w:type="spellStart"/>
      <w:r w:rsidRPr="00E81BE6">
        <w:rPr>
          <w:i/>
          <w:lang w:val="en-US"/>
        </w:rPr>
        <w:t>Dontu</w:t>
      </w:r>
      <w:proofErr w:type="spellEnd"/>
      <w:r w:rsidRPr="00E81BE6">
        <w:rPr>
          <w:i/>
          <w:lang w:val="en-US"/>
        </w:rPr>
        <w:t xml:space="preserve"> died in the Hospital. He claims that his mother has not had any health problems and that he has never heard of any acts of suicide. He also reported that the defendant ignored the deceased’s family and did not at least apologize.</w:t>
      </w:r>
    </w:p>
    <w:p w14:paraId="6705AFFF" w14:textId="77777777" w:rsidR="00E81BE6" w:rsidRDefault="00E81BE6" w:rsidP="00C81505">
      <w:pPr>
        <w:spacing w:line="360" w:lineRule="auto"/>
        <w:ind w:left="708"/>
        <w:jc w:val="both"/>
        <w:rPr>
          <w:i/>
          <w:lang w:val="en-US"/>
        </w:rPr>
      </w:pPr>
      <w:r w:rsidRPr="00E81BE6">
        <w:rPr>
          <w:i/>
          <w:lang w:val="en-US"/>
        </w:rPr>
        <w:t xml:space="preserve">- The statements of witness Daniel Cristin </w:t>
      </w:r>
      <w:proofErr w:type="spellStart"/>
      <w:r w:rsidRPr="00E81BE6">
        <w:rPr>
          <w:i/>
          <w:lang w:val="en-US"/>
        </w:rPr>
        <w:t>Botan</w:t>
      </w:r>
      <w:proofErr w:type="spellEnd"/>
      <w:r w:rsidRPr="00E81BE6">
        <w:rPr>
          <w:i/>
          <w:lang w:val="en-US"/>
        </w:rPr>
        <w:t xml:space="preserve">, who stated that on August 1, 2017, about 18:00, driving the Dacia Logan car, registration no. BRD </w:t>
      </w:r>
      <w:proofErr w:type="gramStart"/>
      <w:r w:rsidRPr="00E81BE6">
        <w:rPr>
          <w:i/>
          <w:lang w:val="en-US"/>
        </w:rPr>
        <w:t>456 ,</w:t>
      </w:r>
      <w:proofErr w:type="gramEnd"/>
      <w:r w:rsidRPr="00E81BE6">
        <w:rPr>
          <w:i/>
          <w:lang w:val="en-US"/>
        </w:rPr>
        <w:t xml:space="preserve"> was moving on blvd. Moscow from </w:t>
      </w:r>
      <w:proofErr w:type="spellStart"/>
      <w:r w:rsidRPr="00E81BE6">
        <w:rPr>
          <w:i/>
          <w:lang w:val="en-US"/>
        </w:rPr>
        <w:t>Alecco</w:t>
      </w:r>
      <w:proofErr w:type="spellEnd"/>
      <w:r w:rsidRPr="00E81BE6">
        <w:rPr>
          <w:i/>
          <w:lang w:val="en-US"/>
        </w:rPr>
        <w:t xml:space="preserve"> </w:t>
      </w:r>
      <w:proofErr w:type="spellStart"/>
      <w:r w:rsidRPr="00E81BE6">
        <w:rPr>
          <w:i/>
          <w:lang w:val="en-US"/>
        </w:rPr>
        <w:t>Ruso</w:t>
      </w:r>
      <w:proofErr w:type="spellEnd"/>
      <w:r w:rsidRPr="00E81BE6">
        <w:rPr>
          <w:i/>
          <w:lang w:val="en-US"/>
        </w:rPr>
        <w:t xml:space="preserve"> str. Towards </w:t>
      </w:r>
      <w:proofErr w:type="spellStart"/>
      <w:r w:rsidRPr="00E81BE6">
        <w:rPr>
          <w:i/>
          <w:lang w:val="en-US"/>
        </w:rPr>
        <w:t>Matei</w:t>
      </w:r>
      <w:proofErr w:type="spellEnd"/>
      <w:r w:rsidRPr="00E81BE6">
        <w:rPr>
          <w:i/>
          <w:lang w:val="en-US"/>
        </w:rPr>
        <w:t xml:space="preserve"> </w:t>
      </w:r>
      <w:proofErr w:type="spellStart"/>
      <w:r w:rsidRPr="00E81BE6">
        <w:rPr>
          <w:i/>
          <w:lang w:val="en-US"/>
        </w:rPr>
        <w:t>Basarab</w:t>
      </w:r>
      <w:proofErr w:type="spellEnd"/>
      <w:r w:rsidRPr="00E81BE6">
        <w:rPr>
          <w:i/>
          <w:lang w:val="en-US"/>
        </w:rPr>
        <w:t xml:space="preserve"> str., Chisinau municipality, With the speed allowed, on the extreme-left lane, closer to the horizontal road marking, </w:t>
      </w:r>
      <w:r w:rsidRPr="00E81BE6">
        <w:rPr>
          <w:b/>
          <w:i/>
          <w:lang w:val="en-US"/>
        </w:rPr>
        <w:t>the continuous double line</w:t>
      </w:r>
      <w:r w:rsidRPr="00E81BE6">
        <w:rPr>
          <w:i/>
          <w:lang w:val="en-US"/>
        </w:rPr>
        <w:t>. In the car salon he was alone. The car is owned by taxi company "Taxi 14222", "</w:t>
      </w:r>
      <w:proofErr w:type="spellStart"/>
      <w:r w:rsidRPr="00E81BE6">
        <w:rPr>
          <w:i/>
          <w:lang w:val="en-US"/>
        </w:rPr>
        <w:t>Tenevga</w:t>
      </w:r>
      <w:proofErr w:type="spellEnd"/>
      <w:r w:rsidRPr="00E81BE6">
        <w:rPr>
          <w:i/>
          <w:lang w:val="en-US"/>
        </w:rPr>
        <w:t xml:space="preserve"> LLC". While driving on blvd. Moscow, in order to make the return maneuver to move to Kiev str., Chisinau municipality, drove up to the intersection of </w:t>
      </w:r>
      <w:proofErr w:type="spellStart"/>
      <w:r w:rsidRPr="00E81BE6">
        <w:rPr>
          <w:i/>
          <w:lang w:val="en-US"/>
        </w:rPr>
        <w:t>Miron</w:t>
      </w:r>
      <w:proofErr w:type="spellEnd"/>
      <w:r w:rsidRPr="00E81BE6">
        <w:rPr>
          <w:i/>
          <w:lang w:val="en-US"/>
        </w:rPr>
        <w:t xml:space="preserve"> Costin str. And Moscow blvd. He noticed that at the traffic light, which is installed on the left side after the intersection, the green signal of the traffic light was connected to its direction. He lowered the speed to the minimum, connected the signal and stopped, being already in the intersection close to the middle. In front of him there was no car. From the opposite direction, at the level of lane no. 3, stood another car, the model and registration number of which he does not remember. He wanted to make the turn-around maneuver on </w:t>
      </w:r>
      <w:proofErr w:type="spellStart"/>
      <w:r w:rsidRPr="00E81BE6">
        <w:rPr>
          <w:i/>
          <w:lang w:val="en-US"/>
        </w:rPr>
        <w:t>Miron</w:t>
      </w:r>
      <w:proofErr w:type="spellEnd"/>
      <w:r w:rsidRPr="00E81BE6">
        <w:rPr>
          <w:i/>
          <w:lang w:val="en-US"/>
        </w:rPr>
        <w:t xml:space="preserve"> Costin Street to move to </w:t>
      </w:r>
      <w:proofErr w:type="spellStart"/>
      <w:r w:rsidRPr="00E81BE6">
        <w:rPr>
          <w:i/>
          <w:lang w:val="en-US"/>
        </w:rPr>
        <w:t>Dimo</w:t>
      </w:r>
      <w:proofErr w:type="spellEnd"/>
      <w:r w:rsidRPr="00E81BE6">
        <w:rPr>
          <w:i/>
          <w:lang w:val="en-US"/>
        </w:rPr>
        <w:t xml:space="preserve"> Street. He waited for some time, about 2-3 minutes. After that, he noticed that the car moved on, at the above mentioned traffic lights, flashed a few times the intermittent yellow signal and seeing that there was no vehicle coming from the opposite direction, he began the return maneuver. When he arrived in the middle of the lane number two, he noticed a black BMW 5, moving from the opposite direction. The registration number he did not memorize. Until that moment, in his opinion, that car moved on the extreme left band, </w:t>
      </w:r>
      <w:proofErr w:type="spellStart"/>
      <w:r w:rsidRPr="00E81BE6">
        <w:rPr>
          <w:i/>
          <w:lang w:val="en-US"/>
        </w:rPr>
        <w:t>i.e</w:t>
      </w:r>
      <w:proofErr w:type="spellEnd"/>
      <w:r w:rsidRPr="00E81BE6">
        <w:rPr>
          <w:i/>
          <w:lang w:val="en-US"/>
        </w:rPr>
        <w:t xml:space="preserve"> no. 3 and for this reason the driver did not see him. Later, not reaching for him, at a short distance, the BMW car driver suddenly took the steering wheel to the right and entered the sidewalk. He communicates that he continued </w:t>
      </w:r>
      <w:r w:rsidRPr="00E81BE6">
        <w:rPr>
          <w:i/>
          <w:lang w:val="en-US"/>
        </w:rPr>
        <w:lastRenderedPageBreak/>
        <w:t xml:space="preserve">the return maneuver and stopped to the right at a certain distance after the road marking "pedestrian crossing", then wanted to go back through the circle at the intersection of </w:t>
      </w:r>
      <w:proofErr w:type="spellStart"/>
      <w:r w:rsidRPr="00E81BE6">
        <w:rPr>
          <w:i/>
          <w:lang w:val="en-US"/>
        </w:rPr>
        <w:t>Aleco</w:t>
      </w:r>
      <w:proofErr w:type="spellEnd"/>
      <w:r w:rsidRPr="00E81BE6">
        <w:rPr>
          <w:i/>
          <w:lang w:val="en-US"/>
        </w:rPr>
        <w:t xml:space="preserve"> Russo str. – blvd. Moscow – Kiev str. –Bogdan The Voivode str., but before reaching there, he was stopped by a police crew that asked him to go back to the scene. There was no contact between his car and the BMW car. Returning to the scene, he noticed that the BMW was standing in the middle of the road, at a certain angle, and near the right-back side, lying on the road, was a lady's body.</w:t>
      </w:r>
    </w:p>
    <w:p w14:paraId="603DBA41" w14:textId="77777777" w:rsidR="00E81BE6" w:rsidRDefault="00E81BE6" w:rsidP="00C81505">
      <w:pPr>
        <w:spacing w:line="360" w:lineRule="auto"/>
        <w:ind w:left="708"/>
        <w:jc w:val="both"/>
        <w:rPr>
          <w:i/>
          <w:lang w:val="en-US"/>
        </w:rPr>
      </w:pPr>
      <w:r>
        <w:rPr>
          <w:i/>
          <w:lang w:val="en-US"/>
        </w:rPr>
        <w:t>(….)</w:t>
      </w:r>
    </w:p>
    <w:p w14:paraId="3B1F29AD" w14:textId="77777777" w:rsidR="00E81BE6" w:rsidRPr="00E81BE6" w:rsidRDefault="00E81BE6" w:rsidP="00C81505">
      <w:pPr>
        <w:spacing w:line="360" w:lineRule="auto"/>
        <w:ind w:left="708"/>
        <w:jc w:val="both"/>
        <w:rPr>
          <w:i/>
          <w:lang w:val="en-US"/>
        </w:rPr>
      </w:pPr>
      <w:r w:rsidRPr="00E81BE6">
        <w:rPr>
          <w:i/>
          <w:lang w:val="en-US"/>
        </w:rPr>
        <w:t xml:space="preserve">Statements of the witness Andrei </w:t>
      </w:r>
      <w:proofErr w:type="spellStart"/>
      <w:r w:rsidRPr="00E81BE6">
        <w:rPr>
          <w:i/>
          <w:lang w:val="en-US"/>
        </w:rPr>
        <w:t>Vasile</w:t>
      </w:r>
      <w:proofErr w:type="spellEnd"/>
      <w:r w:rsidRPr="00E81BE6">
        <w:rPr>
          <w:i/>
          <w:lang w:val="en-US"/>
        </w:rPr>
        <w:t xml:space="preserve"> Alexei, who at the hearing declared that on 01.08.2017, about 18.08 min., He was driving home alone with the car "Subaru Forester", registration no. BR RY 235, on the Moscow blvd. from the direction of </w:t>
      </w:r>
      <w:proofErr w:type="spellStart"/>
      <w:r w:rsidRPr="00E81BE6">
        <w:rPr>
          <w:i/>
          <w:lang w:val="en-US"/>
        </w:rPr>
        <w:t>Aleco</w:t>
      </w:r>
      <w:proofErr w:type="spellEnd"/>
      <w:r w:rsidRPr="00E81BE6">
        <w:rPr>
          <w:i/>
          <w:lang w:val="en-US"/>
        </w:rPr>
        <w:t xml:space="preserve"> </w:t>
      </w:r>
      <w:proofErr w:type="spellStart"/>
      <w:r w:rsidRPr="00E81BE6">
        <w:rPr>
          <w:i/>
          <w:lang w:val="en-US"/>
        </w:rPr>
        <w:t>Ruso</w:t>
      </w:r>
      <w:proofErr w:type="spellEnd"/>
      <w:r w:rsidRPr="00E81BE6">
        <w:rPr>
          <w:i/>
          <w:lang w:val="en-US"/>
        </w:rPr>
        <w:t xml:space="preserve"> str. towards students str. Chisinau municipality. Driving up to the intersection of the streets Moscow blvd. - </w:t>
      </w:r>
      <w:proofErr w:type="spellStart"/>
      <w:r w:rsidRPr="00E81BE6">
        <w:rPr>
          <w:i/>
          <w:lang w:val="en-US"/>
        </w:rPr>
        <w:t>Miron</w:t>
      </w:r>
      <w:proofErr w:type="spellEnd"/>
      <w:r w:rsidRPr="00E81BE6">
        <w:rPr>
          <w:i/>
          <w:lang w:val="en-US"/>
        </w:rPr>
        <w:t xml:space="preserve"> Costin str., Chisinau municipality, he moved to the third lane, where he observed a dark-colored "Dacia Logan" that connected the left turn signal. Taking into account the traffic conditions, he moved to the third traffic lane, to the traffic lights at the intersection mentioned above the red light was connected for the Moscow blvd., respectively, he started to brake and at the same time he heard the passers who shouted. Looking to the left he noticed a BMW, and on the right side was a pedestrian on the ground. So he realized that the given car hit the pedestrian. He has not seen the moment of the accident because he had to be attentive to the route. After that he remembered that he has a dashboard camera. Going home he watched the video and realized that it contain the accident. Subsequently, going out with his family, he stopped at the scene of the road accident and told police officers that he had a video that contains images with the accident and left them a contact number (</w:t>
      </w:r>
      <w:proofErr w:type="spellStart"/>
      <w:r w:rsidRPr="00E81BE6">
        <w:rPr>
          <w:i/>
          <w:lang w:val="en-US"/>
        </w:rPr>
        <w:t>f.d.</w:t>
      </w:r>
      <w:proofErr w:type="spellEnd"/>
      <w:r w:rsidRPr="00E81BE6">
        <w:rPr>
          <w:i/>
          <w:lang w:val="en-US"/>
        </w:rPr>
        <w:t>);</w:t>
      </w:r>
    </w:p>
    <w:p w14:paraId="358EB86D" w14:textId="77777777" w:rsidR="00E81BE6" w:rsidRDefault="00E81BE6" w:rsidP="00C81505">
      <w:pPr>
        <w:spacing w:line="360" w:lineRule="auto"/>
        <w:ind w:left="708"/>
        <w:jc w:val="both"/>
        <w:rPr>
          <w:i/>
          <w:lang w:val="en-US"/>
        </w:rPr>
      </w:pPr>
      <w:r>
        <w:rPr>
          <w:i/>
          <w:lang w:val="en-US"/>
        </w:rPr>
        <w:t>(…..)</w:t>
      </w:r>
    </w:p>
    <w:p w14:paraId="3F45FAA0" w14:textId="77777777" w:rsidR="0024247A" w:rsidRDefault="0024247A" w:rsidP="00C81505">
      <w:pPr>
        <w:spacing w:line="360" w:lineRule="auto"/>
        <w:jc w:val="both"/>
        <w:rPr>
          <w:lang w:val="en-US"/>
        </w:rPr>
      </w:pPr>
    </w:p>
    <w:p w14:paraId="7AAC9B79" w14:textId="77777777" w:rsidR="0024247A" w:rsidRPr="0024247A" w:rsidRDefault="0024247A" w:rsidP="00C81505">
      <w:pPr>
        <w:spacing w:line="360" w:lineRule="auto"/>
        <w:jc w:val="both"/>
        <w:rPr>
          <w:lang w:val="en-US"/>
        </w:rPr>
      </w:pPr>
      <w:r>
        <w:rPr>
          <w:lang w:val="en-US"/>
        </w:rPr>
        <w:t>The court found the defendant guilty providing the following reasoning:</w:t>
      </w:r>
    </w:p>
    <w:p w14:paraId="4AD55882" w14:textId="77777777" w:rsidR="0024247A" w:rsidRPr="0024247A" w:rsidRDefault="0024247A" w:rsidP="00C81505">
      <w:pPr>
        <w:spacing w:line="360" w:lineRule="auto"/>
        <w:ind w:left="708"/>
        <w:jc w:val="both"/>
        <w:rPr>
          <w:i/>
          <w:lang w:val="en-US"/>
        </w:rPr>
      </w:pPr>
      <w:r w:rsidRPr="0024247A">
        <w:rPr>
          <w:i/>
          <w:lang w:val="en-US"/>
        </w:rPr>
        <w:t xml:space="preserve">Thus, hearing the successor of the injured party, the witnesses, investigating the materials of the case and assessing in general the circumstances established in the judicial investigation and according to the own conviction, from the point of view of their pertinence, usefulness and veracity, and from the point of view of their corroboration, the court concludes that the defendant Dan </w:t>
      </w:r>
      <w:proofErr w:type="spellStart"/>
      <w:r w:rsidRPr="0024247A">
        <w:rPr>
          <w:i/>
          <w:lang w:val="en-US"/>
        </w:rPr>
        <w:t>Somov</w:t>
      </w:r>
      <w:proofErr w:type="spellEnd"/>
      <w:r w:rsidRPr="0024247A">
        <w:rPr>
          <w:i/>
          <w:lang w:val="en-US"/>
        </w:rPr>
        <w:t xml:space="preserve"> is guilty of committing the offense provided in in Article 264 (3) (b) CC because he, driving the vehicle, has violated the traffic safety rules and exploitation rules of </w:t>
      </w:r>
      <w:r w:rsidRPr="0024247A">
        <w:rPr>
          <w:i/>
          <w:lang w:val="en-US"/>
        </w:rPr>
        <w:lastRenderedPageBreak/>
        <w:t xml:space="preserve">vehicles </w:t>
      </w:r>
      <w:proofErr w:type="spellStart"/>
      <w:r w:rsidRPr="0024247A">
        <w:rPr>
          <w:i/>
          <w:lang w:val="en-US"/>
        </w:rPr>
        <w:t>i.e</w:t>
      </w:r>
      <w:proofErr w:type="spellEnd"/>
      <w:r w:rsidRPr="0024247A">
        <w:rPr>
          <w:i/>
          <w:lang w:val="en-US"/>
        </w:rPr>
        <w:t xml:space="preserve"> committed offence provided in point 45 par (l) l. (a), (b), (c) and (d) of the Road Traffic Regulations, which led to the death of the injured party - Galina </w:t>
      </w:r>
      <w:proofErr w:type="spellStart"/>
      <w:r w:rsidRPr="0024247A">
        <w:rPr>
          <w:i/>
          <w:lang w:val="en-US"/>
        </w:rPr>
        <w:t>Dontu</w:t>
      </w:r>
      <w:proofErr w:type="spellEnd"/>
      <w:r w:rsidRPr="0024247A">
        <w:rPr>
          <w:i/>
          <w:lang w:val="en-US"/>
        </w:rPr>
        <w:t>.</w:t>
      </w:r>
    </w:p>
    <w:p w14:paraId="75B14E43" w14:textId="77777777" w:rsidR="0024247A" w:rsidRPr="0024247A" w:rsidRDefault="0024247A" w:rsidP="00C81505">
      <w:pPr>
        <w:spacing w:line="360" w:lineRule="auto"/>
        <w:ind w:left="708"/>
        <w:jc w:val="both"/>
        <w:rPr>
          <w:i/>
          <w:lang w:val="en-US"/>
        </w:rPr>
      </w:pPr>
      <w:r w:rsidRPr="0024247A">
        <w:rPr>
          <w:i/>
          <w:lang w:val="en-US"/>
        </w:rPr>
        <w:t xml:space="preserve">The court refers to the evidence mentioned above, which clearly shows that the vehicle BMW 520, registration no. KND 123, driven by the defendant Dan </w:t>
      </w:r>
      <w:proofErr w:type="spellStart"/>
      <w:r w:rsidRPr="0024247A">
        <w:rPr>
          <w:i/>
          <w:lang w:val="en-US"/>
        </w:rPr>
        <w:t>Somov</w:t>
      </w:r>
      <w:proofErr w:type="spellEnd"/>
      <w:r w:rsidRPr="0024247A">
        <w:rPr>
          <w:i/>
          <w:lang w:val="en-US"/>
        </w:rPr>
        <w:t xml:space="preserve">, was involved in the road accident on 01.08 .2017, after which the injured party Galina </w:t>
      </w:r>
      <w:proofErr w:type="spellStart"/>
      <w:r w:rsidRPr="0024247A">
        <w:rPr>
          <w:i/>
          <w:lang w:val="en-US"/>
        </w:rPr>
        <w:t>Dontu</w:t>
      </w:r>
      <w:proofErr w:type="spellEnd"/>
      <w:r w:rsidRPr="0024247A">
        <w:rPr>
          <w:i/>
          <w:lang w:val="en-US"/>
        </w:rPr>
        <w:t xml:space="preserve"> suffered from serious bodily injures, which led to her death. This fact is not denied by anybody.</w:t>
      </w:r>
    </w:p>
    <w:p w14:paraId="2E1454C8" w14:textId="77777777" w:rsidR="0024247A" w:rsidRPr="00E81BE6" w:rsidRDefault="0024247A" w:rsidP="00C81505">
      <w:pPr>
        <w:spacing w:line="360" w:lineRule="auto"/>
        <w:ind w:left="708"/>
        <w:jc w:val="both"/>
        <w:rPr>
          <w:i/>
          <w:lang w:val="en-US"/>
        </w:rPr>
      </w:pPr>
      <w:r w:rsidRPr="0024247A">
        <w:rPr>
          <w:i/>
          <w:lang w:val="en-US"/>
        </w:rPr>
        <w:t>At the same time, the court considers that the attorney’s argument that on the day of the road accident an expert was not present, his presence being necessary for the accurate execution of the photograph (Article 87 of the CPC) and the forensic doctor for the examination of the body on the spot, since the injured party did not die at the scene, being transported to the hospital, cannot be taken into consideration and are to be criticized. The injured party’s death occurred only on August 6, 2017, within the medical institution. As regards the assessment that the evidence handed over by the prosecution is insufficient to show the features of the offense incriminated, the court considers them declarative.</w:t>
      </w:r>
      <w:r w:rsidRPr="0024247A">
        <w:rPr>
          <w:i/>
          <w:lang w:val="en-US"/>
        </w:rPr>
        <w:br/>
        <w:t xml:space="preserve">The court considers that the arguments of the defense cannot serve as a basis for delivering an acquittal decision, since the evidence examined at the hearing reveals that the defendant is guilty of the road accident, from statements made by the witnesses in the court hearing it results that the defendant hit the pedestrian Galina </w:t>
      </w:r>
      <w:proofErr w:type="spellStart"/>
      <w:r w:rsidRPr="0024247A">
        <w:rPr>
          <w:i/>
          <w:lang w:val="en-US"/>
        </w:rPr>
        <w:t>Dontu</w:t>
      </w:r>
      <w:proofErr w:type="spellEnd"/>
      <w:r w:rsidRPr="0024247A">
        <w:rPr>
          <w:i/>
          <w:lang w:val="en-US"/>
        </w:rPr>
        <w:t>, who walked regularly on the sidewalk</w:t>
      </w:r>
    </w:p>
    <w:p w14:paraId="5D053A9F" w14:textId="77777777" w:rsidR="00444208" w:rsidRPr="00444208" w:rsidRDefault="00444208" w:rsidP="00C81505">
      <w:pPr>
        <w:spacing w:line="360" w:lineRule="auto"/>
        <w:jc w:val="both"/>
        <w:rPr>
          <w:lang w:val="en-US"/>
        </w:rPr>
      </w:pPr>
    </w:p>
    <w:p w14:paraId="2CA6C7EB" w14:textId="77777777" w:rsidR="003C329C" w:rsidRDefault="002428DE" w:rsidP="00C81505">
      <w:pPr>
        <w:spacing w:line="360" w:lineRule="auto"/>
        <w:jc w:val="both"/>
        <w:rPr>
          <w:lang w:val="en-US"/>
        </w:rPr>
      </w:pPr>
      <w:r>
        <w:rPr>
          <w:lang w:val="en-US"/>
        </w:rPr>
        <w:t>As many of the judgments examined for purposes of this report, the judgment sets out the entire evidence considered rather than to weigh</w:t>
      </w:r>
      <w:r w:rsidR="00B21B9B">
        <w:rPr>
          <w:lang w:val="en-US"/>
        </w:rPr>
        <w:t xml:space="preserve"> and analyze</w:t>
      </w:r>
      <w:r>
        <w:rPr>
          <w:lang w:val="en-US"/>
        </w:rPr>
        <w:t xml:space="preserve"> it; witness testimony is rephrased instead o</w:t>
      </w:r>
      <w:r w:rsidR="00B21B9B">
        <w:rPr>
          <w:lang w:val="en-US"/>
        </w:rPr>
        <w:t xml:space="preserve">f capturing the key points provided by the most important witnesses. The fact that the deceased person died in hospital and did not have suicidal tendencies can hardly have been the subject of much debate, yet the judgment summarizes the testimony of the victim’s son in this regard. </w:t>
      </w:r>
    </w:p>
    <w:p w14:paraId="15505A44" w14:textId="4A15D064" w:rsidR="00B21B9B" w:rsidRDefault="00B21B9B" w:rsidP="00C81505">
      <w:pPr>
        <w:spacing w:line="360" w:lineRule="auto"/>
        <w:jc w:val="both"/>
        <w:rPr>
          <w:lang w:val="en-US"/>
        </w:rPr>
      </w:pPr>
      <w:r>
        <w:rPr>
          <w:lang w:val="en-US"/>
        </w:rPr>
        <w:t xml:space="preserve">In addition to that, the court does not provide a real explanation why it considered the defendant’s guilt proven. It does not become fully clear what exactly the defense argued; at any rate, the court just states that these arguments ‘cannot be taken into consideration and are to be </w:t>
      </w:r>
      <w:r w:rsidR="004E2ECA">
        <w:rPr>
          <w:lang w:val="en-US"/>
        </w:rPr>
        <w:t>criticized</w:t>
      </w:r>
      <w:r>
        <w:rPr>
          <w:lang w:val="en-US"/>
        </w:rPr>
        <w:t>’, thus limiting itself to a phrase</w:t>
      </w:r>
      <w:r w:rsidR="00DA64AE">
        <w:rPr>
          <w:lang w:val="en-US"/>
        </w:rPr>
        <w:t xml:space="preserve"> without addressing the arguments presented by the defense.</w:t>
      </w:r>
    </w:p>
    <w:p w14:paraId="46A398A7" w14:textId="77777777" w:rsidR="004E2ECA" w:rsidRDefault="004E2ECA" w:rsidP="00C81505">
      <w:pPr>
        <w:spacing w:line="360" w:lineRule="auto"/>
        <w:jc w:val="both"/>
        <w:rPr>
          <w:lang w:val="en-US"/>
        </w:rPr>
      </w:pPr>
      <w:r>
        <w:rPr>
          <w:lang w:val="en-US"/>
        </w:rPr>
        <w:t xml:space="preserve">In summary, the judgment featured many of the short-comings to be found in a large number of the judgements </w:t>
      </w:r>
      <w:proofErr w:type="spellStart"/>
      <w:r>
        <w:rPr>
          <w:lang w:val="en-US"/>
        </w:rPr>
        <w:t>analysed</w:t>
      </w:r>
      <w:proofErr w:type="spellEnd"/>
      <w:r>
        <w:rPr>
          <w:lang w:val="en-US"/>
        </w:rPr>
        <w:t xml:space="preserve"> for purposes of this report. </w:t>
      </w:r>
    </w:p>
    <w:p w14:paraId="0D24101E" w14:textId="77777777" w:rsidR="004E2ECA" w:rsidRDefault="004E2ECA" w:rsidP="00C81505">
      <w:pPr>
        <w:spacing w:line="360" w:lineRule="auto"/>
        <w:jc w:val="both"/>
        <w:rPr>
          <w:lang w:val="en-US"/>
        </w:rPr>
      </w:pPr>
      <w:r>
        <w:rPr>
          <w:lang w:val="en-US"/>
        </w:rPr>
        <w:lastRenderedPageBreak/>
        <w:t>This finding reflects a risk of the teaching methodology currently applied</w:t>
      </w:r>
      <w:r w:rsidR="0006552E">
        <w:rPr>
          <w:lang w:val="en-US"/>
        </w:rPr>
        <w:t xml:space="preserve">: The approach to drafting judgments taught at the NIJ will be similar to the ones of the individuals delivering the lessons. Students are likely to adopt the same style of writing and reasoning. Since the legal reasoning in Moldovan judgments is at times poor, this might mean that widespread short-comings will be exacerbated. To put it bluntly: A judge drafting poor judgments will not teach candidate to write good judgements. </w:t>
      </w:r>
    </w:p>
    <w:p w14:paraId="3B8B1362" w14:textId="77777777" w:rsidR="006B6FC0" w:rsidRDefault="0006552E" w:rsidP="00C81505">
      <w:pPr>
        <w:spacing w:line="360" w:lineRule="auto"/>
        <w:jc w:val="both"/>
        <w:rPr>
          <w:lang w:val="en-US"/>
        </w:rPr>
      </w:pPr>
      <w:r>
        <w:rPr>
          <w:lang w:val="en-US"/>
        </w:rPr>
        <w:t xml:space="preserve">Finding ways to address this is not easy. </w:t>
      </w:r>
      <w:r w:rsidR="0015354F">
        <w:rPr>
          <w:lang w:val="en-US"/>
        </w:rPr>
        <w:t>In my view, it would be helpful to incorporate international elements into courses (to be established) on legal writing. Candidates should gain insight into the way judgments are drafted in other countries or by international courts. A careful analysis of judgments by the European Court of Human Rights</w:t>
      </w:r>
      <w:r w:rsidR="006B6FC0">
        <w:rPr>
          <w:lang w:val="en-US"/>
        </w:rPr>
        <w:t xml:space="preserve"> or other international courts or tribunals</w:t>
      </w:r>
      <w:r w:rsidR="0015354F">
        <w:rPr>
          <w:lang w:val="en-US"/>
        </w:rPr>
        <w:t xml:space="preserve"> in regard to the drafting style could be helpful. </w:t>
      </w:r>
    </w:p>
    <w:p w14:paraId="61737130" w14:textId="77777777" w:rsidR="006B6FC0" w:rsidRDefault="006B6FC0" w:rsidP="00C81505">
      <w:pPr>
        <w:spacing w:line="360" w:lineRule="auto"/>
        <w:jc w:val="both"/>
        <w:rPr>
          <w:lang w:val="en-US"/>
        </w:rPr>
      </w:pPr>
      <w:r>
        <w:rPr>
          <w:lang w:val="en-US"/>
        </w:rPr>
        <w:t xml:space="preserve">It might also prove useful to involve teachers from other countries or professionals who have at least been exposed extensively to judgment drafting in other countries into the training. </w:t>
      </w:r>
    </w:p>
    <w:p w14:paraId="24CA2F6E" w14:textId="41E855DF" w:rsidR="0006552E" w:rsidRDefault="006B6FC0" w:rsidP="00C81505">
      <w:pPr>
        <w:spacing w:line="360" w:lineRule="auto"/>
        <w:jc w:val="both"/>
        <w:rPr>
          <w:lang w:val="en-US"/>
        </w:rPr>
      </w:pPr>
      <w:r>
        <w:rPr>
          <w:lang w:val="en-US"/>
        </w:rPr>
        <w:t>Finally, it might be helpful to obtain a kind of endorsement for a certain style of legal reasoning and dealing with evidence from the Supreme Court. Currently, there is a risk that persons who are capable of drafting judgments which are in line with international customs face social pressure from their peers, court presidents etc. to stick to the old ways. Th</w:t>
      </w:r>
      <w:r w:rsidR="00526441">
        <w:rPr>
          <w:lang w:val="en-US"/>
        </w:rPr>
        <w:t>ese</w:t>
      </w:r>
      <w:r>
        <w:rPr>
          <w:lang w:val="en-US"/>
        </w:rPr>
        <w:t xml:space="preserve"> issues could be addressed by involving the Supreme Court.</w:t>
      </w:r>
    </w:p>
    <w:p w14:paraId="7B8A6580" w14:textId="77777777" w:rsidR="00967DD1" w:rsidRDefault="00967DD1" w:rsidP="00C81505">
      <w:pPr>
        <w:spacing w:line="360" w:lineRule="auto"/>
        <w:jc w:val="both"/>
        <w:rPr>
          <w:lang w:val="en-US"/>
        </w:rPr>
      </w:pPr>
    </w:p>
    <w:p w14:paraId="0764D7D7" w14:textId="77777777" w:rsidR="00967DD1" w:rsidRDefault="00967DD1" w:rsidP="00C81505">
      <w:pPr>
        <w:pStyle w:val="berschrift1"/>
        <w:spacing w:line="360" w:lineRule="auto"/>
        <w:rPr>
          <w:lang w:val="en-US"/>
        </w:rPr>
      </w:pPr>
      <w:bookmarkStart w:id="27" w:name="_Toc3821716"/>
      <w:r>
        <w:rPr>
          <w:lang w:val="en-US"/>
        </w:rPr>
        <w:t>Examples from international practices</w:t>
      </w:r>
      <w:bookmarkEnd w:id="27"/>
    </w:p>
    <w:p w14:paraId="42B8FBCB" w14:textId="77777777" w:rsidR="00967DD1" w:rsidRDefault="00967DD1" w:rsidP="00C81505">
      <w:pPr>
        <w:spacing w:line="360" w:lineRule="auto"/>
        <w:rPr>
          <w:lang w:val="en-US"/>
        </w:rPr>
      </w:pPr>
    </w:p>
    <w:p w14:paraId="4DA0666C" w14:textId="77777777" w:rsidR="00967DD1" w:rsidRDefault="00967DD1" w:rsidP="00C81505">
      <w:pPr>
        <w:spacing w:line="360" w:lineRule="auto"/>
        <w:jc w:val="both"/>
        <w:rPr>
          <w:lang w:val="en-US"/>
        </w:rPr>
      </w:pPr>
      <w:r>
        <w:rPr>
          <w:lang w:val="en-US"/>
        </w:rPr>
        <w:t xml:space="preserve">There is no internationally unified approach to drafting </w:t>
      </w:r>
      <w:r w:rsidR="00207994">
        <w:rPr>
          <w:lang w:val="en-US"/>
        </w:rPr>
        <w:t>judicial decisions</w:t>
      </w:r>
      <w:r>
        <w:rPr>
          <w:lang w:val="en-US"/>
        </w:rPr>
        <w:t xml:space="preserve">. Style and structure of judgments will differ depending on the legal system within which they are produced, legal cultures and traditions. </w:t>
      </w:r>
      <w:r w:rsidR="00DC2210">
        <w:rPr>
          <w:lang w:val="en-US"/>
        </w:rPr>
        <w:t xml:space="preserve"> For all the difference</w:t>
      </w:r>
      <w:r w:rsidR="00207994">
        <w:rPr>
          <w:lang w:val="en-US"/>
        </w:rPr>
        <w:t>s</w:t>
      </w:r>
      <w:r w:rsidR="00DC2210">
        <w:rPr>
          <w:lang w:val="en-US"/>
        </w:rPr>
        <w:t xml:space="preserve"> between various jurisdiction, studying examples of practices from other countries may be useful to receive a new perspective on one’s own approach</w:t>
      </w:r>
      <w:r w:rsidR="003A3893">
        <w:rPr>
          <w:lang w:val="en-US"/>
        </w:rPr>
        <w:t xml:space="preserve"> to legal writing and to inspire discussion about the drafting style commonplace in the Republic of Moldova. </w:t>
      </w:r>
    </w:p>
    <w:p w14:paraId="1D86289C" w14:textId="77777777" w:rsidR="003A3893" w:rsidRDefault="003A3893" w:rsidP="00C81505">
      <w:pPr>
        <w:spacing w:line="360" w:lineRule="auto"/>
        <w:jc w:val="both"/>
        <w:rPr>
          <w:lang w:val="en-US"/>
        </w:rPr>
      </w:pPr>
      <w:r>
        <w:rPr>
          <w:lang w:val="en-US"/>
        </w:rPr>
        <w:t xml:space="preserve">Therefore, a few examples of how judges in other countries handle some of the issues addressed in </w:t>
      </w:r>
      <w:r w:rsidR="00207994">
        <w:rPr>
          <w:lang w:val="en-US"/>
        </w:rPr>
        <w:t>t</w:t>
      </w:r>
      <w:r>
        <w:rPr>
          <w:lang w:val="en-US"/>
        </w:rPr>
        <w:t>his report shall be provided.</w:t>
      </w:r>
    </w:p>
    <w:p w14:paraId="3ED0A750" w14:textId="77777777" w:rsidR="00625288" w:rsidRDefault="00625288" w:rsidP="00C81505">
      <w:pPr>
        <w:spacing w:line="360" w:lineRule="auto"/>
        <w:jc w:val="both"/>
        <w:rPr>
          <w:lang w:val="en-US"/>
        </w:rPr>
      </w:pPr>
    </w:p>
    <w:p w14:paraId="65AF7C34" w14:textId="77777777" w:rsidR="00625288" w:rsidRPr="00967DD1" w:rsidRDefault="00625288" w:rsidP="00207994">
      <w:pPr>
        <w:pStyle w:val="berschrift2"/>
        <w:rPr>
          <w:lang w:val="en-US"/>
        </w:rPr>
      </w:pPr>
      <w:bookmarkStart w:id="28" w:name="_Toc3821717"/>
      <w:r>
        <w:rPr>
          <w:lang w:val="en-US"/>
        </w:rPr>
        <w:lastRenderedPageBreak/>
        <w:t>Dealing with evidence</w:t>
      </w:r>
      <w:bookmarkEnd w:id="28"/>
    </w:p>
    <w:p w14:paraId="183CD66C" w14:textId="77777777" w:rsidR="003C329C" w:rsidRDefault="003D5CDD" w:rsidP="00C81505">
      <w:pPr>
        <w:spacing w:line="360" w:lineRule="auto"/>
        <w:jc w:val="both"/>
        <w:rPr>
          <w:lang w:val="en-US"/>
        </w:rPr>
      </w:pPr>
      <w:r>
        <w:rPr>
          <w:lang w:val="en-US"/>
        </w:rPr>
        <w:t xml:space="preserve">As pointed out above, Moldovan judges tend to repeat in their judgments at length what witnesses have stated. A good example of another approach to dealing with evidence may be found in judgments by the International Criminal Tribunal for the Former Yugoslavia (ICTY). This tribunal dealt with the atrocities committed in the wars and conflicts accompanying the resolution of the Federal Republic of Yugoslavia. The tribunal had to </w:t>
      </w:r>
      <w:r w:rsidR="00207994">
        <w:rPr>
          <w:lang w:val="en-US"/>
        </w:rPr>
        <w:t>cope</w:t>
      </w:r>
      <w:r>
        <w:rPr>
          <w:lang w:val="en-US"/>
        </w:rPr>
        <w:t xml:space="preserve"> with large numbers of witnesses and expert witnesses and an immense volume of documentary evidence; trials often lasted for years. For judges, this posed the challenge of motivating their judgments in a way</w:t>
      </w:r>
      <w:r w:rsidR="00207994">
        <w:rPr>
          <w:lang w:val="en-US"/>
        </w:rPr>
        <w:t xml:space="preserve"> that</w:t>
      </w:r>
      <w:r>
        <w:rPr>
          <w:lang w:val="en-US"/>
        </w:rPr>
        <w:t xml:space="preserve"> addressed the evidence but was still manageable for the reader. Judgments</w:t>
      </w:r>
      <w:r w:rsidR="00E67FBF">
        <w:rPr>
          <w:lang w:val="en-US"/>
        </w:rPr>
        <w:t xml:space="preserve"> by the tribunal exemplify how a judge can focus on analyzing crucial pieces of evidence rather than repeating what was in evidence.</w:t>
      </w:r>
    </w:p>
    <w:p w14:paraId="70FAA68D" w14:textId="77777777" w:rsidR="00E67FBF" w:rsidRDefault="00E67FBF" w:rsidP="00C81505">
      <w:pPr>
        <w:spacing w:line="360" w:lineRule="auto"/>
        <w:jc w:val="both"/>
        <w:rPr>
          <w:lang w:val="en-US"/>
        </w:rPr>
      </w:pPr>
      <w:r>
        <w:rPr>
          <w:lang w:val="en-US"/>
        </w:rPr>
        <w:t>In the Tadic case, the defendant</w:t>
      </w:r>
      <w:r w:rsidR="002A6790">
        <w:rPr>
          <w:lang w:val="en-US"/>
        </w:rPr>
        <w:t xml:space="preserve"> (inter alia)</w:t>
      </w:r>
      <w:r>
        <w:rPr>
          <w:lang w:val="en-US"/>
        </w:rPr>
        <w:t xml:space="preserve"> was accused of </w:t>
      </w:r>
      <w:r w:rsidR="00237539">
        <w:rPr>
          <w:lang w:val="en-US"/>
        </w:rPr>
        <w:t>mistreating</w:t>
      </w:r>
      <w:r>
        <w:rPr>
          <w:lang w:val="en-US"/>
        </w:rPr>
        <w:t xml:space="preserve"> and torturing prisoners in a prison camp </w:t>
      </w:r>
      <w:r w:rsidR="00237539">
        <w:rPr>
          <w:lang w:val="en-US"/>
        </w:rPr>
        <w:t xml:space="preserve">situated in the town of </w:t>
      </w:r>
      <w:proofErr w:type="spellStart"/>
      <w:r w:rsidR="00237539">
        <w:rPr>
          <w:lang w:val="en-US"/>
        </w:rPr>
        <w:t>Omarska</w:t>
      </w:r>
      <w:proofErr w:type="spellEnd"/>
      <w:r w:rsidR="00237539">
        <w:rPr>
          <w:lang w:val="en-US"/>
        </w:rPr>
        <w:t xml:space="preserve">.  </w:t>
      </w:r>
      <w:r w:rsidR="002A6790">
        <w:rPr>
          <w:lang w:val="en-US"/>
        </w:rPr>
        <w:t>I</w:t>
      </w:r>
      <w:r w:rsidR="00237539">
        <w:rPr>
          <w:lang w:val="en-US"/>
        </w:rPr>
        <w:t>n the extract below, the judgment deals with the charge that</w:t>
      </w:r>
      <w:r>
        <w:rPr>
          <w:lang w:val="en-US"/>
        </w:rPr>
        <w:t xml:space="preserve"> </w:t>
      </w:r>
      <w:r w:rsidR="00237539">
        <w:rPr>
          <w:lang w:val="en-US"/>
        </w:rPr>
        <w:t>he beat</w:t>
      </w:r>
      <w:r w:rsidR="002A6790">
        <w:rPr>
          <w:lang w:val="en-US"/>
        </w:rPr>
        <w:t xml:space="preserve"> a person called</w:t>
      </w:r>
      <w:r w:rsidR="00237539">
        <w:rPr>
          <w:lang w:val="en-US"/>
        </w:rPr>
        <w:t xml:space="preserve"> </w:t>
      </w:r>
      <w:proofErr w:type="spellStart"/>
      <w:r w:rsidR="00237539">
        <w:rPr>
          <w:lang w:val="en-US"/>
        </w:rPr>
        <w:t>Hase</w:t>
      </w:r>
      <w:proofErr w:type="spellEnd"/>
      <w:r w:rsidR="00237539">
        <w:rPr>
          <w:lang w:val="en-US"/>
        </w:rPr>
        <w:t xml:space="preserve"> </w:t>
      </w:r>
      <w:proofErr w:type="spellStart"/>
      <w:r w:rsidR="00237539">
        <w:rPr>
          <w:lang w:val="en-US"/>
        </w:rPr>
        <w:t>Ici</w:t>
      </w:r>
      <w:proofErr w:type="spellEnd"/>
      <w:r w:rsidR="00237539">
        <w:rPr>
          <w:lang w:val="en-US"/>
        </w:rPr>
        <w:t xml:space="preserve">. The defense argued that Tadic had never been in the </w:t>
      </w:r>
      <w:proofErr w:type="spellStart"/>
      <w:r w:rsidR="00237539">
        <w:rPr>
          <w:lang w:val="en-US"/>
        </w:rPr>
        <w:t>Omarska</w:t>
      </w:r>
      <w:proofErr w:type="spellEnd"/>
      <w:r w:rsidR="00237539">
        <w:rPr>
          <w:lang w:val="en-US"/>
        </w:rPr>
        <w:t xml:space="preserve"> camp. For the event in question, the </w:t>
      </w:r>
      <w:proofErr w:type="spellStart"/>
      <w:r w:rsidR="00237539">
        <w:rPr>
          <w:lang w:val="en-US"/>
        </w:rPr>
        <w:t>defence</w:t>
      </w:r>
      <w:proofErr w:type="spellEnd"/>
      <w:r w:rsidR="00237539">
        <w:rPr>
          <w:lang w:val="en-US"/>
        </w:rPr>
        <w:t xml:space="preserve"> sought to provide an alibi, stating that Tadic had been on duty at a checkpoint in </w:t>
      </w:r>
      <w:proofErr w:type="spellStart"/>
      <w:r w:rsidR="00237539">
        <w:rPr>
          <w:lang w:val="en-US"/>
        </w:rPr>
        <w:t>Orlovci</w:t>
      </w:r>
      <w:proofErr w:type="spellEnd"/>
      <w:r w:rsidR="00237539">
        <w:rPr>
          <w:lang w:val="en-US"/>
        </w:rPr>
        <w:t>. The judgments assessed the evidence as follows:</w:t>
      </w:r>
    </w:p>
    <w:p w14:paraId="5AD46DB3" w14:textId="702F1C80" w:rsidR="00E67FBF" w:rsidRPr="00E67FBF" w:rsidRDefault="00E67FBF" w:rsidP="00C81505">
      <w:pPr>
        <w:spacing w:line="360" w:lineRule="auto"/>
        <w:ind w:left="708"/>
        <w:jc w:val="both"/>
        <w:rPr>
          <w:i/>
          <w:lang w:val="en-GB"/>
        </w:rPr>
      </w:pPr>
      <w:r w:rsidRPr="00E67FBF">
        <w:rPr>
          <w:i/>
          <w:lang w:val="en-GB"/>
        </w:rPr>
        <w:t xml:space="preserve">In its closing arguments, the Defence seemingly accepted that the events charged in paragraph 10 took place on 8 July 1992. </w:t>
      </w:r>
      <w:proofErr w:type="spellStart"/>
      <w:r w:rsidRPr="00E67FBF">
        <w:rPr>
          <w:i/>
          <w:lang w:val="en-GB"/>
        </w:rPr>
        <w:t>Hase</w:t>
      </w:r>
      <w:proofErr w:type="spellEnd"/>
      <w:r w:rsidRPr="00E67FBF">
        <w:rPr>
          <w:i/>
          <w:lang w:val="en-GB"/>
        </w:rPr>
        <w:t xml:space="preserve"> </w:t>
      </w:r>
      <w:proofErr w:type="spellStart"/>
      <w:r w:rsidRPr="00E67FBF">
        <w:rPr>
          <w:i/>
          <w:lang w:val="en-GB"/>
        </w:rPr>
        <w:t>Ici</w:t>
      </w:r>
      <w:r w:rsidR="008A0BA3">
        <w:rPr>
          <w:i/>
          <w:lang w:val="en-GB"/>
        </w:rPr>
        <w:t>ć</w:t>
      </w:r>
      <w:proofErr w:type="spellEnd"/>
      <w:r w:rsidRPr="00E67FBF">
        <w:rPr>
          <w:i/>
          <w:lang w:val="en-GB"/>
        </w:rPr>
        <w:t xml:space="preserve"> testified that the events happened on either 7 or 8 July 1992. The assignment records for the </w:t>
      </w:r>
      <w:proofErr w:type="spellStart"/>
      <w:r w:rsidRPr="00E67FBF">
        <w:rPr>
          <w:i/>
          <w:lang w:val="en-GB"/>
        </w:rPr>
        <w:t>Orlovci</w:t>
      </w:r>
      <w:proofErr w:type="spellEnd"/>
      <w:r w:rsidRPr="00E67FBF">
        <w:rPr>
          <w:i/>
          <w:lang w:val="en-GB"/>
        </w:rPr>
        <w:t xml:space="preserve"> checkpoint show that the accused was off duty on 7 July 1992 as of 7 a.m. and was not assigned again until 8 July. </w:t>
      </w:r>
      <w:proofErr w:type="spellStart"/>
      <w:r w:rsidRPr="00E67FBF">
        <w:rPr>
          <w:i/>
          <w:lang w:val="en-GB"/>
        </w:rPr>
        <w:t>Hase</w:t>
      </w:r>
      <w:proofErr w:type="spellEnd"/>
      <w:r w:rsidRPr="00E67FBF">
        <w:rPr>
          <w:i/>
          <w:lang w:val="en-GB"/>
        </w:rPr>
        <w:t xml:space="preserve"> </w:t>
      </w:r>
      <w:proofErr w:type="spellStart"/>
      <w:r w:rsidRPr="00E67FBF">
        <w:rPr>
          <w:i/>
          <w:lang w:val="en-GB"/>
        </w:rPr>
        <w:t>Ici</w:t>
      </w:r>
      <w:r w:rsidR="008A0BA3">
        <w:rPr>
          <w:i/>
          <w:lang w:val="en-GB"/>
        </w:rPr>
        <w:t>ć</w:t>
      </w:r>
      <w:proofErr w:type="spellEnd"/>
      <w:r w:rsidRPr="00E67FBF">
        <w:rPr>
          <w:i/>
          <w:lang w:val="en-GB"/>
        </w:rPr>
        <w:t xml:space="preserve"> testified that the events happened during the evening and, on cross-examination, confirming an earlier account of the events, he estimated the time to be around 10 p.m. On 8 July, according to the assignment records, the accused completed his duty at the </w:t>
      </w:r>
      <w:proofErr w:type="spellStart"/>
      <w:r w:rsidRPr="00E67FBF">
        <w:rPr>
          <w:i/>
          <w:lang w:val="en-GB"/>
        </w:rPr>
        <w:t>Orlovci</w:t>
      </w:r>
      <w:proofErr w:type="spellEnd"/>
      <w:r w:rsidRPr="00E67FBF">
        <w:rPr>
          <w:i/>
          <w:lang w:val="en-GB"/>
        </w:rPr>
        <w:t xml:space="preserve"> checkpoint at 7 p.m. </w:t>
      </w:r>
    </w:p>
    <w:p w14:paraId="22815D3F" w14:textId="78CC3162" w:rsidR="00E67FBF" w:rsidRPr="00E67FBF" w:rsidRDefault="00E67FBF" w:rsidP="00C81505">
      <w:pPr>
        <w:spacing w:line="360" w:lineRule="auto"/>
        <w:ind w:left="708"/>
        <w:jc w:val="both"/>
        <w:rPr>
          <w:i/>
          <w:lang w:val="en-GB"/>
        </w:rPr>
      </w:pPr>
      <w:r w:rsidRPr="00E67FBF">
        <w:rPr>
          <w:i/>
          <w:lang w:val="en-GB"/>
        </w:rPr>
        <w:t xml:space="preserve">The Defence challenged the credibility of </w:t>
      </w:r>
      <w:proofErr w:type="spellStart"/>
      <w:r w:rsidRPr="00E67FBF">
        <w:rPr>
          <w:i/>
          <w:lang w:val="en-GB"/>
        </w:rPr>
        <w:t>Hase</w:t>
      </w:r>
      <w:proofErr w:type="spellEnd"/>
      <w:r w:rsidRPr="00E67FBF">
        <w:rPr>
          <w:i/>
          <w:lang w:val="en-GB"/>
        </w:rPr>
        <w:t xml:space="preserve"> </w:t>
      </w:r>
      <w:proofErr w:type="spellStart"/>
      <w:r w:rsidRPr="00E67FBF">
        <w:rPr>
          <w:i/>
          <w:lang w:val="en-GB"/>
        </w:rPr>
        <w:t>Ici</w:t>
      </w:r>
      <w:r w:rsidR="008A0BA3">
        <w:rPr>
          <w:i/>
          <w:lang w:val="en-GB"/>
        </w:rPr>
        <w:t>ć</w:t>
      </w:r>
      <w:proofErr w:type="spellEnd"/>
      <w:r w:rsidRPr="00E67FBF">
        <w:rPr>
          <w:i/>
          <w:lang w:val="en-GB"/>
        </w:rPr>
        <w:t xml:space="preserve">. As will be discussed later in reference to paragraph 7, the Defence contended that a prior account of the events recorded by </w:t>
      </w:r>
      <w:proofErr w:type="spellStart"/>
      <w:r w:rsidRPr="00E67FBF">
        <w:rPr>
          <w:i/>
          <w:lang w:val="en-GB"/>
        </w:rPr>
        <w:t>Hase</w:t>
      </w:r>
      <w:proofErr w:type="spellEnd"/>
      <w:r w:rsidRPr="00E67FBF">
        <w:rPr>
          <w:i/>
          <w:lang w:val="en-GB"/>
        </w:rPr>
        <w:t xml:space="preserve"> </w:t>
      </w:r>
      <w:proofErr w:type="spellStart"/>
      <w:r w:rsidRPr="00E67FBF">
        <w:rPr>
          <w:i/>
          <w:lang w:val="en-GB"/>
        </w:rPr>
        <w:t>Ici</w:t>
      </w:r>
      <w:r w:rsidR="008A0BA3">
        <w:rPr>
          <w:i/>
          <w:lang w:val="en-GB"/>
        </w:rPr>
        <w:t>ć</w:t>
      </w:r>
      <w:proofErr w:type="spellEnd"/>
      <w:r w:rsidRPr="00E67FBF">
        <w:rPr>
          <w:i/>
          <w:lang w:val="en-GB"/>
        </w:rPr>
        <w:t xml:space="preserve"> on 12 February 1993 differed from his testimony at trial. The Defence argued that, although the discrepancy does not relate directly to paragraph 10, it does affect the overall credibility of this witness. </w:t>
      </w:r>
    </w:p>
    <w:p w14:paraId="57E2FEF8" w14:textId="4C8F6C3F" w:rsidR="00E67FBF" w:rsidRPr="00E67FBF" w:rsidRDefault="00E67FBF" w:rsidP="00C81505">
      <w:pPr>
        <w:spacing w:line="360" w:lineRule="auto"/>
        <w:ind w:left="708"/>
        <w:jc w:val="both"/>
        <w:rPr>
          <w:i/>
          <w:lang w:val="en-GB"/>
        </w:rPr>
      </w:pPr>
      <w:r w:rsidRPr="00E67FBF">
        <w:rPr>
          <w:i/>
          <w:lang w:val="en-GB"/>
        </w:rPr>
        <w:t xml:space="preserve">The Trial Chamber finds that the assignment records for the </w:t>
      </w:r>
      <w:proofErr w:type="spellStart"/>
      <w:r w:rsidRPr="00E67FBF">
        <w:rPr>
          <w:i/>
          <w:lang w:val="en-GB"/>
        </w:rPr>
        <w:t>Orlovci</w:t>
      </w:r>
      <w:proofErr w:type="spellEnd"/>
      <w:r w:rsidRPr="00E67FBF">
        <w:rPr>
          <w:i/>
          <w:lang w:val="en-GB"/>
        </w:rPr>
        <w:t xml:space="preserve"> checkpoint do not provide the accused with an alibi for paragraph 10. </w:t>
      </w:r>
      <w:proofErr w:type="spellStart"/>
      <w:r w:rsidRPr="00E67FBF">
        <w:rPr>
          <w:i/>
          <w:lang w:val="en-GB"/>
        </w:rPr>
        <w:t>Hase</w:t>
      </w:r>
      <w:proofErr w:type="spellEnd"/>
      <w:r w:rsidRPr="00E67FBF">
        <w:rPr>
          <w:i/>
          <w:lang w:val="en-GB"/>
        </w:rPr>
        <w:t xml:space="preserve"> </w:t>
      </w:r>
      <w:proofErr w:type="spellStart"/>
      <w:r w:rsidRPr="00E67FBF">
        <w:rPr>
          <w:i/>
          <w:lang w:val="en-GB"/>
        </w:rPr>
        <w:t>Ici</w:t>
      </w:r>
      <w:r w:rsidR="008A0BA3">
        <w:rPr>
          <w:i/>
          <w:lang w:val="en-GB"/>
        </w:rPr>
        <w:t>ć</w:t>
      </w:r>
      <w:proofErr w:type="spellEnd"/>
      <w:r w:rsidRPr="00E67FBF">
        <w:rPr>
          <w:i/>
          <w:lang w:val="en-GB"/>
        </w:rPr>
        <w:t xml:space="preserve"> is very clear in his testimony that the beatings took place on the evening of his arrival at the </w:t>
      </w:r>
      <w:proofErr w:type="spellStart"/>
      <w:r w:rsidRPr="00E67FBF">
        <w:rPr>
          <w:i/>
          <w:lang w:val="en-GB"/>
        </w:rPr>
        <w:t>Omarska</w:t>
      </w:r>
      <w:proofErr w:type="spellEnd"/>
      <w:r w:rsidRPr="00E67FBF">
        <w:rPr>
          <w:i/>
          <w:lang w:val="en-GB"/>
        </w:rPr>
        <w:t xml:space="preserve"> camp, at around 10 p.m. The Defence does not dispute that these events occurred on either 7 or 8July 1992. The assignment records reflect that on those nights the accused was off duty. On 7 July 1992 the accused was off duty after 7 a.m. and offered no testimony regarding his whereabouts. On 8July1992 the records reflect that he completed his assignment at 7p.m. and he likewise offered no testimony </w:t>
      </w:r>
      <w:r w:rsidRPr="00E67FBF">
        <w:rPr>
          <w:i/>
          <w:lang w:val="en-GB"/>
        </w:rPr>
        <w:lastRenderedPageBreak/>
        <w:t xml:space="preserve">regarding his whereabouts at the time these events occurred. </w:t>
      </w:r>
      <w:proofErr w:type="spellStart"/>
      <w:r w:rsidRPr="00E67FBF">
        <w:rPr>
          <w:i/>
          <w:lang w:val="en-GB"/>
        </w:rPr>
        <w:t>Prijedor</w:t>
      </w:r>
      <w:proofErr w:type="spellEnd"/>
      <w:r w:rsidRPr="00E67FBF">
        <w:rPr>
          <w:i/>
          <w:lang w:val="en-GB"/>
        </w:rPr>
        <w:t xml:space="preserve"> is about 20 kilometres from the </w:t>
      </w:r>
      <w:proofErr w:type="spellStart"/>
      <w:r w:rsidRPr="00E67FBF">
        <w:rPr>
          <w:i/>
          <w:lang w:val="en-GB"/>
        </w:rPr>
        <w:t>Omarska</w:t>
      </w:r>
      <w:proofErr w:type="spellEnd"/>
      <w:r w:rsidRPr="00E67FBF">
        <w:rPr>
          <w:i/>
          <w:lang w:val="en-GB"/>
        </w:rPr>
        <w:t xml:space="preserve"> camp. The travel time is 30 - 35 minutes by car. </w:t>
      </w:r>
    </w:p>
    <w:p w14:paraId="3A5C5C11" w14:textId="528FF685" w:rsidR="00E67FBF" w:rsidRPr="00E67FBF" w:rsidRDefault="00E67FBF" w:rsidP="00C81505">
      <w:pPr>
        <w:spacing w:line="360" w:lineRule="auto"/>
        <w:ind w:left="708"/>
        <w:jc w:val="both"/>
        <w:rPr>
          <w:i/>
          <w:lang w:val="en-GB"/>
        </w:rPr>
      </w:pPr>
      <w:r w:rsidRPr="00E67FBF">
        <w:rPr>
          <w:i/>
          <w:lang w:val="en-GB"/>
        </w:rPr>
        <w:t xml:space="preserve">258. </w:t>
      </w:r>
      <w:proofErr w:type="spellStart"/>
      <w:r w:rsidRPr="00E67FBF">
        <w:rPr>
          <w:i/>
          <w:lang w:val="en-GB"/>
        </w:rPr>
        <w:t>Hase</w:t>
      </w:r>
      <w:proofErr w:type="spellEnd"/>
      <w:r w:rsidRPr="00E67FBF">
        <w:rPr>
          <w:i/>
          <w:lang w:val="en-GB"/>
        </w:rPr>
        <w:t xml:space="preserve"> </w:t>
      </w:r>
      <w:proofErr w:type="spellStart"/>
      <w:r w:rsidRPr="00E67FBF">
        <w:rPr>
          <w:i/>
          <w:lang w:val="en-GB"/>
        </w:rPr>
        <w:t>Ici</w:t>
      </w:r>
      <w:r w:rsidR="008A0BA3">
        <w:rPr>
          <w:i/>
          <w:lang w:val="en-GB"/>
        </w:rPr>
        <w:t>ć</w:t>
      </w:r>
      <w:proofErr w:type="spellEnd"/>
      <w:r w:rsidRPr="00E67FBF">
        <w:rPr>
          <w:i/>
          <w:lang w:val="en-GB"/>
        </w:rPr>
        <w:t xml:space="preserve"> testified that he was standing face to face with the accused in the “beating room” at the end of the corridor of the notorious white house, just before a noose was put around his neck and the first blows hit him on the back. </w:t>
      </w:r>
      <w:proofErr w:type="spellStart"/>
      <w:r w:rsidRPr="00E67FBF">
        <w:rPr>
          <w:i/>
          <w:lang w:val="en-GB"/>
        </w:rPr>
        <w:t>Hase</w:t>
      </w:r>
      <w:proofErr w:type="spellEnd"/>
      <w:r w:rsidRPr="00E67FBF">
        <w:rPr>
          <w:i/>
          <w:lang w:val="en-GB"/>
        </w:rPr>
        <w:t xml:space="preserve"> </w:t>
      </w:r>
      <w:proofErr w:type="spellStart"/>
      <w:r w:rsidRPr="00E67FBF">
        <w:rPr>
          <w:i/>
          <w:lang w:val="en-GB"/>
        </w:rPr>
        <w:t>Ici</w:t>
      </w:r>
      <w:r w:rsidR="008A0BA3">
        <w:rPr>
          <w:i/>
          <w:lang w:val="en-GB"/>
        </w:rPr>
        <w:t>ć</w:t>
      </w:r>
      <w:proofErr w:type="spellEnd"/>
      <w:r w:rsidRPr="00E67FBF">
        <w:rPr>
          <w:i/>
          <w:lang w:val="en-GB"/>
        </w:rPr>
        <w:t xml:space="preserve"> knew the accused since childhood and had regularly seen him in </w:t>
      </w:r>
      <w:proofErr w:type="spellStart"/>
      <w:r w:rsidRPr="00E67FBF">
        <w:rPr>
          <w:i/>
          <w:lang w:val="en-GB"/>
        </w:rPr>
        <w:t>Kozarac</w:t>
      </w:r>
      <w:proofErr w:type="spellEnd"/>
      <w:r w:rsidRPr="00E67FBF">
        <w:rPr>
          <w:i/>
          <w:lang w:val="en-GB"/>
        </w:rPr>
        <w:t xml:space="preserve"> until just before the war and thus could not have been mistaken about his identity. The witness’s description of the white house, its different rooms and their location correspond to that given by other witnesses whose testimony the Trial Chamber credits and is supported by the exhibits received into evidence. </w:t>
      </w:r>
    </w:p>
    <w:p w14:paraId="0444C834" w14:textId="4CD7B421" w:rsidR="00E67FBF" w:rsidRPr="00E67FBF" w:rsidRDefault="00E67FBF" w:rsidP="00C81505">
      <w:pPr>
        <w:spacing w:line="360" w:lineRule="auto"/>
        <w:ind w:left="708"/>
        <w:jc w:val="both"/>
        <w:rPr>
          <w:i/>
          <w:lang w:val="en-GB"/>
        </w:rPr>
      </w:pPr>
      <w:r w:rsidRPr="00E67FBF">
        <w:rPr>
          <w:i/>
          <w:lang w:val="en-GB"/>
        </w:rPr>
        <w:t xml:space="preserve">259. Balancing the accused’s denial of ever having been at </w:t>
      </w:r>
      <w:proofErr w:type="spellStart"/>
      <w:r w:rsidRPr="00E67FBF">
        <w:rPr>
          <w:i/>
          <w:lang w:val="en-GB"/>
        </w:rPr>
        <w:t>Omarska</w:t>
      </w:r>
      <w:proofErr w:type="spellEnd"/>
      <w:r w:rsidRPr="00E67FBF">
        <w:rPr>
          <w:i/>
          <w:lang w:val="en-GB"/>
        </w:rPr>
        <w:t xml:space="preserve"> with the overwhelming testimony of witnesses that has been offered to the contrary, the Trial Chamber cannot accept this denial. The Trial Chamber furthermore has observed the demeanour of </w:t>
      </w:r>
      <w:proofErr w:type="spellStart"/>
      <w:r w:rsidRPr="00E67FBF">
        <w:rPr>
          <w:i/>
          <w:lang w:val="en-GB"/>
        </w:rPr>
        <w:t>Hase</w:t>
      </w:r>
      <w:proofErr w:type="spellEnd"/>
      <w:r w:rsidRPr="00E67FBF">
        <w:rPr>
          <w:i/>
          <w:lang w:val="en-GB"/>
        </w:rPr>
        <w:t xml:space="preserve"> </w:t>
      </w:r>
      <w:proofErr w:type="spellStart"/>
      <w:r w:rsidRPr="00E67FBF">
        <w:rPr>
          <w:i/>
          <w:lang w:val="en-GB"/>
        </w:rPr>
        <w:t>Ici</w:t>
      </w:r>
      <w:r w:rsidR="008A0BA3">
        <w:rPr>
          <w:i/>
          <w:lang w:val="en-GB"/>
        </w:rPr>
        <w:t>ć</w:t>
      </w:r>
      <w:proofErr w:type="spellEnd"/>
      <w:r w:rsidRPr="00E67FBF">
        <w:rPr>
          <w:i/>
          <w:lang w:val="en-GB"/>
        </w:rPr>
        <w:t xml:space="preserve"> while he was testifying and concludes that he was credible and trustworthy. Although the Defence contended that there were important discrepancies between </w:t>
      </w:r>
      <w:proofErr w:type="spellStart"/>
      <w:r w:rsidRPr="00E67FBF">
        <w:rPr>
          <w:i/>
          <w:lang w:val="en-GB"/>
        </w:rPr>
        <w:t>Hase</w:t>
      </w:r>
      <w:proofErr w:type="spellEnd"/>
      <w:r w:rsidRPr="00E67FBF">
        <w:rPr>
          <w:i/>
          <w:lang w:val="en-GB"/>
        </w:rPr>
        <w:t xml:space="preserve"> </w:t>
      </w:r>
      <w:proofErr w:type="spellStart"/>
      <w:r w:rsidRPr="00E67FBF">
        <w:rPr>
          <w:i/>
          <w:lang w:val="en-GB"/>
        </w:rPr>
        <w:t>Ici</w:t>
      </w:r>
      <w:r w:rsidR="008A0BA3">
        <w:rPr>
          <w:i/>
          <w:lang w:val="en-GB"/>
        </w:rPr>
        <w:t>ć</w:t>
      </w:r>
      <w:r w:rsidRPr="00E67FBF">
        <w:rPr>
          <w:i/>
          <w:lang w:val="en-GB"/>
        </w:rPr>
        <w:t>’s</w:t>
      </w:r>
      <w:proofErr w:type="spellEnd"/>
      <w:r w:rsidRPr="00E67FBF">
        <w:rPr>
          <w:i/>
          <w:lang w:val="en-GB"/>
        </w:rPr>
        <w:t xml:space="preserve"> testimony in court and an earlier account of the events made by the witness on 12 February 1993, his recollection of the events specifically forming the basis of paragraph 10 was not challenged. The Trial Chamber finds that the alleged discrepancies which relate to </w:t>
      </w:r>
      <w:proofErr w:type="spellStart"/>
      <w:r w:rsidRPr="00E67FBF">
        <w:rPr>
          <w:i/>
          <w:lang w:val="en-GB"/>
        </w:rPr>
        <w:t>Hase</w:t>
      </w:r>
      <w:proofErr w:type="spellEnd"/>
      <w:r w:rsidRPr="00E67FBF">
        <w:rPr>
          <w:i/>
          <w:lang w:val="en-GB"/>
        </w:rPr>
        <w:t xml:space="preserve"> </w:t>
      </w:r>
      <w:proofErr w:type="spellStart"/>
      <w:r w:rsidRPr="00E67FBF">
        <w:rPr>
          <w:i/>
          <w:lang w:val="en-GB"/>
        </w:rPr>
        <w:t>Ici</w:t>
      </w:r>
      <w:r w:rsidR="008A0BA3">
        <w:rPr>
          <w:i/>
          <w:lang w:val="en-GB"/>
        </w:rPr>
        <w:t>ć</w:t>
      </w:r>
      <w:r w:rsidRPr="00E67FBF">
        <w:rPr>
          <w:i/>
          <w:lang w:val="en-GB"/>
        </w:rPr>
        <w:t>’s</w:t>
      </w:r>
      <w:proofErr w:type="spellEnd"/>
      <w:r w:rsidRPr="00E67FBF">
        <w:rPr>
          <w:i/>
          <w:lang w:val="en-GB"/>
        </w:rPr>
        <w:t xml:space="preserve"> testimony concerning paragraph 7 of the Indictment are not significant and do not affect his overall credibility. </w:t>
      </w:r>
    </w:p>
    <w:p w14:paraId="5DC12611" w14:textId="0A263C1F" w:rsidR="00E67FBF" w:rsidRPr="00E67FBF" w:rsidRDefault="00E67FBF" w:rsidP="00C81505">
      <w:pPr>
        <w:spacing w:line="360" w:lineRule="auto"/>
        <w:ind w:left="708"/>
        <w:jc w:val="both"/>
        <w:rPr>
          <w:i/>
          <w:lang w:val="en-GB"/>
        </w:rPr>
      </w:pPr>
      <w:r w:rsidRPr="00E67FBF">
        <w:rPr>
          <w:i/>
          <w:lang w:val="en-GB"/>
        </w:rPr>
        <w:t xml:space="preserve">260. The Defence’s general allegation of bias on the part of all victims is not a basis for the rejection of </w:t>
      </w:r>
      <w:proofErr w:type="spellStart"/>
      <w:r w:rsidRPr="00E67FBF">
        <w:rPr>
          <w:i/>
          <w:lang w:val="en-GB"/>
        </w:rPr>
        <w:t>Hase</w:t>
      </w:r>
      <w:proofErr w:type="spellEnd"/>
      <w:r w:rsidRPr="00E67FBF">
        <w:rPr>
          <w:i/>
          <w:lang w:val="en-GB"/>
        </w:rPr>
        <w:t xml:space="preserve"> </w:t>
      </w:r>
      <w:proofErr w:type="spellStart"/>
      <w:r w:rsidRPr="00E67FBF">
        <w:rPr>
          <w:i/>
          <w:lang w:val="en-GB"/>
        </w:rPr>
        <w:t>Ici</w:t>
      </w:r>
      <w:r w:rsidR="008A0BA3">
        <w:rPr>
          <w:i/>
          <w:lang w:val="en-GB"/>
        </w:rPr>
        <w:t>ć</w:t>
      </w:r>
      <w:r w:rsidRPr="00E67FBF">
        <w:rPr>
          <w:i/>
          <w:lang w:val="en-GB"/>
        </w:rPr>
        <w:t>’s</w:t>
      </w:r>
      <w:proofErr w:type="spellEnd"/>
      <w:r w:rsidRPr="00E67FBF">
        <w:rPr>
          <w:i/>
          <w:lang w:val="en-GB"/>
        </w:rPr>
        <w:t xml:space="preserve"> testimony. This issue is generally addressed elsewhere in the Opinion and Judgment. Although he was the only witness who testified in support of these charges, the quality of that testimony is sufficient to credit the allegations. </w:t>
      </w:r>
    </w:p>
    <w:p w14:paraId="55DE3656" w14:textId="77777777" w:rsidR="00E67FBF" w:rsidRPr="00E67FBF" w:rsidRDefault="00E67FBF" w:rsidP="00C81505">
      <w:pPr>
        <w:spacing w:line="360" w:lineRule="auto"/>
        <w:jc w:val="both"/>
        <w:rPr>
          <w:lang w:val="en-GB"/>
        </w:rPr>
      </w:pPr>
    </w:p>
    <w:p w14:paraId="48D76B1E" w14:textId="77677465" w:rsidR="00237539" w:rsidRDefault="00E67FBF" w:rsidP="00C81505">
      <w:pPr>
        <w:spacing w:line="360" w:lineRule="auto"/>
        <w:ind w:left="708"/>
        <w:jc w:val="both"/>
        <w:rPr>
          <w:i/>
          <w:lang w:val="en-GB"/>
        </w:rPr>
      </w:pPr>
      <w:r w:rsidRPr="00E67FBF">
        <w:rPr>
          <w:i/>
          <w:lang w:val="en-GB"/>
        </w:rPr>
        <w:t xml:space="preserve">261. Having considered all the relevant probative evidence, the Trial Chamber finds beyond reasonable doubt that the accused was part of the group of Serbs who beat and kicked </w:t>
      </w:r>
      <w:proofErr w:type="spellStart"/>
      <w:r w:rsidRPr="00E67FBF">
        <w:rPr>
          <w:i/>
          <w:lang w:val="en-GB"/>
        </w:rPr>
        <w:t>Hase</w:t>
      </w:r>
      <w:proofErr w:type="spellEnd"/>
      <w:r w:rsidRPr="00E67FBF">
        <w:rPr>
          <w:i/>
          <w:lang w:val="en-GB"/>
        </w:rPr>
        <w:t xml:space="preserve"> </w:t>
      </w:r>
      <w:proofErr w:type="spellStart"/>
      <w:r w:rsidRPr="00E67FBF">
        <w:rPr>
          <w:i/>
          <w:lang w:val="en-GB"/>
        </w:rPr>
        <w:t>Ici</w:t>
      </w:r>
      <w:r w:rsidR="008A0BA3">
        <w:rPr>
          <w:i/>
          <w:lang w:val="en-GB"/>
        </w:rPr>
        <w:t>ć</w:t>
      </w:r>
      <w:proofErr w:type="spellEnd"/>
      <w:r w:rsidRPr="00E67FBF">
        <w:rPr>
          <w:i/>
          <w:lang w:val="en-GB"/>
        </w:rPr>
        <w:t xml:space="preserve"> until he was unconscious in the white house on or about 8 July 1992 and that these acts were committed in the context of the armed conflict. All that remains for consideration in relation to the beating of </w:t>
      </w:r>
      <w:proofErr w:type="spellStart"/>
      <w:r w:rsidRPr="00E67FBF">
        <w:rPr>
          <w:i/>
          <w:lang w:val="en-GB"/>
        </w:rPr>
        <w:t>Hase</w:t>
      </w:r>
      <w:proofErr w:type="spellEnd"/>
      <w:r w:rsidRPr="00E67FBF">
        <w:rPr>
          <w:i/>
          <w:lang w:val="en-GB"/>
        </w:rPr>
        <w:t xml:space="preserve"> </w:t>
      </w:r>
      <w:proofErr w:type="spellStart"/>
      <w:r w:rsidRPr="00E67FBF">
        <w:rPr>
          <w:i/>
          <w:lang w:val="en-GB"/>
        </w:rPr>
        <w:t>Ici</w:t>
      </w:r>
      <w:r w:rsidR="008A0BA3">
        <w:rPr>
          <w:i/>
          <w:lang w:val="en-GB"/>
        </w:rPr>
        <w:t>ć</w:t>
      </w:r>
      <w:proofErr w:type="spellEnd"/>
      <w:r w:rsidRPr="00E67FBF">
        <w:rPr>
          <w:i/>
          <w:lang w:val="en-GB"/>
        </w:rPr>
        <w:t xml:space="preserve"> is whether the elements of each of the crimes as charged in Counts 21, 22 and 23 of the Indictment are satisfied and, as stated previously, this will be considered in the Legal Findings section of the Opinion and Judgment. </w:t>
      </w:r>
    </w:p>
    <w:p w14:paraId="0B352AA1" w14:textId="77777777" w:rsidR="00237539" w:rsidRDefault="00237539" w:rsidP="00C81505">
      <w:pPr>
        <w:spacing w:line="360" w:lineRule="auto"/>
        <w:jc w:val="both"/>
        <w:rPr>
          <w:i/>
          <w:lang w:val="en-GB"/>
        </w:rPr>
      </w:pPr>
    </w:p>
    <w:p w14:paraId="11B115F8" w14:textId="77777777" w:rsidR="00237539" w:rsidRDefault="00237539" w:rsidP="00C81505">
      <w:pPr>
        <w:spacing w:line="360" w:lineRule="auto"/>
        <w:jc w:val="both"/>
        <w:rPr>
          <w:lang w:val="en-GB"/>
        </w:rPr>
      </w:pPr>
      <w:r>
        <w:rPr>
          <w:lang w:val="en-GB"/>
        </w:rPr>
        <w:lastRenderedPageBreak/>
        <w:t xml:space="preserve">As can be seen, the judgment does not rephrase the entire testimony given by the witness </w:t>
      </w:r>
      <w:proofErr w:type="spellStart"/>
      <w:r>
        <w:rPr>
          <w:lang w:val="en-GB"/>
        </w:rPr>
        <w:t>Hase</w:t>
      </w:r>
      <w:proofErr w:type="spellEnd"/>
      <w:r>
        <w:rPr>
          <w:lang w:val="en-GB"/>
        </w:rPr>
        <w:t xml:space="preserve"> </w:t>
      </w:r>
      <w:proofErr w:type="spellStart"/>
      <w:r>
        <w:rPr>
          <w:lang w:val="en-GB"/>
        </w:rPr>
        <w:t>Ici</w:t>
      </w:r>
      <w:proofErr w:type="spellEnd"/>
      <w:r>
        <w:rPr>
          <w:lang w:val="en-GB"/>
        </w:rPr>
        <w:t>. Nor does it repeat the entire statement by the accuse</w:t>
      </w:r>
      <w:r w:rsidR="00207994">
        <w:rPr>
          <w:lang w:val="en-GB"/>
        </w:rPr>
        <w:t>d</w:t>
      </w:r>
      <w:r>
        <w:rPr>
          <w:lang w:val="en-GB"/>
        </w:rPr>
        <w:t xml:space="preserve">. It confines itself to providing the information relevant to the point in question, i.e. whether the defendant provided a credible alibi or whether it is proven that </w:t>
      </w:r>
      <w:r w:rsidR="0052266E">
        <w:rPr>
          <w:lang w:val="en-GB"/>
        </w:rPr>
        <w:t xml:space="preserve">he was in fact </w:t>
      </w:r>
      <w:r w:rsidR="00207994">
        <w:rPr>
          <w:lang w:val="en-GB"/>
        </w:rPr>
        <w:t>in</w:t>
      </w:r>
      <w:r w:rsidR="0052266E">
        <w:rPr>
          <w:lang w:val="en-GB"/>
        </w:rPr>
        <w:t xml:space="preserve"> </w:t>
      </w:r>
      <w:proofErr w:type="spellStart"/>
      <w:r w:rsidR="0052266E">
        <w:rPr>
          <w:lang w:val="en-GB"/>
        </w:rPr>
        <w:t>Omarska</w:t>
      </w:r>
      <w:proofErr w:type="spellEnd"/>
      <w:r w:rsidR="0052266E">
        <w:rPr>
          <w:lang w:val="en-GB"/>
        </w:rPr>
        <w:t>. When assessing the evidence, the tribunal provides clear reasons why it considers the alibi proven wrong.</w:t>
      </w:r>
      <w:r w:rsidR="007B15D0">
        <w:rPr>
          <w:lang w:val="en-GB"/>
        </w:rPr>
        <w:t xml:space="preserve"> It demonstrates the relationship between different pieces of evidence rather than listing accounts of what was in evidence and deals with the arguments brought forward by the defence.</w:t>
      </w:r>
    </w:p>
    <w:p w14:paraId="51A47667" w14:textId="77777777" w:rsidR="00556740" w:rsidRDefault="00556740" w:rsidP="00C81505">
      <w:pPr>
        <w:spacing w:line="360" w:lineRule="auto"/>
        <w:jc w:val="both"/>
        <w:rPr>
          <w:lang w:val="en-GB"/>
        </w:rPr>
      </w:pPr>
    </w:p>
    <w:p w14:paraId="2D5F26CF" w14:textId="77777777" w:rsidR="00556740" w:rsidRDefault="00556740" w:rsidP="00C81505">
      <w:pPr>
        <w:spacing w:line="360" w:lineRule="auto"/>
        <w:jc w:val="both"/>
        <w:rPr>
          <w:lang w:val="en-GB"/>
        </w:rPr>
      </w:pPr>
      <w:r>
        <w:rPr>
          <w:lang w:val="en-GB"/>
        </w:rPr>
        <w:t>In Germany, it is a legal requirement that judgment</w:t>
      </w:r>
      <w:r w:rsidR="00207994">
        <w:rPr>
          <w:lang w:val="en-GB"/>
        </w:rPr>
        <w:t>s</w:t>
      </w:r>
      <w:r>
        <w:rPr>
          <w:lang w:val="en-GB"/>
        </w:rPr>
        <w:t xml:space="preserve"> state (only) necessary facts. A judgment not meeting this requirement and elaborating extensively on circumstances not relevant to the legal assessment may be quashed just for this reason. The German Supreme Court dealt with this requirement in its judgment of 30 May 2018 (inter alia pointing out that it was ‘the indispensable intellectual effort required from a judge to distinguish what is relevant from what is irrelevant’)</w:t>
      </w:r>
    </w:p>
    <w:p w14:paraId="3660A16D" w14:textId="77777777" w:rsidR="00556740" w:rsidRDefault="00556740" w:rsidP="00C81505">
      <w:pPr>
        <w:spacing w:line="360" w:lineRule="auto"/>
        <w:ind w:left="708"/>
        <w:jc w:val="both"/>
        <w:rPr>
          <w:i/>
          <w:iCs/>
          <w:lang w:val="en-GB"/>
        </w:rPr>
      </w:pPr>
      <w:r w:rsidRPr="00556740">
        <w:rPr>
          <w:i/>
          <w:iCs/>
          <w:lang w:val="en-GB"/>
        </w:rPr>
        <w:t>In regard to the r</w:t>
      </w:r>
      <w:r>
        <w:rPr>
          <w:i/>
          <w:iCs/>
          <w:lang w:val="en-GB"/>
        </w:rPr>
        <w:t>easoning of judgments, the Federal Court of Justice has already rule</w:t>
      </w:r>
      <w:r w:rsidR="00DD63FF">
        <w:rPr>
          <w:i/>
          <w:iCs/>
          <w:lang w:val="en-GB"/>
        </w:rPr>
        <w:t>d</w:t>
      </w:r>
      <w:r>
        <w:rPr>
          <w:i/>
          <w:iCs/>
          <w:lang w:val="en-GB"/>
        </w:rPr>
        <w:t xml:space="preserve"> repeatedly that pursuant to section 2</w:t>
      </w:r>
      <w:r w:rsidR="00EB6EFD">
        <w:rPr>
          <w:i/>
          <w:iCs/>
          <w:lang w:val="en-GB"/>
        </w:rPr>
        <w:t xml:space="preserve">67 of the Criminal Procedure Code the reasons of the judgments have to contain those facts proven beyond reasonable doubt which fulfil the elements of a criminal offence; the account of the facts should be short, clear and concise, leaving out everything which is irrelevant. The same applies to the assessment of evidence, in which the result of the evidentiary procedure should be discussed in so far as relevant for the </w:t>
      </w:r>
      <w:r w:rsidR="00816A27">
        <w:rPr>
          <w:i/>
          <w:iCs/>
          <w:lang w:val="en-GB"/>
        </w:rPr>
        <w:t>decision</w:t>
      </w:r>
      <w:r w:rsidR="000976E7">
        <w:rPr>
          <w:i/>
          <w:iCs/>
          <w:lang w:val="en-GB"/>
        </w:rPr>
        <w:t xml:space="preserve"> but which is not supposed to document the entire evidentiary procedure. </w:t>
      </w:r>
      <w:r w:rsidR="000976E7" w:rsidRPr="000976E7">
        <w:rPr>
          <w:i/>
          <w:iCs/>
          <w:lang w:val="en-GB"/>
        </w:rPr>
        <w:t>By the same token, it is not required to s</w:t>
      </w:r>
      <w:r w:rsidR="000976E7">
        <w:rPr>
          <w:i/>
          <w:iCs/>
          <w:lang w:val="en-GB"/>
        </w:rPr>
        <w:t xml:space="preserve">upport by specific references to the evidence presented every finding of facts in the reasoning regardless how immaterial it may be with respect to the charges in question (… ) these are not merely non-binding style guidelines by legal requirements which have to be adhered to. </w:t>
      </w:r>
      <w:r w:rsidR="000976E7" w:rsidRPr="000976E7">
        <w:rPr>
          <w:i/>
          <w:iCs/>
          <w:lang w:val="en-GB"/>
        </w:rPr>
        <w:t>The reasoning of the judgment do</w:t>
      </w:r>
      <w:r w:rsidR="00DD63FF">
        <w:rPr>
          <w:i/>
          <w:iCs/>
          <w:lang w:val="en-GB"/>
        </w:rPr>
        <w:t>es</w:t>
      </w:r>
      <w:r w:rsidR="000976E7" w:rsidRPr="000976E7">
        <w:rPr>
          <w:i/>
          <w:iCs/>
          <w:lang w:val="en-GB"/>
        </w:rPr>
        <w:t xml:space="preserve"> not meet these r</w:t>
      </w:r>
      <w:r w:rsidR="000976E7">
        <w:rPr>
          <w:i/>
          <w:iCs/>
          <w:lang w:val="en-GB"/>
        </w:rPr>
        <w:t xml:space="preserve">equirements and demonstrate a grave lack of skill and a fundamental lack of understanding. </w:t>
      </w:r>
    </w:p>
    <w:p w14:paraId="341D9E5A" w14:textId="77777777" w:rsidR="000976E7" w:rsidRDefault="000976E7" w:rsidP="00C81505">
      <w:pPr>
        <w:spacing w:line="360" w:lineRule="auto"/>
        <w:ind w:left="708"/>
        <w:jc w:val="both"/>
        <w:rPr>
          <w:lang w:val="en-GB"/>
        </w:rPr>
      </w:pPr>
      <w:r>
        <w:rPr>
          <w:lang w:val="en-GB"/>
        </w:rPr>
        <w:t>(….)</w:t>
      </w:r>
    </w:p>
    <w:p w14:paraId="6F50AEAC" w14:textId="77777777" w:rsidR="000976E7" w:rsidRPr="00DD63FF" w:rsidRDefault="000976E7" w:rsidP="00C81505">
      <w:pPr>
        <w:spacing w:line="360" w:lineRule="auto"/>
        <w:ind w:left="708"/>
        <w:jc w:val="both"/>
        <w:rPr>
          <w:lang w:val="en-GB"/>
        </w:rPr>
      </w:pPr>
      <w:r w:rsidRPr="00D52C0C">
        <w:rPr>
          <w:i/>
          <w:lang w:val="en-GB"/>
        </w:rPr>
        <w:t xml:space="preserve">The volume of the findings of fact, which run to </w:t>
      </w:r>
      <w:r w:rsidR="00F74152" w:rsidRPr="00D52C0C">
        <w:rPr>
          <w:i/>
          <w:lang w:val="en-GB"/>
        </w:rPr>
        <w:t>400 pages and of the ‘assessment of evidence’, which is 720 pages long lead to the conclusion that the drafter of the judgment did not make the indispensable intellectual effort required from a judge to distinguish what is relevant from what is irrelevant’</w:t>
      </w:r>
      <w:r w:rsidR="00DD63FF">
        <w:rPr>
          <w:lang w:val="en-GB"/>
        </w:rPr>
        <w:t>.</w:t>
      </w:r>
    </w:p>
    <w:p w14:paraId="0549DD5F" w14:textId="77777777" w:rsidR="004F5076" w:rsidRDefault="00F327F3" w:rsidP="00C81505">
      <w:pPr>
        <w:spacing w:line="360" w:lineRule="auto"/>
        <w:jc w:val="both"/>
        <w:rPr>
          <w:iCs/>
          <w:lang w:val="en-GB"/>
        </w:rPr>
      </w:pPr>
      <w:r w:rsidRPr="00F327F3">
        <w:rPr>
          <w:iCs/>
          <w:lang w:val="en-GB"/>
        </w:rPr>
        <w:t>In the same vein, B</w:t>
      </w:r>
      <w:r>
        <w:rPr>
          <w:iCs/>
          <w:lang w:val="en-GB"/>
        </w:rPr>
        <w:t>r</w:t>
      </w:r>
      <w:r w:rsidR="0015092E">
        <w:rPr>
          <w:iCs/>
          <w:lang w:val="en-GB"/>
        </w:rPr>
        <w:t>yan Garner states in his ‘Manual on legal style’ that it is problematic if judgments reflect</w:t>
      </w:r>
    </w:p>
    <w:p w14:paraId="7DBE33BD" w14:textId="77777777" w:rsidR="0015092E" w:rsidRPr="0015092E" w:rsidRDefault="0015092E" w:rsidP="00C81505">
      <w:pPr>
        <w:spacing w:line="360" w:lineRule="auto"/>
        <w:ind w:left="708"/>
        <w:jc w:val="both"/>
        <w:rPr>
          <w:i/>
          <w:lang w:val="en-GB"/>
        </w:rPr>
      </w:pPr>
      <w:r w:rsidRPr="0015092E">
        <w:rPr>
          <w:i/>
          <w:lang w:val="en-GB"/>
        </w:rPr>
        <w:lastRenderedPageBreak/>
        <w:t>‘a structurally diffident approach in which every point is considered a</w:t>
      </w:r>
      <w:r w:rsidR="00AE2F8B">
        <w:rPr>
          <w:i/>
          <w:lang w:val="en-GB"/>
        </w:rPr>
        <w:t>d</w:t>
      </w:r>
      <w:r w:rsidRPr="0015092E">
        <w:rPr>
          <w:i/>
          <w:lang w:val="en-GB"/>
        </w:rPr>
        <w:t xml:space="preserve"> nauseam, including all the facts in detail, because the writer is not confident about what really matters and what doesn’t’</w:t>
      </w:r>
    </w:p>
    <w:p w14:paraId="04D3DCA4" w14:textId="77777777" w:rsidR="00962FCF" w:rsidRDefault="0015092E" w:rsidP="00C81505">
      <w:pPr>
        <w:spacing w:line="360" w:lineRule="auto"/>
        <w:jc w:val="both"/>
        <w:rPr>
          <w:lang w:val="en-GB"/>
        </w:rPr>
      </w:pPr>
      <w:r>
        <w:rPr>
          <w:lang w:val="en-GB"/>
        </w:rPr>
        <w:t>(He attributes this phenomenon to law clerks drafting judgments)</w:t>
      </w:r>
      <w:r w:rsidR="00F62707">
        <w:rPr>
          <w:lang w:val="en-GB"/>
        </w:rPr>
        <w:t>.</w:t>
      </w:r>
    </w:p>
    <w:p w14:paraId="4EC4202C" w14:textId="77777777" w:rsidR="00F62707" w:rsidRDefault="00F62707" w:rsidP="00C81505">
      <w:pPr>
        <w:spacing w:line="360" w:lineRule="auto"/>
        <w:jc w:val="both"/>
        <w:rPr>
          <w:lang w:val="en-GB"/>
        </w:rPr>
      </w:pPr>
    </w:p>
    <w:p w14:paraId="55131259" w14:textId="77777777" w:rsidR="00F62707" w:rsidRDefault="00F62707" w:rsidP="00207994">
      <w:pPr>
        <w:pStyle w:val="berschrift2"/>
        <w:rPr>
          <w:lang w:val="en-GB"/>
        </w:rPr>
      </w:pPr>
      <w:bookmarkStart w:id="29" w:name="_Toc3821718"/>
      <w:r>
        <w:rPr>
          <w:lang w:val="en-GB"/>
        </w:rPr>
        <w:t>Breaking down legal provisions and defining legal terms</w:t>
      </w:r>
      <w:bookmarkEnd w:id="29"/>
    </w:p>
    <w:p w14:paraId="57B3BC6B" w14:textId="77777777" w:rsidR="00207994" w:rsidRDefault="00207994" w:rsidP="00C81505">
      <w:pPr>
        <w:spacing w:line="360" w:lineRule="auto"/>
        <w:jc w:val="both"/>
        <w:rPr>
          <w:lang w:val="en-GB"/>
        </w:rPr>
      </w:pPr>
    </w:p>
    <w:p w14:paraId="255037C7" w14:textId="77777777" w:rsidR="00F62707" w:rsidRDefault="00F62707" w:rsidP="00C81505">
      <w:pPr>
        <w:spacing w:line="360" w:lineRule="auto"/>
        <w:jc w:val="both"/>
        <w:rPr>
          <w:lang w:val="en-GB"/>
        </w:rPr>
      </w:pPr>
      <w:r>
        <w:rPr>
          <w:lang w:val="en-GB"/>
        </w:rPr>
        <w:t>As pointed out above, Moldovan judgments</w:t>
      </w:r>
      <w:r w:rsidR="000B035A">
        <w:rPr>
          <w:lang w:val="en-GB"/>
        </w:rPr>
        <w:t xml:space="preserve"> tend to </w:t>
      </w:r>
      <w:r w:rsidR="00AE2F8B">
        <w:rPr>
          <w:lang w:val="en-GB"/>
        </w:rPr>
        <w:t xml:space="preserve">establish certain facts and then to apply a legal provision in their entirety to the entire set of facts. Judges write that applying a certain legal provision leads to a certain legal consequence. They do not demonstrate which of the facts specifically meet the individual requirements of a provision. </w:t>
      </w:r>
      <w:r w:rsidR="008C0B3A">
        <w:rPr>
          <w:lang w:val="en-GB"/>
        </w:rPr>
        <w:t>This makes it hard for the reader to understand</w:t>
      </w:r>
      <w:r w:rsidR="00FD3FF1">
        <w:rPr>
          <w:lang w:val="en-GB"/>
        </w:rPr>
        <w:t xml:space="preserve"> </w:t>
      </w:r>
      <w:r w:rsidR="00AE2F8B">
        <w:rPr>
          <w:lang w:val="en-GB"/>
        </w:rPr>
        <w:t xml:space="preserve">how the judge applied the law to the facts and </w:t>
      </w:r>
      <w:r w:rsidR="003365A4">
        <w:rPr>
          <w:lang w:val="en-GB"/>
        </w:rPr>
        <w:t>arrived at the legal conclusion.</w:t>
      </w:r>
    </w:p>
    <w:p w14:paraId="11789E25" w14:textId="77777777" w:rsidR="002F31AE" w:rsidRDefault="002F31AE" w:rsidP="00C81505">
      <w:pPr>
        <w:spacing w:line="360" w:lineRule="auto"/>
        <w:jc w:val="both"/>
        <w:rPr>
          <w:lang w:val="en-GB"/>
        </w:rPr>
      </w:pPr>
      <w:r>
        <w:rPr>
          <w:lang w:val="en-GB"/>
        </w:rPr>
        <w:t>Internationally, it is a widespread practice to break</w:t>
      </w:r>
      <w:r w:rsidR="004626E3">
        <w:rPr>
          <w:lang w:val="en-GB"/>
        </w:rPr>
        <w:t xml:space="preserve"> legal provisions down into their requirements and to apply them to the facts individually.</w:t>
      </w:r>
    </w:p>
    <w:p w14:paraId="5B57A48B" w14:textId="77777777" w:rsidR="00F3234E" w:rsidRPr="00F3234E" w:rsidRDefault="005B70DE" w:rsidP="00C81505">
      <w:pPr>
        <w:spacing w:line="360" w:lineRule="auto"/>
        <w:jc w:val="both"/>
        <w:rPr>
          <w:lang w:val="en-GB"/>
        </w:rPr>
      </w:pPr>
      <w:r>
        <w:rPr>
          <w:lang w:val="en-GB"/>
        </w:rPr>
        <w:t xml:space="preserve">Many legal norms tie a specific legal consequence to </w:t>
      </w:r>
      <w:r w:rsidR="00683DA5">
        <w:rPr>
          <w:lang w:val="en-GB"/>
        </w:rPr>
        <w:t xml:space="preserve">certain requirements. </w:t>
      </w:r>
      <w:r w:rsidR="00D72FE1">
        <w:rPr>
          <w:lang w:val="en-GB"/>
        </w:rPr>
        <w:t>It is the task of the judge to ascertain whether these requirements have been met in order to establish whether the legal consequences set out in the provision will set in. The logical operation underlying the application of the law to the facts is the syllogism.</w:t>
      </w:r>
      <w:r w:rsidR="00F3234E">
        <w:rPr>
          <w:lang w:val="en-GB"/>
        </w:rPr>
        <w:t xml:space="preserve"> </w:t>
      </w:r>
      <w:r w:rsidR="00F3234E" w:rsidRPr="00F3234E">
        <w:rPr>
          <w:lang w:val="en-GB"/>
        </w:rPr>
        <w:t>Syllogisms form part of the classical logic developed by Aristotle. Aristotle examined which conclusions can logically be drawn from a set of premises and categorized the deductions which are valid, i.e. which led to a true result if they were based on true premises. One of those syllogisms describes a conclusion which can be drawn from two positive premises. It is often explained using the example:</w:t>
      </w:r>
    </w:p>
    <w:p w14:paraId="4C503DB0" w14:textId="77777777" w:rsidR="00F3234E" w:rsidRPr="00F3234E" w:rsidRDefault="00F3234E" w:rsidP="00C81505">
      <w:pPr>
        <w:spacing w:line="360" w:lineRule="auto"/>
        <w:ind w:left="708"/>
        <w:rPr>
          <w:lang w:val="en-GB"/>
        </w:rPr>
      </w:pPr>
      <w:r w:rsidRPr="00F3234E">
        <w:rPr>
          <w:lang w:val="en-GB"/>
        </w:rPr>
        <w:t>All humans are mortal</w:t>
      </w:r>
      <w:r w:rsidRPr="00F3234E">
        <w:rPr>
          <w:lang w:val="en-GB"/>
        </w:rPr>
        <w:br/>
      </w:r>
      <w:r w:rsidRPr="00F3234E">
        <w:rPr>
          <w:u w:val="single"/>
          <w:lang w:val="en-GB"/>
        </w:rPr>
        <w:t>Socrates is human</w:t>
      </w:r>
      <w:r w:rsidRPr="00F3234E">
        <w:rPr>
          <w:lang w:val="en-GB"/>
        </w:rPr>
        <w:br/>
        <w:t>Socrates is mortal</w:t>
      </w:r>
    </w:p>
    <w:p w14:paraId="3D5B76EF" w14:textId="77777777" w:rsidR="00F3234E" w:rsidRPr="00F3234E" w:rsidRDefault="00F3234E" w:rsidP="00C81505">
      <w:pPr>
        <w:spacing w:line="360" w:lineRule="auto"/>
        <w:jc w:val="both"/>
        <w:rPr>
          <w:lang w:val="en-GB"/>
        </w:rPr>
      </w:pPr>
    </w:p>
    <w:p w14:paraId="78EE7B2C" w14:textId="77777777" w:rsidR="00F3234E" w:rsidRPr="00F3234E" w:rsidRDefault="00F3234E" w:rsidP="00C81505">
      <w:pPr>
        <w:spacing w:line="360" w:lineRule="auto"/>
        <w:jc w:val="both"/>
        <w:rPr>
          <w:lang w:val="en-GB"/>
        </w:rPr>
      </w:pPr>
      <w:r w:rsidRPr="00F3234E">
        <w:rPr>
          <w:lang w:val="en-GB"/>
        </w:rPr>
        <w:t>This form of   conclusion is at the core of legal reasoning. The law states, for example, that a person who commits theft will be sentenced to imprisonment. If a defendant is convicted of theft, the judgment follows the pattern:</w:t>
      </w:r>
    </w:p>
    <w:p w14:paraId="6FF84AB5" w14:textId="77777777" w:rsidR="00F3234E" w:rsidRPr="00F3234E" w:rsidRDefault="00F3234E" w:rsidP="00C81505">
      <w:pPr>
        <w:spacing w:line="360" w:lineRule="auto"/>
        <w:rPr>
          <w:lang w:val="en-GB"/>
        </w:rPr>
      </w:pPr>
      <w:r w:rsidRPr="00F3234E">
        <w:rPr>
          <w:lang w:val="en-GB"/>
        </w:rPr>
        <w:lastRenderedPageBreak/>
        <w:tab/>
        <w:t>A person who has committed theft will be imprisoned</w:t>
      </w:r>
      <w:r w:rsidRPr="00F3234E">
        <w:rPr>
          <w:lang w:val="en-GB"/>
        </w:rPr>
        <w:br/>
      </w:r>
      <w:r w:rsidRPr="00F3234E">
        <w:rPr>
          <w:lang w:val="en-GB"/>
        </w:rPr>
        <w:tab/>
      </w:r>
      <w:r w:rsidRPr="00F3234E">
        <w:rPr>
          <w:u w:val="single"/>
          <w:lang w:val="en-GB"/>
        </w:rPr>
        <w:t>The defendant has committed theft</w:t>
      </w:r>
      <w:r w:rsidRPr="00F3234E">
        <w:rPr>
          <w:lang w:val="en-GB"/>
        </w:rPr>
        <w:br/>
      </w:r>
      <w:r w:rsidRPr="00F3234E">
        <w:rPr>
          <w:lang w:val="en-GB"/>
        </w:rPr>
        <w:tab/>
        <w:t>The defendant will be imprisoned</w:t>
      </w:r>
    </w:p>
    <w:p w14:paraId="2356E82F" w14:textId="77777777" w:rsidR="00F3234E" w:rsidRDefault="00F3234E" w:rsidP="00C81505">
      <w:pPr>
        <w:spacing w:line="360" w:lineRule="auto"/>
        <w:jc w:val="both"/>
        <w:rPr>
          <w:lang w:val="en-GB"/>
        </w:rPr>
      </w:pPr>
      <w:r w:rsidRPr="00F3234E">
        <w:rPr>
          <w:lang w:val="en-GB"/>
        </w:rPr>
        <w:t>T</w:t>
      </w:r>
      <w:r>
        <w:rPr>
          <w:lang w:val="en-GB"/>
        </w:rPr>
        <w:t>o establish whether the actions carried out by the defendant as established in the trial constitute theft, the provision has to be broken down into its requirements. The definition of theft may vary from jurisdiction to jurisdiction. To elucidate the point, I will employ the German example. German law defines theft:</w:t>
      </w:r>
    </w:p>
    <w:p w14:paraId="5816123D" w14:textId="77777777" w:rsidR="00E713BF" w:rsidRDefault="00E713BF" w:rsidP="00C81505">
      <w:pPr>
        <w:spacing w:line="360" w:lineRule="auto"/>
        <w:ind w:left="708"/>
        <w:jc w:val="both"/>
        <w:rPr>
          <w:i/>
          <w:lang w:val="en-GB"/>
        </w:rPr>
      </w:pPr>
      <w:r w:rsidRPr="00E713BF">
        <w:rPr>
          <w:i/>
          <w:lang w:val="en-GB"/>
        </w:rPr>
        <w:t xml:space="preserve">‘Whosoever takes </w:t>
      </w:r>
      <w:r w:rsidR="005C4511">
        <w:rPr>
          <w:i/>
          <w:lang w:val="en-GB"/>
        </w:rPr>
        <w:t>movable items</w:t>
      </w:r>
      <w:r w:rsidRPr="00E713BF">
        <w:rPr>
          <w:i/>
          <w:lang w:val="en-GB"/>
        </w:rPr>
        <w:t xml:space="preserve"> belonging to another</w:t>
      </w:r>
      <w:r>
        <w:rPr>
          <w:i/>
          <w:lang w:val="en-GB"/>
        </w:rPr>
        <w:t xml:space="preserve"> person</w:t>
      </w:r>
      <w:r w:rsidRPr="00E713BF">
        <w:rPr>
          <w:i/>
          <w:lang w:val="en-GB"/>
        </w:rPr>
        <w:t xml:space="preserve"> away from another</w:t>
      </w:r>
      <w:r>
        <w:rPr>
          <w:i/>
          <w:lang w:val="en-GB"/>
        </w:rPr>
        <w:t xml:space="preserve"> person</w:t>
      </w:r>
      <w:r w:rsidRPr="00E713BF">
        <w:rPr>
          <w:i/>
          <w:lang w:val="en-GB"/>
        </w:rPr>
        <w:t xml:space="preserve"> with the intention of unlawfully appropriating them for himself or a third person shall be liable to imprisonment not exceeding five years or a fine’</w:t>
      </w:r>
    </w:p>
    <w:p w14:paraId="61C68CB8" w14:textId="77777777" w:rsidR="00067EED" w:rsidRDefault="005C4511" w:rsidP="00C81505">
      <w:pPr>
        <w:spacing w:line="360" w:lineRule="auto"/>
        <w:jc w:val="both"/>
        <w:rPr>
          <w:lang w:val="en-GB"/>
        </w:rPr>
      </w:pPr>
      <w:r>
        <w:rPr>
          <w:lang w:val="en-GB"/>
        </w:rPr>
        <w:t>The provision comprises several requirements:</w:t>
      </w:r>
    </w:p>
    <w:p w14:paraId="19115187" w14:textId="77777777" w:rsidR="005C4511" w:rsidRDefault="005C4511" w:rsidP="00C81505">
      <w:pPr>
        <w:spacing w:line="360" w:lineRule="auto"/>
        <w:jc w:val="both"/>
        <w:rPr>
          <w:lang w:val="en-GB"/>
        </w:rPr>
      </w:pPr>
      <w:r>
        <w:rPr>
          <w:lang w:val="en-GB"/>
        </w:rPr>
        <w:t>The perpetrator has to</w:t>
      </w:r>
    </w:p>
    <w:p w14:paraId="487163FC" w14:textId="77777777" w:rsidR="005C4511" w:rsidRDefault="005C4511" w:rsidP="00C81505">
      <w:pPr>
        <w:pStyle w:val="Listenabsatz"/>
        <w:numPr>
          <w:ilvl w:val="0"/>
          <w:numId w:val="12"/>
        </w:numPr>
        <w:spacing w:line="360" w:lineRule="auto"/>
        <w:jc w:val="both"/>
        <w:rPr>
          <w:lang w:val="en-GB"/>
        </w:rPr>
      </w:pPr>
      <w:r>
        <w:rPr>
          <w:lang w:val="en-GB"/>
        </w:rPr>
        <w:t xml:space="preserve">take away </w:t>
      </w:r>
    </w:p>
    <w:p w14:paraId="4115A060" w14:textId="77777777" w:rsidR="005C4511" w:rsidRDefault="005C4511" w:rsidP="00C81505">
      <w:pPr>
        <w:pStyle w:val="Listenabsatz"/>
        <w:numPr>
          <w:ilvl w:val="0"/>
          <w:numId w:val="12"/>
        </w:numPr>
        <w:spacing w:line="360" w:lineRule="auto"/>
        <w:jc w:val="both"/>
        <w:rPr>
          <w:lang w:val="en-GB"/>
        </w:rPr>
      </w:pPr>
      <w:r>
        <w:rPr>
          <w:lang w:val="en-GB"/>
        </w:rPr>
        <w:t>an object</w:t>
      </w:r>
    </w:p>
    <w:p w14:paraId="75B656F1" w14:textId="77777777" w:rsidR="005C4511" w:rsidRDefault="005C4511" w:rsidP="00C81505">
      <w:pPr>
        <w:pStyle w:val="Listenabsatz"/>
        <w:numPr>
          <w:ilvl w:val="0"/>
          <w:numId w:val="12"/>
        </w:numPr>
        <w:spacing w:line="360" w:lineRule="auto"/>
        <w:jc w:val="both"/>
        <w:rPr>
          <w:lang w:val="en-GB"/>
        </w:rPr>
      </w:pPr>
      <w:r>
        <w:rPr>
          <w:lang w:val="en-GB"/>
        </w:rPr>
        <w:t>which is movable</w:t>
      </w:r>
    </w:p>
    <w:p w14:paraId="6F32541C" w14:textId="77777777" w:rsidR="005C4511" w:rsidRDefault="005C4511" w:rsidP="00C81505">
      <w:pPr>
        <w:pStyle w:val="Listenabsatz"/>
        <w:numPr>
          <w:ilvl w:val="0"/>
          <w:numId w:val="12"/>
        </w:numPr>
        <w:spacing w:line="360" w:lineRule="auto"/>
        <w:jc w:val="both"/>
        <w:rPr>
          <w:lang w:val="en-GB"/>
        </w:rPr>
      </w:pPr>
      <w:r>
        <w:rPr>
          <w:lang w:val="en-GB"/>
        </w:rPr>
        <w:t>belonging to another person</w:t>
      </w:r>
    </w:p>
    <w:p w14:paraId="78D19A0C" w14:textId="77777777" w:rsidR="005C4511" w:rsidRDefault="005C4511" w:rsidP="00C81505">
      <w:pPr>
        <w:pStyle w:val="Listenabsatz"/>
        <w:numPr>
          <w:ilvl w:val="0"/>
          <w:numId w:val="12"/>
        </w:numPr>
        <w:spacing w:line="360" w:lineRule="auto"/>
        <w:jc w:val="both"/>
        <w:rPr>
          <w:lang w:val="en-GB"/>
        </w:rPr>
      </w:pPr>
      <w:r>
        <w:rPr>
          <w:lang w:val="en-GB"/>
        </w:rPr>
        <w:t>having the intention of unlawfully appropriating it</w:t>
      </w:r>
    </w:p>
    <w:p w14:paraId="1C0FC382" w14:textId="77777777" w:rsidR="005C4511" w:rsidRDefault="005C4511" w:rsidP="00C81505">
      <w:pPr>
        <w:pStyle w:val="Listenabsatz"/>
        <w:numPr>
          <w:ilvl w:val="0"/>
          <w:numId w:val="12"/>
        </w:numPr>
        <w:spacing w:line="360" w:lineRule="auto"/>
        <w:jc w:val="both"/>
        <w:rPr>
          <w:lang w:val="en-GB"/>
        </w:rPr>
      </w:pPr>
      <w:r>
        <w:rPr>
          <w:lang w:val="en-GB"/>
        </w:rPr>
        <w:t>for himself or another person</w:t>
      </w:r>
    </w:p>
    <w:p w14:paraId="23CC2387" w14:textId="77777777" w:rsidR="005C4511" w:rsidRDefault="005C4511" w:rsidP="00C81505">
      <w:pPr>
        <w:pStyle w:val="Listenabsatz"/>
        <w:numPr>
          <w:ilvl w:val="0"/>
          <w:numId w:val="12"/>
        </w:numPr>
        <w:spacing w:line="360" w:lineRule="auto"/>
        <w:jc w:val="both"/>
        <w:rPr>
          <w:lang w:val="en-GB"/>
        </w:rPr>
      </w:pPr>
      <w:r>
        <w:rPr>
          <w:lang w:val="en-GB"/>
        </w:rPr>
        <w:t xml:space="preserve">acting with the required </w:t>
      </w:r>
      <w:proofErr w:type="spellStart"/>
      <w:r>
        <w:rPr>
          <w:lang w:val="en-GB"/>
        </w:rPr>
        <w:t>mens</w:t>
      </w:r>
      <w:proofErr w:type="spellEnd"/>
      <w:r>
        <w:rPr>
          <w:lang w:val="en-GB"/>
        </w:rPr>
        <w:t xml:space="preserve"> rea</w:t>
      </w:r>
    </w:p>
    <w:p w14:paraId="697BA897" w14:textId="77777777" w:rsidR="005C4511" w:rsidRDefault="005C4511" w:rsidP="00C81505">
      <w:pPr>
        <w:spacing w:line="360" w:lineRule="auto"/>
        <w:jc w:val="both"/>
        <w:rPr>
          <w:lang w:val="en-GB"/>
        </w:rPr>
      </w:pPr>
      <w:r>
        <w:rPr>
          <w:lang w:val="en-GB"/>
        </w:rPr>
        <w:t>When applying the law to the individual requirements, he again employs a syllogism (even though that is not necessarily spelt out in the judgment). A part of the mental process conducted might be, for example:</w:t>
      </w:r>
    </w:p>
    <w:p w14:paraId="47FF8BB0" w14:textId="77777777" w:rsidR="005C4511" w:rsidRDefault="005C4511" w:rsidP="00C81505">
      <w:pPr>
        <w:spacing w:line="360" w:lineRule="auto"/>
        <w:ind w:left="708"/>
        <w:rPr>
          <w:lang w:val="en-GB"/>
        </w:rPr>
      </w:pPr>
      <w:r>
        <w:rPr>
          <w:lang w:val="en-GB"/>
        </w:rPr>
        <w:t>Theft requires that the object in question belongs to another person</w:t>
      </w:r>
      <w:r w:rsidR="005D6D5D">
        <w:rPr>
          <w:lang w:val="en-GB"/>
        </w:rPr>
        <w:br/>
      </w:r>
      <w:r w:rsidRPr="005D6D5D">
        <w:rPr>
          <w:u w:val="single"/>
          <w:lang w:val="en-GB"/>
        </w:rPr>
        <w:t>The car the defendant took belongs to witness A, who is another person</w:t>
      </w:r>
      <w:r>
        <w:rPr>
          <w:lang w:val="en-GB"/>
        </w:rPr>
        <w:t>.</w:t>
      </w:r>
      <w:r w:rsidR="005D6D5D">
        <w:rPr>
          <w:lang w:val="en-GB"/>
        </w:rPr>
        <w:br/>
      </w:r>
      <w:r>
        <w:rPr>
          <w:lang w:val="en-GB"/>
        </w:rPr>
        <w:t>The defendant took an object which belongs to another person.</w:t>
      </w:r>
    </w:p>
    <w:p w14:paraId="319EA8D1" w14:textId="77777777" w:rsidR="005D6D5D" w:rsidRDefault="005D6D5D" w:rsidP="00C81505">
      <w:pPr>
        <w:spacing w:line="360" w:lineRule="auto"/>
        <w:jc w:val="both"/>
        <w:rPr>
          <w:lang w:val="en-GB"/>
        </w:rPr>
      </w:pPr>
    </w:p>
    <w:p w14:paraId="2EBF3783" w14:textId="77777777" w:rsidR="005D6D5D" w:rsidRDefault="005D6D5D" w:rsidP="00C81505">
      <w:pPr>
        <w:spacing w:line="360" w:lineRule="auto"/>
        <w:jc w:val="both"/>
        <w:rPr>
          <w:lang w:val="en-GB"/>
        </w:rPr>
      </w:pPr>
      <w:r>
        <w:rPr>
          <w:lang w:val="en-GB"/>
        </w:rPr>
        <w:t xml:space="preserve">It is important to note that this process itself is not a purely logical one. Determining whether a certain set of facts meets the legal requirements of a given provision will in many cases require interpretation. </w:t>
      </w:r>
      <w:r w:rsidR="00823DBA">
        <w:rPr>
          <w:lang w:val="en-GB"/>
        </w:rPr>
        <w:t xml:space="preserve">Stephen </w:t>
      </w:r>
      <w:r>
        <w:rPr>
          <w:lang w:val="en-GB"/>
        </w:rPr>
        <w:t>Horowitz</w:t>
      </w:r>
      <w:r w:rsidR="00823DBA">
        <w:rPr>
          <w:lang w:val="en-GB"/>
        </w:rPr>
        <w:t>, who teaches legal writing at St. John’s University School of Law,</w:t>
      </w:r>
      <w:r>
        <w:rPr>
          <w:lang w:val="en-GB"/>
        </w:rPr>
        <w:t xml:space="preserve"> points to an </w:t>
      </w:r>
      <w:r>
        <w:rPr>
          <w:lang w:val="en-GB"/>
        </w:rPr>
        <w:lastRenderedPageBreak/>
        <w:t>example he uses in his leading writing classes, the ‘banana peel case’</w:t>
      </w:r>
      <w:r w:rsidR="00823DBA">
        <w:rPr>
          <w:rStyle w:val="Funotenzeichen"/>
          <w:lang w:val="en-GB"/>
        </w:rPr>
        <w:footnoteReference w:id="26"/>
      </w:r>
      <w:r>
        <w:rPr>
          <w:lang w:val="en-GB"/>
        </w:rPr>
        <w:t>.</w:t>
      </w:r>
      <w:r w:rsidR="00A563F8">
        <w:rPr>
          <w:lang w:val="en-GB"/>
        </w:rPr>
        <w:t xml:space="preserve"> </w:t>
      </w:r>
      <w:r w:rsidR="00A563F8" w:rsidRPr="00823DBA">
        <w:rPr>
          <w:lang w:val="en-GB"/>
        </w:rPr>
        <w:t>It involves a jogger who throws a banana peel on the beach after passing a sign that indicates a fine for “littering.” A police officer sees this and has to decide whether to issue a ticket, remembering that her supervisor did give a ticket to someone who threw a candy bar wrapper on the ground but did not give a ticket to someone who poured coffee on the ground.</w:t>
      </w:r>
      <w:r w:rsidR="00823DBA">
        <w:rPr>
          <w:lang w:val="en-GB"/>
        </w:rPr>
        <w:t xml:space="preserve"> The vast majority of Horowitz’ students, he writes, apply the following reasoning:</w:t>
      </w:r>
    </w:p>
    <w:p w14:paraId="78C17168" w14:textId="77777777" w:rsidR="00823DBA" w:rsidRDefault="00823DBA" w:rsidP="00C81505">
      <w:pPr>
        <w:spacing w:line="360" w:lineRule="auto"/>
        <w:ind w:left="1416"/>
        <w:rPr>
          <w:lang w:val="en-GB"/>
        </w:rPr>
      </w:pPr>
      <w:r w:rsidRPr="00823DBA">
        <w:rPr>
          <w:lang w:val="en-GB"/>
        </w:rPr>
        <w:t>There is a $100 fine for littering.</w:t>
      </w:r>
      <w:r>
        <w:rPr>
          <w:lang w:val="en-GB"/>
        </w:rPr>
        <w:br/>
      </w:r>
      <w:r w:rsidRPr="00823DBA">
        <w:rPr>
          <w:u w:val="single"/>
          <w:lang w:val="en-GB"/>
        </w:rPr>
        <w:t>A banana peel is litter</w:t>
      </w:r>
      <w:r w:rsidRPr="00823DBA">
        <w:rPr>
          <w:lang w:val="en-GB"/>
        </w:rPr>
        <w:t>.</w:t>
      </w:r>
      <w:r>
        <w:rPr>
          <w:lang w:val="en-GB"/>
        </w:rPr>
        <w:br/>
      </w:r>
      <w:r w:rsidRPr="00823DBA">
        <w:rPr>
          <w:lang w:val="en-GB"/>
        </w:rPr>
        <w:t>Therefore, the jogger should pay a fine of $100</w:t>
      </w:r>
    </w:p>
    <w:p w14:paraId="3028944D" w14:textId="77777777" w:rsidR="00823DBA" w:rsidRDefault="00823DBA" w:rsidP="00C81505">
      <w:pPr>
        <w:spacing w:line="360" w:lineRule="auto"/>
        <w:jc w:val="both"/>
        <w:rPr>
          <w:lang w:val="en-GB"/>
        </w:rPr>
      </w:pPr>
      <w:r>
        <w:rPr>
          <w:lang w:val="en-GB"/>
        </w:rPr>
        <w:t xml:space="preserve">Doing so, the fail to address the crucial legal point </w:t>
      </w:r>
      <w:r w:rsidRPr="00823DBA">
        <w:rPr>
          <w:b/>
          <w:lang w:val="en-GB"/>
        </w:rPr>
        <w:t>if</w:t>
      </w:r>
      <w:r>
        <w:rPr>
          <w:lang w:val="en-GB"/>
        </w:rPr>
        <w:t xml:space="preserve"> a banana peel is litter (which is to be answered by analogy to the ‘precedents’ of the candy bar wrapper and the spilled coffee). </w:t>
      </w:r>
      <w:r w:rsidR="00A2112B">
        <w:rPr>
          <w:lang w:val="en-GB"/>
        </w:rPr>
        <w:t>Students were supposed to exp</w:t>
      </w:r>
      <w:r w:rsidR="005635FA">
        <w:rPr>
          <w:lang w:val="en-GB"/>
        </w:rPr>
        <w:t xml:space="preserve">and on the meaning of the term ‘litter’ in the context of the provision. </w:t>
      </w:r>
    </w:p>
    <w:p w14:paraId="1FCE08A5" w14:textId="77777777" w:rsidR="00906B13" w:rsidRDefault="005635FA" w:rsidP="00C81505">
      <w:pPr>
        <w:spacing w:line="360" w:lineRule="auto"/>
        <w:jc w:val="both"/>
        <w:rPr>
          <w:lang w:val="en-GB"/>
        </w:rPr>
      </w:pPr>
      <w:r>
        <w:rPr>
          <w:lang w:val="en-GB"/>
        </w:rPr>
        <w:t xml:space="preserve">As can be seen from the example above, applying the law to the facts frequently requires an act of interpretation. Thus, an additional step is introduced in the process. A legal term contained in the premise has to be defined or explained to see whether the facts correspond to it. Whether </w:t>
      </w:r>
      <w:r w:rsidR="00AD7B40">
        <w:rPr>
          <w:lang w:val="en-GB"/>
        </w:rPr>
        <w:t>defining a term employed in the law is required depends on the circumstances of the case.</w:t>
      </w:r>
      <w:r w:rsidR="00DB1AAD">
        <w:rPr>
          <w:lang w:val="en-GB"/>
        </w:rPr>
        <w:t xml:space="preserve"> A notion which is plain in a given case may require detailed examination in another one. For a judge,</w:t>
      </w:r>
      <w:r w:rsidR="00AD7B40">
        <w:rPr>
          <w:lang w:val="en-GB"/>
        </w:rPr>
        <w:t xml:space="preserve"> </w:t>
      </w:r>
      <w:r w:rsidR="00DB1AAD">
        <w:rPr>
          <w:lang w:val="en-GB"/>
        </w:rPr>
        <w:t>i</w:t>
      </w:r>
      <w:r w:rsidR="00906B13">
        <w:rPr>
          <w:lang w:val="en-GB"/>
        </w:rPr>
        <w:t>t is an important skill to be able to assess when a legal requirement is clearly fulfilled</w:t>
      </w:r>
      <w:r w:rsidR="00DB1AAD">
        <w:rPr>
          <w:lang w:val="en-GB"/>
        </w:rPr>
        <w:t xml:space="preserve"> in a certain case</w:t>
      </w:r>
      <w:r w:rsidR="00906B13">
        <w:rPr>
          <w:lang w:val="en-GB"/>
        </w:rPr>
        <w:t xml:space="preserve"> and does not necessitate further elaboration in the reasoning of a judgment</w:t>
      </w:r>
      <w:r w:rsidR="00DB1AAD">
        <w:rPr>
          <w:lang w:val="en-GB"/>
        </w:rPr>
        <w:t xml:space="preserve"> or should be dealt with in more detail. </w:t>
      </w:r>
    </w:p>
    <w:p w14:paraId="3E2E5E09" w14:textId="77777777" w:rsidR="005635FA" w:rsidRDefault="00AD7B40" w:rsidP="00C81505">
      <w:pPr>
        <w:spacing w:line="360" w:lineRule="auto"/>
        <w:jc w:val="both"/>
        <w:rPr>
          <w:lang w:val="en-GB"/>
        </w:rPr>
      </w:pPr>
      <w:r>
        <w:rPr>
          <w:lang w:val="en-GB"/>
        </w:rPr>
        <w:t xml:space="preserve">For example, the term ‘movable object’ contained in the German provision on theft mentioned above will not be problematic </w:t>
      </w:r>
      <w:r w:rsidR="00906B13">
        <w:rPr>
          <w:lang w:val="en-GB"/>
        </w:rPr>
        <w:t>i</w:t>
      </w:r>
      <w:r>
        <w:rPr>
          <w:lang w:val="en-GB"/>
        </w:rPr>
        <w:t>n the vast majority of cases. It is straightforward that a car, a wallet or a painting are movable objects. However, in the 1899, the German ‘</w:t>
      </w:r>
      <w:proofErr w:type="spellStart"/>
      <w:r>
        <w:rPr>
          <w:lang w:val="en-GB"/>
        </w:rPr>
        <w:t>Reichsgericht</w:t>
      </w:r>
      <w:proofErr w:type="spellEnd"/>
      <w:r>
        <w:rPr>
          <w:lang w:val="en-GB"/>
        </w:rPr>
        <w:t xml:space="preserve">’ (the predecessor of the Federal Court of Justice) had to decide a case in which the defendant had connected a cable to an electric transmission line in order to obtain electricity for his home without paying. </w:t>
      </w:r>
      <w:r w:rsidR="00081F35">
        <w:rPr>
          <w:lang w:val="en-GB"/>
        </w:rPr>
        <w:t>The court had to examine the question whether electricity is an object within the meaning of section 242 of the Criminal Code. It stated (based on the understanding of electricity at the time)</w:t>
      </w:r>
    </w:p>
    <w:p w14:paraId="13DA4CAC" w14:textId="77777777" w:rsidR="00081F35" w:rsidRPr="00AE0CF0" w:rsidRDefault="00081F35" w:rsidP="00C81505">
      <w:pPr>
        <w:spacing w:line="360" w:lineRule="auto"/>
        <w:ind w:left="708"/>
        <w:jc w:val="both"/>
        <w:rPr>
          <w:i/>
          <w:lang w:val="en-GB"/>
        </w:rPr>
      </w:pPr>
      <w:r w:rsidRPr="00AE0CF0">
        <w:rPr>
          <w:i/>
          <w:lang w:val="en-GB"/>
        </w:rPr>
        <w:t xml:space="preserve">According to the natural understanding of the term, which is in line with results of and the use of language in science, only matter filling space has the characteristics of a physical object. A mere mode of being, a mere movement or a mere effect of physical substance is not considered </w:t>
      </w:r>
      <w:r w:rsidRPr="00AE0CF0">
        <w:rPr>
          <w:i/>
          <w:lang w:val="en-GB"/>
        </w:rPr>
        <w:lastRenderedPageBreak/>
        <w:t xml:space="preserve">an object by science nor by the ordinary use of language. Rather, these phenomena are juxtaposed to the physical objects in the world. </w:t>
      </w:r>
    </w:p>
    <w:p w14:paraId="38BC2E50" w14:textId="77777777" w:rsidR="00081F35" w:rsidRDefault="00081F35" w:rsidP="00C81505">
      <w:pPr>
        <w:spacing w:line="360" w:lineRule="auto"/>
        <w:ind w:left="708"/>
        <w:jc w:val="both"/>
        <w:rPr>
          <w:i/>
          <w:lang w:val="en-GB"/>
        </w:rPr>
      </w:pPr>
      <w:r w:rsidRPr="00AE0CF0">
        <w:rPr>
          <w:i/>
          <w:lang w:val="en-GB"/>
        </w:rPr>
        <w:t>The requirement of physicality of an object is to be inferred for the notion of theft in criminal law from the requirement of this provision, according to which a movable object has to be taken away from another person. Accordingly, the law requires that an object have such characteristics that it can be taken away from</w:t>
      </w:r>
      <w:r w:rsidR="00AE0CF0" w:rsidRPr="00AE0CF0">
        <w:rPr>
          <w:i/>
          <w:lang w:val="en-GB"/>
        </w:rPr>
        <w:t xml:space="preserve"> the possession of</w:t>
      </w:r>
      <w:r w:rsidRPr="00AE0CF0">
        <w:rPr>
          <w:i/>
          <w:lang w:val="en-GB"/>
        </w:rPr>
        <w:t xml:space="preserve"> another perso</w:t>
      </w:r>
      <w:r w:rsidR="00AE0CF0" w:rsidRPr="00AE0CF0">
        <w:rPr>
          <w:i/>
          <w:lang w:val="en-GB"/>
        </w:rPr>
        <w:t>n</w:t>
      </w:r>
      <w:r w:rsidRPr="00AE0CF0">
        <w:rPr>
          <w:i/>
          <w:lang w:val="en-GB"/>
        </w:rPr>
        <w:t>. Taking away is a physical activity</w:t>
      </w:r>
      <w:r w:rsidR="00AE0CF0" w:rsidRPr="00AE0CF0">
        <w:rPr>
          <w:i/>
          <w:lang w:val="en-GB"/>
        </w:rPr>
        <w:t>; possession means exercising the physical ability to control a specific object, thus first and foremost a spatial relationship between man and object. Taking away means ending possession by another person and creating possession by the thief. The latter does not have to be engendered by physically touching the object (for example, water could be taken away by opening a tap). But possession always requires that the object itself is subjected to factual control by an individual spatially and physically. Thus, one has to stick to the characteristics of being able to be physically controlled and the autonomous existence in regard to the notion of ‘object’</w:t>
      </w:r>
      <w:r w:rsidR="00906B13">
        <w:rPr>
          <w:i/>
          <w:lang w:val="en-GB"/>
        </w:rPr>
        <w:t>.</w:t>
      </w:r>
    </w:p>
    <w:p w14:paraId="26498603" w14:textId="77777777" w:rsidR="00906B13" w:rsidRDefault="00906B13" w:rsidP="00C81505">
      <w:pPr>
        <w:spacing w:line="360" w:lineRule="auto"/>
        <w:jc w:val="both"/>
        <w:rPr>
          <w:i/>
          <w:lang w:val="en-GB"/>
        </w:rPr>
      </w:pPr>
    </w:p>
    <w:p w14:paraId="6DA6D77C" w14:textId="77777777" w:rsidR="00DB1AAD" w:rsidRDefault="0049543F" w:rsidP="00C81505">
      <w:pPr>
        <w:spacing w:line="360" w:lineRule="auto"/>
        <w:jc w:val="both"/>
        <w:rPr>
          <w:lang w:val="en-GB"/>
        </w:rPr>
      </w:pPr>
      <w:r>
        <w:rPr>
          <w:lang w:val="en-GB"/>
        </w:rPr>
        <w:t>The reasoning reflects the language of 1899 rather than modern language; yet the case shows that even legal notions which seem plain may give rise to problems of interpretation in certain circumstance</w:t>
      </w:r>
      <w:r w:rsidR="005B7A4A">
        <w:rPr>
          <w:lang w:val="en-GB"/>
        </w:rPr>
        <w:t>s</w:t>
      </w:r>
      <w:r>
        <w:rPr>
          <w:lang w:val="en-GB"/>
        </w:rPr>
        <w:t>.</w:t>
      </w:r>
    </w:p>
    <w:p w14:paraId="34A5AB4E" w14:textId="09331D63" w:rsidR="005B7A4A" w:rsidRDefault="005B7A4A" w:rsidP="00C81505">
      <w:pPr>
        <w:spacing w:line="360" w:lineRule="auto"/>
        <w:jc w:val="both"/>
        <w:rPr>
          <w:lang w:val="en-GB"/>
        </w:rPr>
      </w:pPr>
      <w:r>
        <w:rPr>
          <w:lang w:val="en-GB"/>
        </w:rPr>
        <w:t xml:space="preserve">In the text above, I have criticised a judgment which considered that the defendants’ actions fulfilled the legal requirement of cruelty without elaborating </w:t>
      </w:r>
      <w:r w:rsidR="008A510F">
        <w:rPr>
          <w:lang w:val="en-GB"/>
        </w:rPr>
        <w:t>o</w:t>
      </w:r>
      <w:r>
        <w:rPr>
          <w:lang w:val="en-GB"/>
        </w:rPr>
        <w:t>n what ‘cruel’ means and why the court regarded the defendant’s behaviour as cruel. It is useful to look, by way of contrast, at the way other courts have handled the same issue:</w:t>
      </w:r>
    </w:p>
    <w:p w14:paraId="52A9A188" w14:textId="77777777" w:rsidR="005B7A4A" w:rsidRDefault="005B7A4A" w:rsidP="00C81505">
      <w:pPr>
        <w:spacing w:line="360" w:lineRule="auto"/>
        <w:jc w:val="both"/>
        <w:rPr>
          <w:lang w:val="en-GB"/>
        </w:rPr>
      </w:pPr>
      <w:r>
        <w:rPr>
          <w:lang w:val="en-GB"/>
        </w:rPr>
        <w:t>In the Tadic case, the defendant was inter alia charged</w:t>
      </w:r>
      <w:r w:rsidR="00A91C82">
        <w:rPr>
          <w:lang w:val="en-GB"/>
        </w:rPr>
        <w:t xml:space="preserve"> with cruel treatment of prisoners. The ICTY elaborated on the concept of cruel treatment as follows:</w:t>
      </w:r>
    </w:p>
    <w:p w14:paraId="50A6C236" w14:textId="77777777" w:rsidR="008A7CA0" w:rsidRPr="00DB1AAD" w:rsidRDefault="008A7CA0" w:rsidP="00C81505">
      <w:pPr>
        <w:spacing w:line="360" w:lineRule="auto"/>
        <w:jc w:val="both"/>
        <w:rPr>
          <w:lang w:val="en-GB"/>
        </w:rPr>
      </w:pPr>
    </w:p>
    <w:p w14:paraId="2875695C" w14:textId="77777777" w:rsidR="00111C2E" w:rsidRPr="00A91C82" w:rsidRDefault="00111C2E" w:rsidP="00C81505">
      <w:pPr>
        <w:spacing w:line="360" w:lineRule="auto"/>
        <w:ind w:left="708"/>
        <w:jc w:val="both"/>
        <w:rPr>
          <w:i/>
          <w:lang w:val="en-GB"/>
        </w:rPr>
      </w:pPr>
      <w:r w:rsidRPr="00A91C82">
        <w:rPr>
          <w:i/>
          <w:lang w:val="en-GB"/>
        </w:rPr>
        <w:t xml:space="preserve">723. Common Article 3(1) of the Geneva Conventions provides the basis for the inclusion of cruel treatment under Article 3 of the Statute. It reads: </w:t>
      </w:r>
    </w:p>
    <w:p w14:paraId="3B57BCCC" w14:textId="77777777" w:rsidR="00111C2E" w:rsidRPr="00A91C82" w:rsidRDefault="00111C2E" w:rsidP="00C81505">
      <w:pPr>
        <w:spacing w:line="360" w:lineRule="auto"/>
        <w:ind w:left="708"/>
        <w:jc w:val="both"/>
        <w:rPr>
          <w:i/>
          <w:lang w:val="en-GB"/>
        </w:rPr>
      </w:pPr>
      <w:r w:rsidRPr="00A91C82">
        <w:rPr>
          <w:i/>
          <w:lang w:val="en-GB"/>
        </w:rPr>
        <w:t xml:space="preserve">(1) Persons taking no active part in the hostilities, including members of armed forces who have laid down their arms and those placed hors de combat by sickness, wounds, detention or any other cause, shall in all circumstances be treated humanely, without any adverse distinction founded on race, colour, religion or faith, sex, birth or wealth, or any other similar criteria. To </w:t>
      </w:r>
      <w:r w:rsidRPr="00A91C82">
        <w:rPr>
          <w:i/>
          <w:lang w:val="en-GB"/>
        </w:rPr>
        <w:lastRenderedPageBreak/>
        <w:t xml:space="preserve">this end the following acts are and shall remain prohibited at any time and in any place whatsoever with respect to the above mentioned persons: </w:t>
      </w:r>
    </w:p>
    <w:p w14:paraId="2FF2B7CD" w14:textId="77777777" w:rsidR="00111C2E" w:rsidRPr="00A91C82" w:rsidRDefault="00111C2E" w:rsidP="00C81505">
      <w:pPr>
        <w:spacing w:line="360" w:lineRule="auto"/>
        <w:ind w:left="708"/>
        <w:jc w:val="both"/>
        <w:rPr>
          <w:i/>
          <w:lang w:val="en-GB"/>
        </w:rPr>
      </w:pPr>
      <w:r w:rsidRPr="00A91C82">
        <w:rPr>
          <w:i/>
          <w:lang w:val="en-GB"/>
        </w:rPr>
        <w:t>(a) violence to life and person, in particular murder of all kinds, mutilation, cruel treatment and torture;</w:t>
      </w:r>
      <w:r w:rsidRPr="00A91C82">
        <w:rPr>
          <w:i/>
          <w:lang w:val="en-GB"/>
        </w:rPr>
        <w:br/>
        <w:t xml:space="preserve">.... </w:t>
      </w:r>
    </w:p>
    <w:p w14:paraId="0D81F736" w14:textId="77777777" w:rsidR="00111C2E" w:rsidRPr="00A91C82" w:rsidRDefault="00111C2E" w:rsidP="00C81505">
      <w:pPr>
        <w:spacing w:line="360" w:lineRule="auto"/>
        <w:ind w:left="708"/>
        <w:jc w:val="both"/>
        <w:rPr>
          <w:i/>
          <w:lang w:val="en-GB"/>
        </w:rPr>
      </w:pPr>
      <w:r w:rsidRPr="00A91C82">
        <w:rPr>
          <w:i/>
          <w:lang w:val="en-GB"/>
        </w:rPr>
        <w:t>According to this Article the prohibition against cruel treatment is a means to an end, the end being that of ensuring that persons taking no active part in the hostilities shall in all circumstances be treated humanely. In Article 7 of the International Covenant on Civil and Political Rights cruel treatment is very closely related to inhuman treatment. An almost</w:t>
      </w:r>
      <w:r w:rsidRPr="00111C2E">
        <w:rPr>
          <w:lang w:val="en-GB"/>
        </w:rPr>
        <w:t xml:space="preserve"> </w:t>
      </w:r>
      <w:r w:rsidRPr="00A91C82">
        <w:rPr>
          <w:i/>
          <w:lang w:val="en-GB"/>
        </w:rPr>
        <w:t xml:space="preserve">identical provision appears in Article 5 of the American Convention on Human Rights where cruel treatment is dealt with under the heading “Right to humane treatment”. </w:t>
      </w:r>
    </w:p>
    <w:p w14:paraId="4DF58DE3" w14:textId="77777777" w:rsidR="00111C2E" w:rsidRPr="00A91C82" w:rsidRDefault="00111C2E" w:rsidP="00C81505">
      <w:pPr>
        <w:spacing w:line="360" w:lineRule="auto"/>
        <w:ind w:left="708"/>
        <w:jc w:val="both"/>
        <w:rPr>
          <w:i/>
          <w:lang w:val="en-GB"/>
        </w:rPr>
      </w:pPr>
      <w:r w:rsidRPr="00A91C82">
        <w:rPr>
          <w:i/>
          <w:lang w:val="en-GB"/>
        </w:rPr>
        <w:t xml:space="preserve">724. No international instrument defines cruel treatment because, according to two prominent commentators, “it has been found impossible to find any satisfactory definition of this general concept, whose application to a specific case must be assessed on the basis of all the particularities of the concrete situation”.280 </w:t>
      </w:r>
    </w:p>
    <w:p w14:paraId="60510AF0" w14:textId="77777777" w:rsidR="00111C2E" w:rsidRPr="00A91C82" w:rsidRDefault="00111C2E" w:rsidP="00C81505">
      <w:pPr>
        <w:spacing w:line="360" w:lineRule="auto"/>
        <w:ind w:left="708"/>
        <w:jc w:val="both"/>
        <w:rPr>
          <w:i/>
          <w:lang w:val="en-GB"/>
        </w:rPr>
      </w:pPr>
      <w:r w:rsidRPr="00A91C82">
        <w:rPr>
          <w:i/>
          <w:lang w:val="en-GB"/>
        </w:rPr>
        <w:t xml:space="preserve">725. However, guidance is given by the form taken by Article 4 of Protocol Additional to the Geneva Conventions of 12 August 1949, and Relating to the Protection of Victims of Non-International Armed Conflicts (Protocol II) which provides that what is prohibited is </w:t>
      </w:r>
    </w:p>
    <w:p w14:paraId="201D9259" w14:textId="77777777" w:rsidR="00111C2E" w:rsidRPr="00A91C82" w:rsidRDefault="00111C2E" w:rsidP="00C81505">
      <w:pPr>
        <w:spacing w:line="360" w:lineRule="auto"/>
        <w:ind w:firstLine="708"/>
        <w:jc w:val="both"/>
        <w:rPr>
          <w:i/>
        </w:rPr>
      </w:pPr>
      <w:r w:rsidRPr="00A91C82">
        <w:rPr>
          <w:i/>
        </w:rPr>
        <w:t xml:space="preserve">273 </w:t>
      </w:r>
    </w:p>
    <w:p w14:paraId="29842F29" w14:textId="77777777" w:rsidR="00111C2E" w:rsidRPr="00A91C82" w:rsidRDefault="00111C2E" w:rsidP="00C81505">
      <w:pPr>
        <w:spacing w:line="360" w:lineRule="auto"/>
        <w:ind w:firstLine="708"/>
        <w:jc w:val="both"/>
        <w:rPr>
          <w:i/>
        </w:rPr>
      </w:pPr>
      <w:r w:rsidRPr="00A91C82">
        <w:rPr>
          <w:i/>
          <w:noProof/>
          <w:lang w:val="ro-RO" w:eastAsia="ro-RO"/>
        </w:rPr>
        <w:drawing>
          <wp:inline distT="0" distB="0" distL="0" distR="0" wp14:anchorId="3719935B" wp14:editId="6B36DEBA">
            <wp:extent cx="533400" cy="19050"/>
            <wp:effectExtent l="0" t="0" r="0" b="0"/>
            <wp:docPr id="1" name="Grafik 1" descr="page278image2731003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page278image2731003488"/>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533400" cy="19050"/>
                    </a:xfrm>
                    <a:prstGeom prst="rect">
                      <a:avLst/>
                    </a:prstGeom>
                    <a:noFill/>
                    <a:ln>
                      <a:noFill/>
                    </a:ln>
                  </pic:spPr>
                </pic:pic>
              </a:graphicData>
            </a:graphic>
          </wp:inline>
        </w:drawing>
      </w:r>
    </w:p>
    <w:p w14:paraId="4F11EEAB" w14:textId="77777777" w:rsidR="00111C2E" w:rsidRPr="00A91C82" w:rsidRDefault="00111C2E" w:rsidP="00C81505">
      <w:pPr>
        <w:spacing w:line="360" w:lineRule="auto"/>
        <w:ind w:firstLine="708"/>
        <w:jc w:val="both"/>
        <w:rPr>
          <w:i/>
          <w:lang w:val="en-GB"/>
        </w:rPr>
      </w:pPr>
      <w:r w:rsidRPr="00A91C82">
        <w:rPr>
          <w:i/>
          <w:lang w:val="en-GB"/>
        </w:rPr>
        <w:t xml:space="preserve">Case No. IT-94-1-T 7 May 1997 </w:t>
      </w:r>
    </w:p>
    <w:p w14:paraId="7DFDE77D" w14:textId="77777777" w:rsidR="00111C2E" w:rsidRPr="00A91C82" w:rsidRDefault="00111C2E" w:rsidP="00C81505">
      <w:pPr>
        <w:spacing w:line="360" w:lineRule="auto"/>
        <w:ind w:left="708"/>
        <w:jc w:val="both"/>
        <w:rPr>
          <w:i/>
          <w:lang w:val="en-GB"/>
        </w:rPr>
      </w:pPr>
      <w:r w:rsidRPr="00A91C82">
        <w:rPr>
          <w:i/>
          <w:lang w:val="en-GB"/>
        </w:rPr>
        <w:t xml:space="preserve">“violence to the life, health and physical or mental well-being of persons, in particular murder as well as cruel treatment such as torture, mutilation or any form of corporal punishment”. These instances of cruel treatment, and the inclusion of “any form of corporal punishment”, demonstrate that no narrow or special meaning is there being given to the phrase “cruel treatment”. </w:t>
      </w:r>
    </w:p>
    <w:p w14:paraId="10A6B0A8" w14:textId="1AD5FA43" w:rsidR="00111C2E" w:rsidRPr="00A91C82" w:rsidRDefault="00111C2E" w:rsidP="00C81505">
      <w:pPr>
        <w:spacing w:line="360" w:lineRule="auto"/>
        <w:ind w:left="708"/>
        <w:jc w:val="both"/>
        <w:rPr>
          <w:i/>
          <w:lang w:val="en-GB"/>
        </w:rPr>
      </w:pPr>
      <w:r w:rsidRPr="00A91C82">
        <w:rPr>
          <w:i/>
          <w:lang w:val="en-GB"/>
        </w:rPr>
        <w:t xml:space="preserve">726. Treating cruel treatment then, as J. H. Burger and H. </w:t>
      </w:r>
      <w:proofErr w:type="spellStart"/>
      <w:r w:rsidRPr="00A91C82">
        <w:rPr>
          <w:i/>
          <w:lang w:val="en-GB"/>
        </w:rPr>
        <w:t>Danelius</w:t>
      </w:r>
      <w:proofErr w:type="spellEnd"/>
      <w:r w:rsidRPr="00A91C82">
        <w:rPr>
          <w:i/>
          <w:lang w:val="en-GB"/>
        </w:rPr>
        <w:t xml:space="preserve"> describe it, as a “general concept”, the relevant findings of fact as stated earlier in this Opinion and Judgment are that the accused took part in beatings of great severity and other grievous acts of violence inflicted on </w:t>
      </w:r>
      <w:proofErr w:type="spellStart"/>
      <w:r w:rsidRPr="00A91C82">
        <w:rPr>
          <w:i/>
          <w:lang w:val="en-GB"/>
        </w:rPr>
        <w:t>Enver</w:t>
      </w:r>
      <w:proofErr w:type="spellEnd"/>
      <w:r w:rsidRPr="00A91C82">
        <w:rPr>
          <w:i/>
          <w:lang w:val="en-GB"/>
        </w:rPr>
        <w:t xml:space="preserve"> </w:t>
      </w:r>
      <w:proofErr w:type="spellStart"/>
      <w:r w:rsidRPr="00A91C82">
        <w:rPr>
          <w:i/>
          <w:lang w:val="en-GB"/>
        </w:rPr>
        <w:t>Ali</w:t>
      </w:r>
      <w:r w:rsidR="008A0BA3">
        <w:rPr>
          <w:i/>
          <w:lang w:val="en-GB"/>
        </w:rPr>
        <w:t>ć</w:t>
      </w:r>
      <w:proofErr w:type="spellEnd"/>
      <w:r w:rsidRPr="00A91C82">
        <w:rPr>
          <w:i/>
          <w:lang w:val="en-GB"/>
        </w:rPr>
        <w:t xml:space="preserve">, Emir </w:t>
      </w:r>
      <w:proofErr w:type="spellStart"/>
      <w:r w:rsidRPr="00A91C82">
        <w:rPr>
          <w:i/>
          <w:lang w:val="en-GB"/>
        </w:rPr>
        <w:t>Karaba</w:t>
      </w:r>
      <w:r w:rsidR="008A0BA3">
        <w:rPr>
          <w:i/>
          <w:lang w:val="en-GB"/>
        </w:rPr>
        <w:t>š</w:t>
      </w:r>
      <w:r w:rsidRPr="00A91C82">
        <w:rPr>
          <w:i/>
          <w:lang w:val="en-GB"/>
        </w:rPr>
        <w:t>i</w:t>
      </w:r>
      <w:r w:rsidR="008A0BA3">
        <w:rPr>
          <w:i/>
          <w:lang w:val="en-GB"/>
        </w:rPr>
        <w:t>ć</w:t>
      </w:r>
      <w:proofErr w:type="spellEnd"/>
      <w:r w:rsidRPr="00A91C82">
        <w:rPr>
          <w:i/>
          <w:lang w:val="en-GB"/>
        </w:rPr>
        <w:t xml:space="preserve">, </w:t>
      </w:r>
      <w:proofErr w:type="spellStart"/>
      <w:r w:rsidRPr="00A91C82">
        <w:rPr>
          <w:i/>
          <w:lang w:val="en-GB"/>
        </w:rPr>
        <w:t>Jasko</w:t>
      </w:r>
      <w:proofErr w:type="spellEnd"/>
      <w:r w:rsidRPr="00A91C82">
        <w:rPr>
          <w:i/>
          <w:lang w:val="en-GB"/>
        </w:rPr>
        <w:t xml:space="preserve"> </w:t>
      </w:r>
      <w:proofErr w:type="spellStart"/>
      <w:r w:rsidRPr="00A91C82">
        <w:rPr>
          <w:i/>
          <w:lang w:val="en-GB"/>
        </w:rPr>
        <w:t>Hrni</w:t>
      </w:r>
      <w:r w:rsidR="008A0BA3">
        <w:rPr>
          <w:i/>
          <w:lang w:val="en-GB"/>
        </w:rPr>
        <w:t>ć</w:t>
      </w:r>
      <w:proofErr w:type="spellEnd"/>
      <w:r w:rsidRPr="00A91C82">
        <w:rPr>
          <w:i/>
          <w:lang w:val="en-GB"/>
        </w:rPr>
        <w:t xml:space="preserve">, </w:t>
      </w:r>
      <w:proofErr w:type="spellStart"/>
      <w:r w:rsidRPr="00A91C82">
        <w:rPr>
          <w:i/>
          <w:lang w:val="en-GB"/>
        </w:rPr>
        <w:t>Senad</w:t>
      </w:r>
      <w:proofErr w:type="spellEnd"/>
      <w:r w:rsidRPr="00A91C82">
        <w:rPr>
          <w:i/>
          <w:lang w:val="en-GB"/>
        </w:rPr>
        <w:t xml:space="preserve"> </w:t>
      </w:r>
      <w:proofErr w:type="spellStart"/>
      <w:r w:rsidRPr="00A91C82">
        <w:rPr>
          <w:i/>
          <w:lang w:val="en-GB"/>
        </w:rPr>
        <w:t>Muslimovi</w:t>
      </w:r>
      <w:r w:rsidR="008A0BA3">
        <w:rPr>
          <w:i/>
          <w:lang w:val="en-GB"/>
        </w:rPr>
        <w:t>ć</w:t>
      </w:r>
      <w:proofErr w:type="spellEnd"/>
      <w:r w:rsidRPr="00A91C82">
        <w:rPr>
          <w:i/>
          <w:lang w:val="en-GB"/>
        </w:rPr>
        <w:t xml:space="preserve">, </w:t>
      </w:r>
      <w:proofErr w:type="spellStart"/>
      <w:r w:rsidRPr="00A91C82">
        <w:rPr>
          <w:i/>
          <w:lang w:val="en-GB"/>
        </w:rPr>
        <w:t>Fikret</w:t>
      </w:r>
      <w:proofErr w:type="spellEnd"/>
      <w:r w:rsidRPr="00A91C82">
        <w:rPr>
          <w:i/>
          <w:lang w:val="en-GB"/>
        </w:rPr>
        <w:t xml:space="preserve"> </w:t>
      </w:r>
      <w:proofErr w:type="spellStart"/>
      <w:r w:rsidRPr="00A91C82">
        <w:rPr>
          <w:i/>
          <w:lang w:val="en-GB"/>
        </w:rPr>
        <w:t>Haramba</w:t>
      </w:r>
      <w:r w:rsidR="008A0BA3">
        <w:rPr>
          <w:i/>
          <w:lang w:val="en-GB"/>
        </w:rPr>
        <w:t>šić</w:t>
      </w:r>
      <w:proofErr w:type="spellEnd"/>
      <w:r w:rsidRPr="00A91C82">
        <w:rPr>
          <w:i/>
          <w:lang w:val="en-GB"/>
        </w:rPr>
        <w:t xml:space="preserve"> and Emir </w:t>
      </w:r>
      <w:proofErr w:type="spellStart"/>
      <w:r w:rsidRPr="00A91C82">
        <w:rPr>
          <w:i/>
          <w:lang w:val="en-GB"/>
        </w:rPr>
        <w:t>Beganovi</w:t>
      </w:r>
      <w:r w:rsidR="008A0BA3">
        <w:rPr>
          <w:i/>
          <w:lang w:val="en-GB"/>
        </w:rPr>
        <w:t>ć</w:t>
      </w:r>
      <w:proofErr w:type="spellEnd"/>
      <w:r w:rsidRPr="00A91C82">
        <w:rPr>
          <w:i/>
          <w:lang w:val="en-GB"/>
        </w:rPr>
        <w:t xml:space="preserve">, none of whom were taking any active part in the hostilities. The Trial Chamber finds </w:t>
      </w:r>
      <w:r w:rsidRPr="00A91C82">
        <w:rPr>
          <w:i/>
          <w:lang w:val="en-GB"/>
        </w:rPr>
        <w:lastRenderedPageBreak/>
        <w:t xml:space="preserve">beyond reasonable doubt that those beatings and other acts which each of those Muslim victims suffered were committed in the context of an armed conflict and in close connection to that conflict, that they constitute violence to their persons and that the perpetrators </w:t>
      </w:r>
      <w:proofErr w:type="spellStart"/>
      <w:r w:rsidRPr="00A91C82">
        <w:rPr>
          <w:i/>
          <w:lang w:val="en-GB"/>
        </w:rPr>
        <w:t>intende</w:t>
      </w:r>
      <w:proofErr w:type="spellEnd"/>
      <w:r w:rsidRPr="00A91C82">
        <w:rPr>
          <w:i/>
          <w:lang w:val="en-GB"/>
        </w:rPr>
        <w:t xml:space="preserve"> d to inflict such suffering. The Trial Chamber further finds that the accused in some instances was himself the perpetrator and in others intentionally assisted directly and substantially in the common purpose of inflicting physical suffering upon them and thereby aided and abetted in the commission of the crimes and is therefore individually responsible for each of them as provided by Article 7, paragraph 1, of the Statute. The Trial Chamber accordingly finds beyond reasonable doubt that the accused is guilty as charged in Count 10 of the Indictment in respect of each of those six victims. </w:t>
      </w:r>
    </w:p>
    <w:p w14:paraId="65D3D573" w14:textId="77777777" w:rsidR="00111C2E" w:rsidRDefault="00111C2E" w:rsidP="00C81505">
      <w:pPr>
        <w:spacing w:line="360" w:lineRule="auto"/>
        <w:ind w:left="708"/>
        <w:jc w:val="both"/>
        <w:rPr>
          <w:i/>
          <w:lang w:val="en-GB"/>
        </w:rPr>
      </w:pPr>
      <w:r w:rsidRPr="00A91C82">
        <w:rPr>
          <w:i/>
          <w:lang w:val="en-GB"/>
        </w:rPr>
        <w:t>727. Count 11 of the Indictment charges that the accused by his participation in the acts alleged committed a crime against humanity recognized by Article 5(</w:t>
      </w:r>
      <w:proofErr w:type="spellStart"/>
      <w:r w:rsidRPr="00A91C82">
        <w:rPr>
          <w:i/>
          <w:lang w:val="en-GB"/>
        </w:rPr>
        <w:t>i</w:t>
      </w:r>
      <w:proofErr w:type="spellEnd"/>
      <w:r w:rsidRPr="00A91C82">
        <w:rPr>
          <w:i/>
          <w:lang w:val="en-GB"/>
        </w:rPr>
        <w:t xml:space="preserve">) (inhumane acts) and Article 7, paragraph 1, of the Statute. </w:t>
      </w:r>
    </w:p>
    <w:p w14:paraId="0AB0945E" w14:textId="77777777" w:rsidR="00A91C82" w:rsidRDefault="00A91C82" w:rsidP="00C81505">
      <w:pPr>
        <w:spacing w:line="360" w:lineRule="auto"/>
        <w:jc w:val="both"/>
        <w:rPr>
          <w:i/>
          <w:lang w:val="en-GB"/>
        </w:rPr>
      </w:pPr>
    </w:p>
    <w:p w14:paraId="333889BB" w14:textId="77777777" w:rsidR="0081791E" w:rsidRDefault="0081791E" w:rsidP="00C81505">
      <w:pPr>
        <w:spacing w:line="360" w:lineRule="auto"/>
        <w:jc w:val="both"/>
        <w:rPr>
          <w:lang w:val="en-GB"/>
        </w:rPr>
      </w:pPr>
      <w:r w:rsidRPr="0081791E">
        <w:rPr>
          <w:lang w:val="en-GB"/>
        </w:rPr>
        <w:t>The German Federal Court o</w:t>
      </w:r>
      <w:r>
        <w:rPr>
          <w:lang w:val="en-GB"/>
        </w:rPr>
        <w:t>f Justice dealt with the notion of ‘cruelty’ in its judgment of 21 June 2007 as follows:</w:t>
      </w:r>
    </w:p>
    <w:p w14:paraId="1B088B86" w14:textId="77777777" w:rsidR="0081791E" w:rsidRPr="003C4924" w:rsidRDefault="0081791E" w:rsidP="00C81505">
      <w:pPr>
        <w:spacing w:line="360" w:lineRule="auto"/>
        <w:ind w:firstLine="708"/>
        <w:jc w:val="both"/>
        <w:rPr>
          <w:i/>
          <w:lang w:val="en-GB"/>
        </w:rPr>
      </w:pPr>
      <w:r w:rsidRPr="003C4924">
        <w:rPr>
          <w:i/>
          <w:lang w:val="en-GB"/>
        </w:rPr>
        <w:t>Facts:</w:t>
      </w:r>
    </w:p>
    <w:p w14:paraId="31DD5D2F" w14:textId="77777777" w:rsidR="0081791E" w:rsidRPr="003C4924" w:rsidRDefault="0081791E" w:rsidP="00C81505">
      <w:pPr>
        <w:spacing w:line="360" w:lineRule="auto"/>
        <w:ind w:left="708"/>
        <w:jc w:val="both"/>
        <w:rPr>
          <w:i/>
          <w:lang w:val="en-GB"/>
        </w:rPr>
      </w:pPr>
      <w:r w:rsidRPr="003C4924">
        <w:rPr>
          <w:i/>
          <w:lang w:val="en-GB"/>
        </w:rPr>
        <w:t xml:space="preserve">According to the facts established by the District Court, the two defendants lived in the same residence as N. who later on was killed. On the day of the deed, the two men were inebriated and started an argument. For this reason, defendant O. hit defendant M. on the head with a pistol several times, so that he suffered a contusion and a fracture of (…. </w:t>
      </w:r>
      <w:proofErr w:type="gramStart"/>
      <w:r w:rsidRPr="003C4924">
        <w:rPr>
          <w:i/>
          <w:lang w:val="en-GB"/>
        </w:rPr>
        <w:t>)translation</w:t>
      </w:r>
      <w:proofErr w:type="gramEnd"/>
      <w:r w:rsidRPr="003C4924">
        <w:rPr>
          <w:i/>
          <w:lang w:val="en-GB"/>
        </w:rPr>
        <w:t xml:space="preserve"> of bone not to be found in dictionary). After that, the two men talked about N. Defendant M. stated falsely that it had been N. who had called the police several hours ago. Defendant O. mentioned that N. had not taken any steps to pay back the money he owed to defendant M. In this way, both defendants became angry with N. First one of them – the </w:t>
      </w:r>
      <w:proofErr w:type="spellStart"/>
      <w:r w:rsidRPr="003C4924">
        <w:rPr>
          <w:i/>
          <w:lang w:val="en-GB"/>
        </w:rPr>
        <w:t>Disctrict</w:t>
      </w:r>
      <w:proofErr w:type="spellEnd"/>
      <w:r w:rsidRPr="003C4924">
        <w:rPr>
          <w:i/>
          <w:lang w:val="en-GB"/>
        </w:rPr>
        <w:t xml:space="preserve"> Court could not clarify who – beat N., who suffered a contusion. </w:t>
      </w:r>
      <w:r w:rsidR="00110095" w:rsidRPr="003C4924">
        <w:rPr>
          <w:i/>
          <w:lang w:val="en-GB"/>
        </w:rPr>
        <w:t xml:space="preserve">After that, both defendants beat N., each of them agreeing with the other one’s actions. When N. fell to the ground because of the beating, the defendant O. kicked him with his boots against his heads and ribs ten times. N. died because of the injuries he suffered from that. </w:t>
      </w:r>
    </w:p>
    <w:p w14:paraId="144CB52F" w14:textId="77777777" w:rsidR="00110095" w:rsidRPr="003C4924" w:rsidRDefault="00110095" w:rsidP="00C81505">
      <w:pPr>
        <w:spacing w:line="360" w:lineRule="auto"/>
        <w:ind w:firstLine="708"/>
        <w:jc w:val="both"/>
        <w:rPr>
          <w:i/>
          <w:lang w:val="en-GB"/>
        </w:rPr>
      </w:pPr>
      <w:r w:rsidRPr="003C4924">
        <w:rPr>
          <w:i/>
          <w:lang w:val="en-GB"/>
        </w:rPr>
        <w:t>Law:</w:t>
      </w:r>
    </w:p>
    <w:p w14:paraId="5DCF8F22" w14:textId="77777777" w:rsidR="00110095" w:rsidRPr="003C4924" w:rsidRDefault="00110095" w:rsidP="00C81505">
      <w:pPr>
        <w:spacing w:line="360" w:lineRule="auto"/>
        <w:ind w:firstLine="708"/>
        <w:jc w:val="both"/>
        <w:rPr>
          <w:i/>
          <w:lang w:val="en-GB"/>
        </w:rPr>
      </w:pPr>
      <w:r w:rsidRPr="003C4924">
        <w:rPr>
          <w:i/>
          <w:lang w:val="en-GB"/>
        </w:rPr>
        <w:t xml:space="preserve">The conviction of defendant O. for homicide committed in a cruel manner </w:t>
      </w:r>
      <w:r w:rsidR="008226FA" w:rsidRPr="003C4924">
        <w:rPr>
          <w:i/>
          <w:lang w:val="en-GB"/>
        </w:rPr>
        <w:t xml:space="preserve">is legally erroneous. </w:t>
      </w:r>
    </w:p>
    <w:p w14:paraId="7EB2FAFE" w14:textId="77777777" w:rsidR="008226FA" w:rsidRDefault="008226FA" w:rsidP="00C81505">
      <w:pPr>
        <w:spacing w:line="360" w:lineRule="auto"/>
        <w:ind w:left="708"/>
        <w:jc w:val="both"/>
        <w:rPr>
          <w:i/>
          <w:lang w:val="en-GB"/>
        </w:rPr>
      </w:pPr>
      <w:r w:rsidRPr="003C4924">
        <w:rPr>
          <w:i/>
          <w:lang w:val="en-GB"/>
        </w:rPr>
        <w:lastRenderedPageBreak/>
        <w:t>An individual kills another individual in cruel manner, if he causes to the victim physical or psychological pain or suffering which goes in regard to intensity or duration beyond what is necessary for the mere killing, acting out of lack of empathy or in a relentless fashion. The specific suffering has to occur while the deed is committed. When qualifying the deed as cruel, the District Court also considered circumstances which did not have a relationship with the act of killing yet or anymore. When the defendant cause</w:t>
      </w:r>
      <w:r w:rsidR="008A510F">
        <w:rPr>
          <w:i/>
          <w:lang w:val="en-GB"/>
        </w:rPr>
        <w:t>d</w:t>
      </w:r>
      <w:r w:rsidRPr="003C4924">
        <w:rPr>
          <w:i/>
          <w:lang w:val="en-GB"/>
        </w:rPr>
        <w:t xml:space="preserve"> the contusion on </w:t>
      </w:r>
      <w:proofErr w:type="gramStart"/>
      <w:r w:rsidRPr="003C4924">
        <w:rPr>
          <w:i/>
          <w:lang w:val="en-GB"/>
        </w:rPr>
        <w:t>N.‘ s</w:t>
      </w:r>
      <w:proofErr w:type="gramEnd"/>
      <w:r w:rsidRPr="003C4924">
        <w:rPr>
          <w:i/>
          <w:lang w:val="en-GB"/>
        </w:rPr>
        <w:t xml:space="preserve"> head, he did not yet have the </w:t>
      </w:r>
      <w:proofErr w:type="spellStart"/>
      <w:r w:rsidRPr="003C4924">
        <w:rPr>
          <w:i/>
          <w:lang w:val="en-GB"/>
        </w:rPr>
        <w:t>mens</w:t>
      </w:r>
      <w:proofErr w:type="spellEnd"/>
      <w:r w:rsidRPr="003C4924">
        <w:rPr>
          <w:i/>
          <w:lang w:val="en-GB"/>
        </w:rPr>
        <w:t xml:space="preserve"> rea to kill him. The actions the defendant meted out on N. after kicking him were appalling but did not cause any further injuries. The </w:t>
      </w:r>
      <w:proofErr w:type="spellStart"/>
      <w:r w:rsidRPr="003C4924">
        <w:rPr>
          <w:i/>
          <w:lang w:val="en-GB"/>
        </w:rPr>
        <w:t>Disctrict</w:t>
      </w:r>
      <w:proofErr w:type="spellEnd"/>
      <w:r w:rsidRPr="003C4924">
        <w:rPr>
          <w:i/>
          <w:lang w:val="en-GB"/>
        </w:rPr>
        <w:t xml:space="preserve"> Court has not established that the defendant had the </w:t>
      </w:r>
      <w:proofErr w:type="spellStart"/>
      <w:r w:rsidRPr="003C4924">
        <w:rPr>
          <w:i/>
          <w:lang w:val="en-GB"/>
        </w:rPr>
        <w:t>mens</w:t>
      </w:r>
      <w:proofErr w:type="spellEnd"/>
      <w:r w:rsidRPr="003C4924">
        <w:rPr>
          <w:i/>
          <w:lang w:val="en-GB"/>
        </w:rPr>
        <w:t xml:space="preserve"> rea to kill N. anymore at this point. The </w:t>
      </w:r>
      <w:r w:rsidR="003C4924" w:rsidRPr="003C4924">
        <w:rPr>
          <w:i/>
          <w:lang w:val="en-GB"/>
        </w:rPr>
        <w:t xml:space="preserve">actual actions leading to </w:t>
      </w:r>
      <w:proofErr w:type="gramStart"/>
      <w:r w:rsidR="003C4924" w:rsidRPr="003C4924">
        <w:rPr>
          <w:i/>
          <w:lang w:val="en-GB"/>
        </w:rPr>
        <w:t>N.‘ death</w:t>
      </w:r>
      <w:proofErr w:type="gramEnd"/>
      <w:r w:rsidR="003C4924" w:rsidRPr="003C4924">
        <w:rPr>
          <w:i/>
          <w:lang w:val="en-GB"/>
        </w:rPr>
        <w:t xml:space="preserve"> laste</w:t>
      </w:r>
      <w:r w:rsidR="003C4924">
        <w:rPr>
          <w:i/>
          <w:lang w:val="en-GB"/>
        </w:rPr>
        <w:t>d</w:t>
      </w:r>
      <w:r w:rsidR="003C4924" w:rsidRPr="003C4924">
        <w:rPr>
          <w:i/>
          <w:lang w:val="en-GB"/>
        </w:rPr>
        <w:t xml:space="preserve"> only until a witness interfered and were thus only of short duration.</w:t>
      </w:r>
    </w:p>
    <w:p w14:paraId="3353D4D7" w14:textId="77777777" w:rsidR="00964257" w:rsidRDefault="00964257" w:rsidP="00C81505">
      <w:pPr>
        <w:spacing w:line="360" w:lineRule="auto"/>
        <w:jc w:val="both"/>
        <w:rPr>
          <w:i/>
          <w:lang w:val="en-GB"/>
        </w:rPr>
      </w:pPr>
    </w:p>
    <w:p w14:paraId="32190B9B" w14:textId="77777777" w:rsidR="00964257" w:rsidRDefault="006D1AC0" w:rsidP="00C81505">
      <w:pPr>
        <w:spacing w:line="360" w:lineRule="auto"/>
        <w:jc w:val="both"/>
        <w:rPr>
          <w:lang w:val="en-GB"/>
        </w:rPr>
      </w:pPr>
      <w:r>
        <w:rPr>
          <w:lang w:val="en-GB"/>
        </w:rPr>
        <w:t>In contrast to the judgment rendered by the Moldovan court, both judgments first define the legal notion of ‘cruelty’ and then apply the facts of the case to them in detailed, thorough way.</w:t>
      </w:r>
    </w:p>
    <w:p w14:paraId="05DF0870" w14:textId="77777777" w:rsidR="006D1AC0" w:rsidRDefault="006D1AC0" w:rsidP="00C81505">
      <w:pPr>
        <w:spacing w:line="360" w:lineRule="auto"/>
        <w:jc w:val="both"/>
        <w:rPr>
          <w:lang w:val="en-GB"/>
        </w:rPr>
      </w:pPr>
    </w:p>
    <w:p w14:paraId="58535CF8" w14:textId="77777777" w:rsidR="006D1AC0" w:rsidRDefault="006D1AC0" w:rsidP="00C81505">
      <w:pPr>
        <w:pStyle w:val="berschrift1"/>
        <w:spacing w:line="360" w:lineRule="auto"/>
        <w:rPr>
          <w:lang w:val="en-GB"/>
        </w:rPr>
      </w:pPr>
      <w:bookmarkStart w:id="30" w:name="_Toc3821719"/>
      <w:r>
        <w:rPr>
          <w:lang w:val="en-GB"/>
        </w:rPr>
        <w:t>Recommendation</w:t>
      </w:r>
      <w:r w:rsidR="00DE26CF">
        <w:rPr>
          <w:lang w:val="en-GB"/>
        </w:rPr>
        <w:t>s</w:t>
      </w:r>
      <w:bookmarkEnd w:id="30"/>
    </w:p>
    <w:p w14:paraId="11227D59" w14:textId="77777777" w:rsidR="00DE26CF" w:rsidRPr="0006135B" w:rsidRDefault="00DE26CF" w:rsidP="00C81505">
      <w:pPr>
        <w:spacing w:line="360" w:lineRule="auto"/>
        <w:jc w:val="both"/>
        <w:rPr>
          <w:b/>
          <w:lang w:val="en-GB"/>
        </w:rPr>
      </w:pPr>
    </w:p>
    <w:p w14:paraId="732F7E58" w14:textId="77777777" w:rsidR="00DE26CF" w:rsidRPr="0006135B" w:rsidRDefault="00DE26CF" w:rsidP="00C81505">
      <w:pPr>
        <w:pStyle w:val="Listenabsatz"/>
        <w:numPr>
          <w:ilvl w:val="0"/>
          <w:numId w:val="14"/>
        </w:numPr>
        <w:spacing w:line="360" w:lineRule="auto"/>
        <w:jc w:val="both"/>
        <w:rPr>
          <w:b/>
          <w:lang w:val="en-GB"/>
        </w:rPr>
      </w:pPr>
      <w:r w:rsidRPr="0006135B">
        <w:rPr>
          <w:b/>
          <w:lang w:val="en-GB"/>
        </w:rPr>
        <w:t>Separate courses on legal writing</w:t>
      </w:r>
    </w:p>
    <w:p w14:paraId="000EECF6" w14:textId="77777777" w:rsidR="00DE26CF" w:rsidRDefault="00DE26CF" w:rsidP="00C81505">
      <w:pPr>
        <w:spacing w:line="360" w:lineRule="auto"/>
        <w:jc w:val="both"/>
        <w:rPr>
          <w:lang w:val="en-GB"/>
        </w:rPr>
      </w:pPr>
      <w:r>
        <w:rPr>
          <w:lang w:val="en-GB"/>
        </w:rPr>
        <w:t>A separate course on legal writing should be included in the syllabus of the NIJ. The course should focus on</w:t>
      </w:r>
      <w:r w:rsidR="00EA3B15">
        <w:rPr>
          <w:lang w:val="en-GB"/>
        </w:rPr>
        <w:t xml:space="preserve"> coherence and drafting style rather than</w:t>
      </w:r>
      <w:r>
        <w:rPr>
          <w:lang w:val="en-GB"/>
        </w:rPr>
        <w:t xml:space="preserve"> the formalities of judgments or other legal decision (such as where to indicate the file number, what details regarding the parties to include)</w:t>
      </w:r>
      <w:r w:rsidR="00EA3B15">
        <w:rPr>
          <w:lang w:val="en-GB"/>
        </w:rPr>
        <w:t xml:space="preserve">. </w:t>
      </w:r>
      <w:r w:rsidR="00C07CCE">
        <w:rPr>
          <w:lang w:val="en-GB"/>
        </w:rPr>
        <w:t>In particular, it</w:t>
      </w:r>
      <w:r w:rsidR="00EA3B15">
        <w:rPr>
          <w:lang w:val="en-GB"/>
        </w:rPr>
        <w:t xml:space="preserve"> should contain</w:t>
      </w:r>
      <w:r w:rsidR="00BB2828">
        <w:rPr>
          <w:lang w:val="en-GB"/>
        </w:rPr>
        <w:t xml:space="preserve"> extensive</w:t>
      </w:r>
      <w:r w:rsidR="00EA3B15">
        <w:rPr>
          <w:lang w:val="en-GB"/>
        </w:rPr>
        <w:t xml:space="preserve"> lessons on legal methodology, legal interpretation and legal argumentation. </w:t>
      </w:r>
      <w:r>
        <w:rPr>
          <w:lang w:val="en-GB"/>
        </w:rPr>
        <w:t xml:space="preserve"> </w:t>
      </w:r>
    </w:p>
    <w:p w14:paraId="57A53790" w14:textId="77777777" w:rsidR="00BB2828" w:rsidRDefault="00BB2828" w:rsidP="00C81505">
      <w:pPr>
        <w:spacing w:line="360" w:lineRule="auto"/>
        <w:jc w:val="both"/>
        <w:rPr>
          <w:lang w:val="en-GB"/>
        </w:rPr>
      </w:pPr>
      <w:r>
        <w:rPr>
          <w:lang w:val="en-GB"/>
        </w:rPr>
        <w:t xml:space="preserve">The course should put a strong emphasis on practical exercises; students should receive writing assignments which are assessed in detail. </w:t>
      </w:r>
      <w:r w:rsidR="00017727">
        <w:rPr>
          <w:lang w:val="en-GB"/>
        </w:rPr>
        <w:t xml:space="preserve">Assignments should start with simple exercises (the ‘banana peel case’ quoted above is a good example), not with real judgments. It might be useful to develop a training manual containing exercises for specific learning goals, expectations the students should meet, typical errors, examples of good writing. </w:t>
      </w:r>
    </w:p>
    <w:p w14:paraId="785170DE" w14:textId="77777777" w:rsidR="00017727" w:rsidRDefault="00017727" w:rsidP="00C81505">
      <w:pPr>
        <w:spacing w:line="360" w:lineRule="auto"/>
        <w:jc w:val="both"/>
        <w:rPr>
          <w:lang w:val="en-GB"/>
        </w:rPr>
      </w:pPr>
      <w:r>
        <w:rPr>
          <w:lang w:val="en-GB"/>
        </w:rPr>
        <w:t>The course should also tap on examples from international practices</w:t>
      </w:r>
      <w:r w:rsidR="00A9527D">
        <w:rPr>
          <w:lang w:val="en-GB"/>
        </w:rPr>
        <w:t xml:space="preserve"> and make use of literature on legal writing from various countries.</w:t>
      </w:r>
    </w:p>
    <w:p w14:paraId="6763EF27" w14:textId="77777777" w:rsidR="00BC65E4" w:rsidRDefault="00BC65E4" w:rsidP="00C81505">
      <w:pPr>
        <w:spacing w:line="360" w:lineRule="auto"/>
        <w:jc w:val="both"/>
        <w:rPr>
          <w:lang w:val="en-GB"/>
        </w:rPr>
      </w:pPr>
      <w:r>
        <w:rPr>
          <w:lang w:val="en-GB"/>
        </w:rPr>
        <w:t>More detailed suggestions on this are contained in a separate report.</w:t>
      </w:r>
    </w:p>
    <w:p w14:paraId="7FDAAAC4" w14:textId="77777777" w:rsidR="002B1557" w:rsidRPr="0006135B" w:rsidRDefault="002B1557" w:rsidP="00C81505">
      <w:pPr>
        <w:spacing w:line="360" w:lineRule="auto"/>
        <w:jc w:val="both"/>
        <w:rPr>
          <w:b/>
          <w:lang w:val="en-GB"/>
        </w:rPr>
      </w:pPr>
    </w:p>
    <w:p w14:paraId="02D62E39" w14:textId="77777777" w:rsidR="002B1557" w:rsidRPr="0006135B" w:rsidRDefault="002B1557" w:rsidP="00C81505">
      <w:pPr>
        <w:pStyle w:val="Listenabsatz"/>
        <w:numPr>
          <w:ilvl w:val="0"/>
          <w:numId w:val="14"/>
        </w:numPr>
        <w:spacing w:line="360" w:lineRule="auto"/>
        <w:jc w:val="both"/>
        <w:rPr>
          <w:b/>
          <w:lang w:val="en-GB"/>
        </w:rPr>
      </w:pPr>
      <w:r w:rsidRPr="0006135B">
        <w:rPr>
          <w:b/>
          <w:lang w:val="en-GB"/>
        </w:rPr>
        <w:lastRenderedPageBreak/>
        <w:t xml:space="preserve">Feedback on writing </w:t>
      </w:r>
      <w:r w:rsidR="00A9527D" w:rsidRPr="0006135B">
        <w:rPr>
          <w:b/>
          <w:lang w:val="en-GB"/>
        </w:rPr>
        <w:t>assignments at NIJ</w:t>
      </w:r>
    </w:p>
    <w:p w14:paraId="6DB7EE7C" w14:textId="77777777" w:rsidR="002B1557" w:rsidRDefault="002B1557" w:rsidP="00C81505">
      <w:pPr>
        <w:spacing w:line="360" w:lineRule="auto"/>
        <w:jc w:val="both"/>
        <w:rPr>
          <w:lang w:val="en-GB"/>
        </w:rPr>
      </w:pPr>
      <w:r>
        <w:rPr>
          <w:lang w:val="en-GB"/>
        </w:rPr>
        <w:t xml:space="preserve">The feedback students receive on their writing </w:t>
      </w:r>
      <w:r w:rsidR="00A9527D">
        <w:rPr>
          <w:lang w:val="en-GB"/>
        </w:rPr>
        <w:t>in the frame of mock trials</w:t>
      </w:r>
      <w:r>
        <w:rPr>
          <w:lang w:val="en-GB"/>
        </w:rPr>
        <w:t xml:space="preserve"> should be improved. </w:t>
      </w:r>
      <w:r w:rsidR="00EA69AC">
        <w:rPr>
          <w:lang w:val="en-GB"/>
        </w:rPr>
        <w:t xml:space="preserve">Mentors should highlight strengths and weaknesses of judgments etc. drafted by candidates, discuss alternatives and give concrete suggestions. </w:t>
      </w:r>
    </w:p>
    <w:p w14:paraId="44450A94" w14:textId="77777777" w:rsidR="00A9527D" w:rsidRDefault="00A9527D" w:rsidP="00C81505">
      <w:pPr>
        <w:spacing w:line="360" w:lineRule="auto"/>
        <w:jc w:val="both"/>
        <w:rPr>
          <w:lang w:val="en-GB"/>
        </w:rPr>
      </w:pPr>
    </w:p>
    <w:p w14:paraId="27B3A02A" w14:textId="77777777" w:rsidR="00A9527D" w:rsidRPr="0006135B" w:rsidRDefault="00A9527D" w:rsidP="00C81505">
      <w:pPr>
        <w:pStyle w:val="Listenabsatz"/>
        <w:numPr>
          <w:ilvl w:val="0"/>
          <w:numId w:val="14"/>
        </w:numPr>
        <w:spacing w:line="360" w:lineRule="auto"/>
        <w:jc w:val="both"/>
        <w:rPr>
          <w:b/>
          <w:lang w:val="en-GB"/>
        </w:rPr>
      </w:pPr>
      <w:r w:rsidRPr="0006135B">
        <w:rPr>
          <w:b/>
          <w:lang w:val="en-GB"/>
        </w:rPr>
        <w:t>Writing assignments during mock trials</w:t>
      </w:r>
    </w:p>
    <w:p w14:paraId="31144147" w14:textId="77777777" w:rsidR="00A9527D" w:rsidRDefault="00A9527D" w:rsidP="00C81505">
      <w:pPr>
        <w:spacing w:line="360" w:lineRule="auto"/>
        <w:jc w:val="both"/>
        <w:rPr>
          <w:lang w:val="en-GB"/>
        </w:rPr>
      </w:pPr>
      <w:r>
        <w:rPr>
          <w:lang w:val="en-GB"/>
        </w:rPr>
        <w:t>The mock trials</w:t>
      </w:r>
      <w:r w:rsidR="00EF6989">
        <w:rPr>
          <w:lang w:val="en-GB"/>
        </w:rPr>
        <w:t xml:space="preserve"> conducted at the NIJ should be designed to contain more writing assignments. Candidates should be encouraged to submit motions on important points in writing. The mock trials should focus on typical and crucial situations (such as motions regarding the admissibility or submission of evidence or pre-trial detention) and try to develop transferable skills rather than trying to prepare candidates for far-fetched scenarios (such as witnesses fainting in court).</w:t>
      </w:r>
    </w:p>
    <w:p w14:paraId="71190859" w14:textId="77777777" w:rsidR="009143EC" w:rsidRDefault="009143EC" w:rsidP="00C81505">
      <w:pPr>
        <w:spacing w:line="360" w:lineRule="auto"/>
        <w:jc w:val="both"/>
        <w:rPr>
          <w:lang w:val="en-GB"/>
        </w:rPr>
      </w:pPr>
    </w:p>
    <w:p w14:paraId="68622A14" w14:textId="77777777" w:rsidR="009143EC" w:rsidRDefault="005042AB" w:rsidP="00C81505">
      <w:pPr>
        <w:pStyle w:val="Listenabsatz"/>
        <w:numPr>
          <w:ilvl w:val="0"/>
          <w:numId w:val="14"/>
        </w:numPr>
        <w:spacing w:line="360" w:lineRule="auto"/>
        <w:jc w:val="both"/>
        <w:rPr>
          <w:b/>
          <w:lang w:val="en-GB"/>
        </w:rPr>
      </w:pPr>
      <w:r w:rsidRPr="005042AB">
        <w:rPr>
          <w:b/>
          <w:lang w:val="en-GB"/>
        </w:rPr>
        <w:t>Course on legal drafting as part of continuing legal education</w:t>
      </w:r>
    </w:p>
    <w:p w14:paraId="18F522E6" w14:textId="77777777" w:rsidR="005042AB" w:rsidRDefault="00B07C58" w:rsidP="00C81505">
      <w:pPr>
        <w:spacing w:line="360" w:lineRule="auto"/>
        <w:jc w:val="both"/>
        <w:rPr>
          <w:lang w:val="en-GB"/>
        </w:rPr>
      </w:pPr>
      <w:r>
        <w:rPr>
          <w:lang w:val="en-GB"/>
        </w:rPr>
        <w:t>Courses or seminar on legal writing should be included in syllabus</w:t>
      </w:r>
      <w:r w:rsidR="00380B67">
        <w:rPr>
          <w:lang w:val="en-GB"/>
        </w:rPr>
        <w:t xml:space="preserve"> for continuing legal education of judges. The could, for example, comprise of discussing a judgment rendered by a court in detail, legal methodology or present practices from other jurisdictions. </w:t>
      </w:r>
    </w:p>
    <w:p w14:paraId="0F489F09" w14:textId="77777777" w:rsidR="00CE6512" w:rsidRDefault="00CE6512" w:rsidP="00C81505">
      <w:pPr>
        <w:spacing w:line="360" w:lineRule="auto"/>
        <w:jc w:val="both"/>
        <w:rPr>
          <w:lang w:val="en-GB"/>
        </w:rPr>
      </w:pPr>
      <w:r>
        <w:rPr>
          <w:lang w:val="en-GB"/>
        </w:rPr>
        <w:t>Similar courses should be offered for prosecutors and legal assistants (the latter being, according to some interlocutors, the persons drafting the bulk of judgments).</w:t>
      </w:r>
    </w:p>
    <w:p w14:paraId="7009C8B3" w14:textId="3386B3C7" w:rsidR="00CE6512" w:rsidRDefault="00CE6512" w:rsidP="00C81505">
      <w:pPr>
        <w:spacing w:line="360" w:lineRule="auto"/>
        <w:jc w:val="both"/>
        <w:rPr>
          <w:lang w:val="en-GB"/>
        </w:rPr>
      </w:pPr>
      <w:r>
        <w:rPr>
          <w:lang w:val="en-GB"/>
        </w:rPr>
        <w:t xml:space="preserve">The course should be different from the ones offered to candidates. It should be borne in mind that many of the participants will have several years, in some cases decades of experience drafting judgments and legal documents. This is positive in that these participants already have significant knowledge of problems occurring in practice. It may also pose a difficulty since these participants will in most cases have a tendency to stick to what they always </w:t>
      </w:r>
      <w:r w:rsidR="008A510F">
        <w:rPr>
          <w:lang w:val="en-GB"/>
        </w:rPr>
        <w:t xml:space="preserve">used to </w:t>
      </w:r>
      <w:bookmarkStart w:id="31" w:name="_GoBack"/>
      <w:bookmarkEnd w:id="31"/>
      <w:r w:rsidR="008A510F">
        <w:rPr>
          <w:lang w:val="en-GB"/>
        </w:rPr>
        <w:t>do</w:t>
      </w:r>
      <w:r>
        <w:rPr>
          <w:lang w:val="en-GB"/>
        </w:rPr>
        <w:t xml:space="preserve">. </w:t>
      </w:r>
    </w:p>
    <w:p w14:paraId="42657037" w14:textId="77777777" w:rsidR="00912581" w:rsidRPr="00B07C58" w:rsidRDefault="00CE6512" w:rsidP="00C81505">
      <w:pPr>
        <w:spacing w:line="360" w:lineRule="auto"/>
        <w:jc w:val="both"/>
        <w:rPr>
          <w:lang w:val="en-GB"/>
        </w:rPr>
      </w:pPr>
      <w:r>
        <w:rPr>
          <w:lang w:val="en-GB"/>
        </w:rPr>
        <w:t>A possible approach might be to deal with judgments which have been found to constitute a violation of the ECHR by the Strasbourg court later on (constituting proof that the judgment was not good), to discuss the short-comings and then to turn to writing assignments aiming to improve these judgments.</w:t>
      </w:r>
    </w:p>
    <w:p w14:paraId="488ECB1E" w14:textId="77777777" w:rsidR="00EF6989" w:rsidRDefault="00EF6989" w:rsidP="00C81505">
      <w:pPr>
        <w:spacing w:line="360" w:lineRule="auto"/>
        <w:jc w:val="both"/>
        <w:rPr>
          <w:lang w:val="en-GB"/>
        </w:rPr>
      </w:pPr>
    </w:p>
    <w:p w14:paraId="29130F46" w14:textId="77777777" w:rsidR="00EF6989" w:rsidRPr="00C94E45" w:rsidRDefault="00035BA5" w:rsidP="00C81505">
      <w:pPr>
        <w:pStyle w:val="Listenabsatz"/>
        <w:numPr>
          <w:ilvl w:val="0"/>
          <w:numId w:val="14"/>
        </w:numPr>
        <w:spacing w:line="360" w:lineRule="auto"/>
        <w:jc w:val="both"/>
        <w:rPr>
          <w:b/>
          <w:lang w:val="en-GB"/>
        </w:rPr>
      </w:pPr>
      <w:r w:rsidRPr="00C94E45">
        <w:rPr>
          <w:b/>
          <w:lang w:val="en-GB"/>
        </w:rPr>
        <w:t>Working groups on quality of judgments</w:t>
      </w:r>
    </w:p>
    <w:p w14:paraId="5B3DADF2" w14:textId="77777777" w:rsidR="00035BA5" w:rsidRDefault="001D7F9A" w:rsidP="00C81505">
      <w:pPr>
        <w:spacing w:line="360" w:lineRule="auto"/>
        <w:jc w:val="both"/>
        <w:rPr>
          <w:lang w:val="en-GB"/>
        </w:rPr>
      </w:pPr>
      <w:r>
        <w:rPr>
          <w:lang w:val="en-GB"/>
        </w:rPr>
        <w:t xml:space="preserve">Working groups should be established to discuss the current practice of judgment drafting in Moldova and ways to improve it. </w:t>
      </w:r>
      <w:r w:rsidR="006239ED">
        <w:rPr>
          <w:lang w:val="en-GB"/>
        </w:rPr>
        <w:t xml:space="preserve">The working group should develop a set of recommendations on how to draft </w:t>
      </w:r>
      <w:r w:rsidR="006239ED">
        <w:rPr>
          <w:lang w:val="en-GB"/>
        </w:rPr>
        <w:lastRenderedPageBreak/>
        <w:t>judgments best in the frame of the Moldovan legal framework, which should ultimately be endorsed by the Supreme Court by way of an advisory opinion. The working group should be supported by the international community by furnishing translated examples of judgments from various jurisdictions and by translating literature on legal reasoning and related topics.</w:t>
      </w:r>
    </w:p>
    <w:p w14:paraId="6846FB9F" w14:textId="77777777" w:rsidR="00912581" w:rsidRPr="00035BA5" w:rsidRDefault="00912581" w:rsidP="00C81505">
      <w:pPr>
        <w:spacing w:line="360" w:lineRule="auto"/>
        <w:jc w:val="both"/>
        <w:rPr>
          <w:lang w:val="en-GB"/>
        </w:rPr>
      </w:pPr>
      <w:r>
        <w:rPr>
          <w:lang w:val="en-GB"/>
        </w:rPr>
        <w:t>These working groups could also discuss the possibility of introducing ‘standard formats’ or ‘templates’ for judgements. Such standard formats are unlikely to improve the reasoning of judgments as such. They may, however, provide guidance on how to structure a judgment which may be helpful to present the facts and main legal issues in a logically organized way. I have provided a sample of the format used in Germany in a different paper which may serve as food for thought in the discussion.</w:t>
      </w:r>
    </w:p>
    <w:p w14:paraId="062FF362" w14:textId="77777777" w:rsidR="00DE26CF" w:rsidRPr="00DE26CF" w:rsidRDefault="00DE26CF" w:rsidP="00C81505">
      <w:pPr>
        <w:spacing w:line="360" w:lineRule="auto"/>
        <w:jc w:val="both"/>
        <w:rPr>
          <w:lang w:val="en-GB"/>
        </w:rPr>
      </w:pPr>
    </w:p>
    <w:p w14:paraId="7898AA4D" w14:textId="77777777" w:rsidR="00B96B4E" w:rsidRPr="00B96B4E" w:rsidRDefault="00B96B4E" w:rsidP="00C81505">
      <w:pPr>
        <w:spacing w:line="360" w:lineRule="auto"/>
        <w:jc w:val="both"/>
        <w:rPr>
          <w:lang w:val="en-GB"/>
        </w:rPr>
      </w:pPr>
    </w:p>
    <w:p w14:paraId="13CA328D" w14:textId="77777777" w:rsidR="00B96B4E" w:rsidRPr="00B96B4E" w:rsidRDefault="00B96B4E" w:rsidP="00C81505">
      <w:pPr>
        <w:spacing w:line="360" w:lineRule="auto"/>
        <w:jc w:val="both"/>
        <w:rPr>
          <w:lang w:val="en-GB"/>
        </w:rPr>
      </w:pPr>
    </w:p>
    <w:p w14:paraId="4F021853" w14:textId="77777777" w:rsidR="00A91C82" w:rsidRPr="00A91C82" w:rsidRDefault="00A91C82" w:rsidP="00C81505">
      <w:pPr>
        <w:spacing w:line="360" w:lineRule="auto"/>
        <w:jc w:val="both"/>
        <w:rPr>
          <w:lang w:val="en-GB"/>
        </w:rPr>
      </w:pPr>
    </w:p>
    <w:p w14:paraId="1E6BFE79" w14:textId="77777777" w:rsidR="00111C2E" w:rsidRPr="00A91C82" w:rsidRDefault="00111C2E" w:rsidP="00C81505">
      <w:pPr>
        <w:spacing w:line="360" w:lineRule="auto"/>
        <w:jc w:val="both"/>
        <w:rPr>
          <w:i/>
          <w:lang w:val="en-GB"/>
        </w:rPr>
      </w:pPr>
    </w:p>
    <w:p w14:paraId="300E2506" w14:textId="77777777" w:rsidR="00111C2E" w:rsidRPr="00A91C82" w:rsidRDefault="00111C2E" w:rsidP="00C81505">
      <w:pPr>
        <w:spacing w:line="360" w:lineRule="auto"/>
        <w:jc w:val="both"/>
        <w:rPr>
          <w:i/>
          <w:lang w:val="en-GB"/>
        </w:rPr>
      </w:pPr>
    </w:p>
    <w:p w14:paraId="29AF3272" w14:textId="77777777" w:rsidR="00111C2E" w:rsidRPr="00A91C82" w:rsidRDefault="00111C2E" w:rsidP="00C81505">
      <w:pPr>
        <w:spacing w:line="360" w:lineRule="auto"/>
        <w:jc w:val="both"/>
        <w:rPr>
          <w:i/>
          <w:lang w:val="en-GB"/>
        </w:rPr>
      </w:pPr>
    </w:p>
    <w:p w14:paraId="412EFC08" w14:textId="77777777" w:rsidR="00AE0CF0" w:rsidRPr="00A91C82" w:rsidRDefault="00AE0CF0" w:rsidP="00C81505">
      <w:pPr>
        <w:spacing w:line="360" w:lineRule="auto"/>
        <w:jc w:val="both"/>
        <w:rPr>
          <w:i/>
          <w:lang w:val="en-GB"/>
        </w:rPr>
      </w:pPr>
    </w:p>
    <w:p w14:paraId="428796B9" w14:textId="77777777" w:rsidR="005C4511" w:rsidRPr="00A91C82" w:rsidRDefault="005C4511" w:rsidP="00C81505">
      <w:pPr>
        <w:spacing w:line="360" w:lineRule="auto"/>
        <w:jc w:val="both"/>
        <w:rPr>
          <w:i/>
          <w:lang w:val="en-GB"/>
        </w:rPr>
      </w:pPr>
    </w:p>
    <w:p w14:paraId="66AE0C8C" w14:textId="77777777" w:rsidR="00E713BF" w:rsidRPr="00A91C82" w:rsidRDefault="00E713BF" w:rsidP="00C81505">
      <w:pPr>
        <w:spacing w:line="360" w:lineRule="auto"/>
        <w:jc w:val="both"/>
        <w:rPr>
          <w:i/>
          <w:lang w:val="en-GB"/>
        </w:rPr>
      </w:pPr>
    </w:p>
    <w:p w14:paraId="3E2452CB" w14:textId="77777777" w:rsidR="00F62707" w:rsidRPr="00A91C82" w:rsidRDefault="00F62707" w:rsidP="00C81505">
      <w:pPr>
        <w:spacing w:line="360" w:lineRule="auto"/>
        <w:jc w:val="both"/>
        <w:rPr>
          <w:i/>
          <w:lang w:val="en-GB"/>
        </w:rPr>
      </w:pPr>
    </w:p>
    <w:sectPr w:rsidR="00F62707" w:rsidRPr="00A91C82" w:rsidSect="00BA2EC1">
      <w:footerReference w:type="default" r:id="rId15"/>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Alexei Ghertescu" w:date="2019-03-07T12:16:00Z" w:initials="AG">
    <w:p w14:paraId="3A9A2098" w14:textId="77777777" w:rsidR="00D17E2F" w:rsidRPr="00D17E2F" w:rsidRDefault="00D17E2F">
      <w:pPr>
        <w:pStyle w:val="Kommentartext"/>
        <w:rPr>
          <w:lang w:val="en-GB"/>
        </w:rPr>
      </w:pPr>
      <w:r>
        <w:rPr>
          <w:rStyle w:val="Kommentarzeichen"/>
        </w:rPr>
        <w:annotationRef/>
      </w:r>
      <w:r w:rsidRPr="00D17E2F">
        <w:rPr>
          <w:lang w:val="en-GB"/>
        </w:rPr>
        <w:t xml:space="preserve">Citation </w:t>
      </w:r>
      <w:proofErr w:type="gramStart"/>
      <w:r w:rsidRPr="00D17E2F">
        <w:rPr>
          <w:lang w:val="en-GB"/>
        </w:rPr>
        <w:t>needed</w:t>
      </w:r>
      <w:proofErr w:type="gramEnd"/>
      <w:r w:rsidRPr="00D17E2F">
        <w:rPr>
          <w:lang w:val="en-GB"/>
        </w:rPr>
        <w:t xml:space="preserve"> I think.</w:t>
      </w:r>
    </w:p>
  </w:comment>
  <w:comment w:id="19" w:author="Holger Hembach" w:date="2019-03-18T17:03:00Z" w:initials="HH">
    <w:p w14:paraId="6F9801E5" w14:textId="1545E9A3" w:rsidR="00D85F30" w:rsidRPr="00D85F30" w:rsidRDefault="00D85F30">
      <w:pPr>
        <w:pStyle w:val="Kommentartext"/>
        <w:rPr>
          <w:lang w:val="en-GB"/>
        </w:rPr>
      </w:pPr>
      <w:r>
        <w:rPr>
          <w:rStyle w:val="Kommentarzeichen"/>
        </w:rPr>
        <w:annotationRef/>
      </w:r>
      <w:r w:rsidRPr="00D85F30">
        <w:rPr>
          <w:lang w:val="en-GB"/>
        </w:rPr>
        <w:t>That is the s</w:t>
      </w:r>
      <w:r>
        <w:rPr>
          <w:lang w:val="en-GB"/>
        </w:rPr>
        <w:t>tatistic Valentin sent us. The title is not translated.</w:t>
      </w:r>
    </w:p>
  </w:comment>
  <w:comment w:id="20" w:author="Alexei Ghertescu" w:date="2019-03-07T12:18:00Z" w:initials="AG">
    <w:p w14:paraId="45E1366B" w14:textId="77777777" w:rsidR="00D17E2F" w:rsidRPr="00D17E2F" w:rsidRDefault="00D17E2F">
      <w:pPr>
        <w:pStyle w:val="Kommentartext"/>
        <w:rPr>
          <w:lang w:val="en-GB"/>
        </w:rPr>
      </w:pPr>
      <w:r>
        <w:rPr>
          <w:rStyle w:val="Kommentarzeichen"/>
        </w:rPr>
        <w:annotationRef/>
      </w:r>
      <w:r w:rsidRPr="00D17E2F">
        <w:rPr>
          <w:lang w:val="en-GB"/>
        </w:rPr>
        <w:t>I think it is possible to get the data on the number of judges in each court. Do you think we need it? If not, I think we should reformulate this paragraph.</w:t>
      </w:r>
    </w:p>
  </w:comment>
  <w:comment w:id="21" w:author="Holger Hembach" w:date="2019-03-18T17:04:00Z" w:initials="HH">
    <w:p w14:paraId="3620BD99" w14:textId="14FCEB23" w:rsidR="00D85F30" w:rsidRPr="00D85F30" w:rsidRDefault="00D85F30">
      <w:pPr>
        <w:pStyle w:val="Kommentartext"/>
        <w:rPr>
          <w:lang w:val="en-GB"/>
        </w:rPr>
      </w:pPr>
      <w:r>
        <w:rPr>
          <w:rStyle w:val="Kommentarzeichen"/>
        </w:rPr>
        <w:annotationRef/>
      </w:r>
      <w:r w:rsidRPr="00D85F30">
        <w:rPr>
          <w:lang w:val="en-GB"/>
        </w:rPr>
        <w:t>I think we should d</w:t>
      </w:r>
      <w:r>
        <w:rPr>
          <w:lang w:val="en-GB"/>
        </w:rPr>
        <w:t>o without it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9A2098" w15:done="0"/>
  <w15:commentEx w15:paraId="6F9801E5" w15:paraIdParent="3A9A2098" w15:done="0"/>
  <w15:commentEx w15:paraId="45E1366B" w15:done="0"/>
  <w15:commentEx w15:paraId="3620BD99" w15:paraIdParent="45E136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9A2098" w16cid:durableId="203A4172"/>
  <w16cid:commentId w16cid:paraId="6F9801E5" w16cid:durableId="203A4DEC"/>
  <w16cid:commentId w16cid:paraId="45E1366B" w16cid:durableId="203A4173"/>
  <w16cid:commentId w16cid:paraId="3620BD99" w16cid:durableId="203A4E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7370B" w14:textId="77777777" w:rsidR="00E13D0B" w:rsidRDefault="00E13D0B" w:rsidP="0017253A">
      <w:pPr>
        <w:spacing w:after="0" w:line="240" w:lineRule="auto"/>
      </w:pPr>
      <w:r>
        <w:separator/>
      </w:r>
    </w:p>
  </w:endnote>
  <w:endnote w:type="continuationSeparator" w:id="0">
    <w:p w14:paraId="7D55A889" w14:textId="77777777" w:rsidR="00E13D0B" w:rsidRDefault="00E13D0B" w:rsidP="00172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6115297"/>
      <w:docPartObj>
        <w:docPartGallery w:val="Page Numbers (Bottom of Page)"/>
        <w:docPartUnique/>
      </w:docPartObj>
    </w:sdtPr>
    <w:sdtContent>
      <w:p w14:paraId="35681897" w14:textId="77777777" w:rsidR="00D17E2F" w:rsidRDefault="00D17E2F">
        <w:pPr>
          <w:pStyle w:val="Fuzeile"/>
          <w:jc w:val="right"/>
        </w:pPr>
        <w:r>
          <w:rPr>
            <w:noProof/>
          </w:rPr>
          <w:fldChar w:fldCharType="begin"/>
        </w:r>
        <w:r>
          <w:rPr>
            <w:noProof/>
          </w:rPr>
          <w:instrText>PAGE   \* MERGEFORMAT</w:instrText>
        </w:r>
        <w:r>
          <w:rPr>
            <w:noProof/>
          </w:rPr>
          <w:fldChar w:fldCharType="separate"/>
        </w:r>
        <w:r>
          <w:rPr>
            <w:noProof/>
          </w:rPr>
          <w:t>56</w:t>
        </w:r>
        <w:r>
          <w:rPr>
            <w:noProof/>
          </w:rPr>
          <w:fldChar w:fldCharType="end"/>
        </w:r>
      </w:p>
    </w:sdtContent>
  </w:sdt>
  <w:p w14:paraId="758426A1" w14:textId="77777777" w:rsidR="00D17E2F" w:rsidRDefault="00D17E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19080" w14:textId="77777777" w:rsidR="00E13D0B" w:rsidRDefault="00E13D0B" w:rsidP="0017253A">
      <w:pPr>
        <w:spacing w:after="0" w:line="240" w:lineRule="auto"/>
      </w:pPr>
      <w:r>
        <w:separator/>
      </w:r>
    </w:p>
  </w:footnote>
  <w:footnote w:type="continuationSeparator" w:id="0">
    <w:p w14:paraId="73F3964F" w14:textId="77777777" w:rsidR="00E13D0B" w:rsidRDefault="00E13D0B" w:rsidP="0017253A">
      <w:pPr>
        <w:spacing w:after="0" w:line="240" w:lineRule="auto"/>
      </w:pPr>
      <w:r>
        <w:continuationSeparator/>
      </w:r>
    </w:p>
  </w:footnote>
  <w:footnote w:id="1">
    <w:p w14:paraId="7717B84D" w14:textId="77777777" w:rsidR="00D17E2F" w:rsidRPr="00DD5D53" w:rsidRDefault="00D17E2F" w:rsidP="00C71B5B">
      <w:pPr>
        <w:pStyle w:val="Funotentext"/>
        <w:rPr>
          <w:lang w:val="en-GB"/>
        </w:rPr>
      </w:pPr>
      <w:r>
        <w:rPr>
          <w:rStyle w:val="Funotenzeichen"/>
        </w:rPr>
        <w:footnoteRef/>
      </w:r>
      <w:r w:rsidRPr="00DD5D53">
        <w:rPr>
          <w:lang w:val="en-GB"/>
        </w:rPr>
        <w:t xml:space="preserve"> </w:t>
      </w:r>
      <w:r w:rsidRPr="00A660B7">
        <w:rPr>
          <w:sz w:val="18"/>
          <w:szCs w:val="18"/>
          <w:lang w:val="en-GB"/>
        </w:rPr>
        <w:t>The Red Book – A Manual on Legal Style, 2</w:t>
      </w:r>
      <w:r w:rsidRPr="00A660B7">
        <w:rPr>
          <w:sz w:val="18"/>
          <w:szCs w:val="18"/>
          <w:vertAlign w:val="superscript"/>
          <w:lang w:val="en-GB"/>
        </w:rPr>
        <w:t>nd</w:t>
      </w:r>
      <w:r w:rsidRPr="00A660B7">
        <w:rPr>
          <w:sz w:val="18"/>
          <w:szCs w:val="18"/>
          <w:lang w:val="en-GB"/>
        </w:rPr>
        <w:t xml:space="preserve"> edition at 23.2.</w:t>
      </w:r>
    </w:p>
  </w:footnote>
  <w:footnote w:id="2">
    <w:p w14:paraId="64064780" w14:textId="77777777" w:rsidR="00D17E2F" w:rsidRPr="00684939" w:rsidRDefault="00D17E2F">
      <w:pPr>
        <w:pStyle w:val="Funotentext"/>
        <w:rPr>
          <w:lang w:val="en-GB"/>
        </w:rPr>
      </w:pPr>
      <w:r>
        <w:rPr>
          <w:rStyle w:val="Funotenzeichen"/>
        </w:rPr>
        <w:footnoteRef/>
      </w:r>
      <w:r w:rsidRPr="00684939">
        <w:rPr>
          <w:lang w:val="en-GB"/>
        </w:rPr>
        <w:t xml:space="preserve"> </w:t>
      </w:r>
      <w:r w:rsidRPr="00684939">
        <w:rPr>
          <w:sz w:val="18"/>
          <w:szCs w:val="18"/>
          <w:lang w:val="en-GB"/>
        </w:rPr>
        <w:t>Perez v. France, Grand Chamber Judgment, application no. 47287/99</w:t>
      </w:r>
      <w:r>
        <w:rPr>
          <w:sz w:val="18"/>
          <w:szCs w:val="18"/>
          <w:lang w:val="en-GB"/>
        </w:rPr>
        <w:t>, para 80</w:t>
      </w:r>
    </w:p>
  </w:footnote>
  <w:footnote w:id="3">
    <w:p w14:paraId="5FF1D822" w14:textId="77777777" w:rsidR="00D17E2F" w:rsidRPr="00684939" w:rsidRDefault="00D17E2F">
      <w:pPr>
        <w:pStyle w:val="Funotentext"/>
        <w:rPr>
          <w:sz w:val="18"/>
          <w:szCs w:val="18"/>
          <w:lang w:val="en-GB"/>
        </w:rPr>
      </w:pPr>
      <w:r>
        <w:rPr>
          <w:rStyle w:val="Funotenzeichen"/>
        </w:rPr>
        <w:footnoteRef/>
      </w:r>
      <w:r w:rsidRPr="00684939">
        <w:rPr>
          <w:lang w:val="en-GB"/>
        </w:rPr>
        <w:t xml:space="preserve"> </w:t>
      </w:r>
      <w:proofErr w:type="spellStart"/>
      <w:r w:rsidRPr="00684939">
        <w:rPr>
          <w:sz w:val="18"/>
          <w:szCs w:val="18"/>
          <w:lang w:val="en-GB"/>
        </w:rPr>
        <w:t>Taxquet</w:t>
      </w:r>
      <w:proofErr w:type="spellEnd"/>
      <w:r w:rsidRPr="00684939">
        <w:rPr>
          <w:sz w:val="18"/>
          <w:szCs w:val="18"/>
          <w:lang w:val="en-GB"/>
        </w:rPr>
        <w:t xml:space="preserve"> v Belgium, Grand Chamber Judgement, application no. 926/05, para 91</w:t>
      </w:r>
    </w:p>
  </w:footnote>
  <w:footnote w:id="4">
    <w:p w14:paraId="5BFD7A00" w14:textId="77777777" w:rsidR="00D17E2F" w:rsidRPr="00FA220E" w:rsidRDefault="00D17E2F">
      <w:pPr>
        <w:pStyle w:val="Funotentext"/>
        <w:rPr>
          <w:lang w:val="en-GB"/>
        </w:rPr>
      </w:pPr>
      <w:r>
        <w:rPr>
          <w:rStyle w:val="Funotenzeichen"/>
        </w:rPr>
        <w:footnoteRef/>
      </w:r>
      <w:r w:rsidRPr="00FA220E">
        <w:rPr>
          <w:lang w:val="en-GB"/>
        </w:rPr>
        <w:t xml:space="preserve"> </w:t>
      </w:r>
      <w:proofErr w:type="spellStart"/>
      <w:r w:rsidRPr="00FA220E">
        <w:rPr>
          <w:sz w:val="18"/>
          <w:szCs w:val="18"/>
          <w:lang w:val="en-GB"/>
        </w:rPr>
        <w:t>Lacatus</w:t>
      </w:r>
      <w:proofErr w:type="spellEnd"/>
      <w:r w:rsidRPr="00FA220E">
        <w:rPr>
          <w:sz w:val="18"/>
          <w:szCs w:val="18"/>
          <w:lang w:val="en-GB"/>
        </w:rPr>
        <w:t xml:space="preserve"> and others v Romania, application no. 12694/04, para 97</w:t>
      </w:r>
    </w:p>
  </w:footnote>
  <w:footnote w:id="5">
    <w:p w14:paraId="263E3030" w14:textId="77777777" w:rsidR="00D17E2F" w:rsidRPr="00EF25B9" w:rsidRDefault="00D17E2F">
      <w:pPr>
        <w:pStyle w:val="Funotentext"/>
        <w:rPr>
          <w:lang w:val="en-GB"/>
        </w:rPr>
      </w:pPr>
      <w:r>
        <w:rPr>
          <w:rStyle w:val="Funotenzeichen"/>
        </w:rPr>
        <w:footnoteRef/>
      </w:r>
      <w:r w:rsidRPr="00EF25B9">
        <w:rPr>
          <w:lang w:val="en-GB"/>
        </w:rPr>
        <w:t xml:space="preserve"> </w:t>
      </w:r>
      <w:r w:rsidRPr="00EF25B9">
        <w:rPr>
          <w:sz w:val="18"/>
          <w:szCs w:val="18"/>
          <w:lang w:val="en-GB"/>
        </w:rPr>
        <w:t>application no. 36552/02</w:t>
      </w:r>
    </w:p>
  </w:footnote>
  <w:footnote w:id="6">
    <w:p w14:paraId="3ACB6147" w14:textId="77777777" w:rsidR="00D17E2F" w:rsidRPr="00D52C0C" w:rsidRDefault="00D17E2F">
      <w:pPr>
        <w:pStyle w:val="Funotentext"/>
        <w:rPr>
          <w:lang w:val="en-GB"/>
        </w:rPr>
      </w:pPr>
      <w:r>
        <w:rPr>
          <w:rStyle w:val="Funotenzeichen"/>
        </w:rPr>
        <w:footnoteRef/>
      </w:r>
      <w:r w:rsidRPr="00D52C0C">
        <w:rPr>
          <w:lang w:val="en-GB"/>
        </w:rPr>
        <w:t xml:space="preserve"> Hiro</w:t>
      </w:r>
      <w:r>
        <w:rPr>
          <w:lang w:val="en-GB"/>
        </w:rPr>
        <w:t xml:space="preserve"> </w:t>
      </w:r>
      <w:proofErr w:type="spellStart"/>
      <w:r>
        <w:rPr>
          <w:lang w:val="en-GB"/>
        </w:rPr>
        <w:t>Balani</w:t>
      </w:r>
      <w:proofErr w:type="spellEnd"/>
      <w:r>
        <w:rPr>
          <w:lang w:val="en-GB"/>
        </w:rPr>
        <w:t xml:space="preserve"> v. Spain, application no. 18064/91, judgment of 9 December 1994</w:t>
      </w:r>
    </w:p>
  </w:footnote>
  <w:footnote w:id="7">
    <w:p w14:paraId="275FB158" w14:textId="77777777" w:rsidR="00D17E2F" w:rsidRPr="00475D9C" w:rsidRDefault="00D17E2F" w:rsidP="00F2533B">
      <w:pPr>
        <w:pStyle w:val="Funotentext"/>
        <w:rPr>
          <w:lang w:val="en-GB"/>
        </w:rPr>
      </w:pPr>
      <w:r>
        <w:rPr>
          <w:rStyle w:val="Funotenzeichen"/>
        </w:rPr>
        <w:footnoteRef/>
      </w:r>
      <w:r w:rsidRPr="00475D9C">
        <w:rPr>
          <w:lang w:val="en-GB"/>
        </w:rPr>
        <w:t xml:space="preserve"> Wagner and J.M.W.</w:t>
      </w:r>
      <w:r>
        <w:rPr>
          <w:lang w:val="en-GB"/>
        </w:rPr>
        <w:t>L v Luxembourg, para 96</w:t>
      </w:r>
    </w:p>
  </w:footnote>
  <w:footnote w:id="8">
    <w:p w14:paraId="1D233A90" w14:textId="77777777" w:rsidR="00D17E2F" w:rsidRPr="00626559" w:rsidRDefault="00D17E2F">
      <w:pPr>
        <w:pStyle w:val="Funotentext"/>
        <w:rPr>
          <w:lang w:val="en-GB"/>
        </w:rPr>
      </w:pPr>
      <w:r>
        <w:rPr>
          <w:rStyle w:val="Funotenzeichen"/>
        </w:rPr>
        <w:footnoteRef/>
      </w:r>
      <w:r w:rsidRPr="00626559">
        <w:rPr>
          <w:lang w:val="en-GB"/>
        </w:rPr>
        <w:t xml:space="preserve"> </w:t>
      </w:r>
      <w:r>
        <w:rPr>
          <w:lang w:val="en-GB"/>
        </w:rPr>
        <w:t>application no. 21279/02, para 45 in fine</w:t>
      </w:r>
    </w:p>
  </w:footnote>
  <w:footnote w:id="9">
    <w:p w14:paraId="6B8A65A0" w14:textId="77777777" w:rsidR="00D17E2F" w:rsidRPr="008B77A5" w:rsidRDefault="00D17E2F">
      <w:pPr>
        <w:pStyle w:val="Funotentext"/>
        <w:rPr>
          <w:lang w:val="en-GB"/>
        </w:rPr>
      </w:pPr>
      <w:r>
        <w:rPr>
          <w:rStyle w:val="Funotenzeichen"/>
        </w:rPr>
        <w:footnoteRef/>
      </w:r>
      <w:r w:rsidRPr="008B77A5">
        <w:rPr>
          <w:lang w:val="en-GB"/>
        </w:rPr>
        <w:t xml:space="preserve"> </w:t>
      </w:r>
      <w:r w:rsidR="008B77A5" w:rsidRPr="008B77A5">
        <w:rPr>
          <w:lang w:val="en-GB"/>
        </w:rPr>
        <w:t xml:space="preserve">Standard </w:t>
      </w:r>
      <w:proofErr w:type="spellStart"/>
      <w:r w:rsidR="008B77A5" w:rsidRPr="008B77A5">
        <w:rPr>
          <w:lang w:val="en-GB"/>
        </w:rPr>
        <w:t>Verlags</w:t>
      </w:r>
      <w:proofErr w:type="spellEnd"/>
      <w:r w:rsidR="008B77A5" w:rsidRPr="008B77A5">
        <w:rPr>
          <w:lang w:val="en-GB"/>
        </w:rPr>
        <w:t xml:space="preserve"> GmbH v. Austria (no. 3), applic</w:t>
      </w:r>
      <w:r w:rsidR="008B77A5">
        <w:rPr>
          <w:lang w:val="en-GB"/>
        </w:rPr>
        <w:t>ation no. 34702/07, judgment of 10 January 2012</w:t>
      </w:r>
    </w:p>
  </w:footnote>
  <w:footnote w:id="10">
    <w:p w14:paraId="3769979F" w14:textId="77777777" w:rsidR="00D17E2F" w:rsidRPr="004B464E" w:rsidRDefault="00D17E2F">
      <w:pPr>
        <w:pStyle w:val="Funotentext"/>
        <w:rPr>
          <w:b/>
          <w:bCs/>
          <w:i/>
          <w:iCs/>
          <w:lang w:val="en-US"/>
        </w:rPr>
      </w:pPr>
      <w:r>
        <w:rPr>
          <w:rStyle w:val="Funotenzeichen"/>
        </w:rPr>
        <w:footnoteRef/>
      </w:r>
      <w:r w:rsidRPr="0017253A">
        <w:rPr>
          <w:bCs/>
          <w:iCs/>
          <w:lang w:val="en-US"/>
        </w:rPr>
        <w:t>Case file no. 1ra- 558/2016, judgment of 5 April 2016</w:t>
      </w:r>
      <w:r w:rsidRPr="0017253A">
        <w:rPr>
          <w:lang w:val="en-GB"/>
        </w:rPr>
        <w:t xml:space="preserve"> </w:t>
      </w:r>
    </w:p>
  </w:footnote>
  <w:footnote w:id="11">
    <w:p w14:paraId="68EA8933" w14:textId="77777777" w:rsidR="00D17E2F" w:rsidRPr="00892A3C" w:rsidRDefault="00D17E2F">
      <w:pPr>
        <w:pStyle w:val="Funotentext"/>
        <w:rPr>
          <w:lang w:val="en-GB"/>
        </w:rPr>
      </w:pPr>
      <w:r>
        <w:rPr>
          <w:rStyle w:val="Funotenzeichen"/>
        </w:rPr>
        <w:footnoteRef/>
      </w:r>
      <w:r w:rsidRPr="00892A3C">
        <w:rPr>
          <w:lang w:val="en-GB"/>
        </w:rPr>
        <w:t xml:space="preserve"> </w:t>
      </w:r>
      <w:r>
        <w:rPr>
          <w:lang w:val="en-GB"/>
        </w:rPr>
        <w:t>all translated judgments are cited they way they were provided to me, without any changes to spelling or grammar.</w:t>
      </w:r>
    </w:p>
  </w:footnote>
  <w:footnote w:id="12">
    <w:p w14:paraId="089E4C96" w14:textId="77777777" w:rsidR="00D17E2F" w:rsidRPr="004B464E" w:rsidRDefault="00D17E2F" w:rsidP="004B464E">
      <w:pPr>
        <w:pStyle w:val="Funotentext"/>
        <w:rPr>
          <w:lang w:val="en-US"/>
        </w:rPr>
      </w:pPr>
      <w:r>
        <w:rPr>
          <w:rStyle w:val="Funotenzeichen"/>
        </w:rPr>
        <w:footnoteRef/>
      </w:r>
      <w:r w:rsidRPr="004B464E">
        <w:rPr>
          <w:lang w:val="en-GB"/>
        </w:rPr>
        <w:t xml:space="preserve"> </w:t>
      </w:r>
      <w:r w:rsidRPr="004B464E">
        <w:rPr>
          <w:lang w:val="en-US"/>
        </w:rPr>
        <w:t>Case file no. 1ra- 1113/2015, judgment of 1 December 2015</w:t>
      </w:r>
    </w:p>
    <w:p w14:paraId="3BECCEEA" w14:textId="77777777" w:rsidR="00D17E2F" w:rsidRPr="004B464E" w:rsidRDefault="00D17E2F">
      <w:pPr>
        <w:pStyle w:val="Funotentext"/>
        <w:rPr>
          <w:lang w:val="en-GB"/>
        </w:rPr>
      </w:pPr>
    </w:p>
  </w:footnote>
  <w:footnote w:id="13">
    <w:p w14:paraId="06CAB83C" w14:textId="77777777" w:rsidR="006D13FC" w:rsidRPr="006D13FC" w:rsidRDefault="006D13FC">
      <w:pPr>
        <w:pStyle w:val="Funotentext"/>
        <w:rPr>
          <w:lang w:val="en-GB"/>
        </w:rPr>
      </w:pPr>
      <w:r>
        <w:rPr>
          <w:rStyle w:val="Funotenzeichen"/>
        </w:rPr>
        <w:footnoteRef/>
      </w:r>
      <w:r w:rsidRPr="006D13FC">
        <w:rPr>
          <w:lang w:val="en-GB"/>
        </w:rPr>
        <w:t xml:space="preserve"> </w:t>
      </w:r>
      <w:r>
        <w:rPr>
          <w:lang w:val="en-GB"/>
        </w:rPr>
        <w:t>Case no. 22-1-3966-04082014 (1-514/14), judgment of 11 November 2016</w:t>
      </w:r>
    </w:p>
  </w:footnote>
  <w:footnote w:id="14">
    <w:p w14:paraId="2A0A8561" w14:textId="77777777" w:rsidR="00D17E2F" w:rsidRPr="00C03050" w:rsidRDefault="00D17E2F">
      <w:pPr>
        <w:pStyle w:val="Funotentext"/>
        <w:rPr>
          <w:lang w:val="en-GB"/>
        </w:rPr>
      </w:pPr>
      <w:r>
        <w:rPr>
          <w:rStyle w:val="Funotenzeichen"/>
        </w:rPr>
        <w:footnoteRef/>
      </w:r>
      <w:r w:rsidRPr="00C03050">
        <w:rPr>
          <w:lang w:val="en-GB"/>
        </w:rPr>
        <w:t xml:space="preserve"> Case file no. 1-272/2016</w:t>
      </w:r>
      <w:r>
        <w:rPr>
          <w:lang w:val="en-GB"/>
        </w:rPr>
        <w:t>, judgment of 10 October 2017</w:t>
      </w:r>
    </w:p>
  </w:footnote>
  <w:footnote w:id="15">
    <w:p w14:paraId="59A6AE6A" w14:textId="316BB523" w:rsidR="008B1F97" w:rsidRPr="008B1F97" w:rsidRDefault="008B1F97">
      <w:pPr>
        <w:pStyle w:val="Funotentext"/>
        <w:rPr>
          <w:lang w:val="en-GB"/>
        </w:rPr>
      </w:pPr>
      <w:r>
        <w:rPr>
          <w:rStyle w:val="Funotenzeichen"/>
        </w:rPr>
        <w:footnoteRef/>
      </w:r>
      <w:r w:rsidRPr="008B1F97">
        <w:rPr>
          <w:lang w:val="en-GB"/>
        </w:rPr>
        <w:t xml:space="preserve"> </w:t>
      </w:r>
      <w:r>
        <w:rPr>
          <w:lang w:val="en-GB"/>
        </w:rPr>
        <w:t>Case no. 08-1-4504-03112017 (1-47/2017)</w:t>
      </w:r>
    </w:p>
  </w:footnote>
  <w:footnote w:id="16">
    <w:p w14:paraId="015AAAE6" w14:textId="6D6C773E" w:rsidR="008B1F97" w:rsidRPr="008B1F97" w:rsidRDefault="008B1F97">
      <w:pPr>
        <w:pStyle w:val="Funotentext"/>
        <w:rPr>
          <w:lang w:val="en-GB"/>
        </w:rPr>
      </w:pPr>
      <w:r>
        <w:rPr>
          <w:rStyle w:val="Funotenzeichen"/>
        </w:rPr>
        <w:footnoteRef/>
      </w:r>
      <w:r w:rsidRPr="008B1F97">
        <w:rPr>
          <w:lang w:val="en-GB"/>
        </w:rPr>
        <w:t xml:space="preserve"> </w:t>
      </w:r>
      <w:r>
        <w:rPr>
          <w:lang w:val="en-GB"/>
        </w:rPr>
        <w:t>Case no. 1-272/2016 16-1-1489-23082016</w:t>
      </w:r>
    </w:p>
  </w:footnote>
  <w:footnote w:id="17">
    <w:p w14:paraId="70AB9AD3" w14:textId="77777777" w:rsidR="00D17E2F" w:rsidRPr="00E462D8" w:rsidRDefault="00D17E2F">
      <w:pPr>
        <w:pStyle w:val="Funotentext"/>
        <w:rPr>
          <w:lang w:val="en-GB"/>
        </w:rPr>
      </w:pPr>
      <w:r>
        <w:rPr>
          <w:rStyle w:val="Funotenzeichen"/>
        </w:rPr>
        <w:footnoteRef/>
      </w:r>
      <w:r w:rsidRPr="00E462D8">
        <w:rPr>
          <w:lang w:val="en-GB"/>
        </w:rPr>
        <w:t xml:space="preserve"> </w:t>
      </w:r>
      <w:bookmarkStart w:id="14" w:name="page1"/>
      <w:bookmarkEnd w:id="14"/>
      <w:r w:rsidRPr="00E462D8">
        <w:rPr>
          <w:lang w:val="en-GB"/>
        </w:rPr>
        <w:t>Casefile No. 2-1070/16; 24-2-454-09022017</w:t>
      </w:r>
      <w:r>
        <w:rPr>
          <w:lang w:val="en-GB"/>
        </w:rPr>
        <w:t>, judgment of 16 November 2017.</w:t>
      </w:r>
    </w:p>
  </w:footnote>
  <w:footnote w:id="18">
    <w:p w14:paraId="025F8086" w14:textId="77777777" w:rsidR="00D17E2F" w:rsidRPr="007523DC" w:rsidRDefault="00D17E2F">
      <w:pPr>
        <w:pStyle w:val="Funotentext"/>
        <w:rPr>
          <w:lang w:val="en-GB"/>
        </w:rPr>
      </w:pPr>
      <w:r>
        <w:rPr>
          <w:rStyle w:val="Funotenzeichen"/>
        </w:rPr>
        <w:footnoteRef/>
      </w:r>
      <w:r w:rsidRPr="007523DC">
        <w:rPr>
          <w:lang w:val="en-GB"/>
        </w:rPr>
        <w:t xml:space="preserve"> </w:t>
      </w:r>
      <w:r w:rsidRPr="007523DC">
        <w:rPr>
          <w:lang w:val="en-US"/>
        </w:rPr>
        <w:t>Case file no. 1ra- 1113/2015, judg</w:t>
      </w:r>
      <w:r>
        <w:rPr>
          <w:lang w:val="en-US"/>
        </w:rPr>
        <w:t>e</w:t>
      </w:r>
      <w:r w:rsidRPr="007523DC">
        <w:rPr>
          <w:lang w:val="en-US"/>
        </w:rPr>
        <w:t>men</w:t>
      </w:r>
      <w:r>
        <w:rPr>
          <w:lang w:val="en-US"/>
        </w:rPr>
        <w:t>t</w:t>
      </w:r>
      <w:r w:rsidRPr="007523DC">
        <w:rPr>
          <w:lang w:val="en-US"/>
        </w:rPr>
        <w:t xml:space="preserve"> of 1 December 2015</w:t>
      </w:r>
    </w:p>
  </w:footnote>
  <w:footnote w:id="19">
    <w:p w14:paraId="24D24F80" w14:textId="77777777" w:rsidR="00D17E2F" w:rsidRPr="00855377" w:rsidRDefault="00D17E2F">
      <w:pPr>
        <w:pStyle w:val="Funotentext"/>
        <w:rPr>
          <w:lang w:val="en-GB"/>
        </w:rPr>
      </w:pPr>
      <w:r>
        <w:rPr>
          <w:rStyle w:val="Funotenzeichen"/>
        </w:rPr>
        <w:footnoteRef/>
      </w:r>
      <w:r w:rsidRPr="00855377">
        <w:rPr>
          <w:lang w:val="en-GB"/>
        </w:rPr>
        <w:t xml:space="preserve"> </w:t>
      </w:r>
      <w:r w:rsidRPr="00855377">
        <w:rPr>
          <w:sz w:val="18"/>
          <w:szCs w:val="18"/>
          <w:lang w:val="en-GB"/>
        </w:rPr>
        <w:t>application no. 5205/10</w:t>
      </w:r>
    </w:p>
  </w:footnote>
  <w:footnote w:id="20">
    <w:p w14:paraId="3340AB88" w14:textId="77777777" w:rsidR="00D17E2F" w:rsidRPr="00855377" w:rsidRDefault="00D17E2F">
      <w:pPr>
        <w:pStyle w:val="Funotentext"/>
        <w:rPr>
          <w:lang w:val="en-GB"/>
        </w:rPr>
      </w:pPr>
      <w:r>
        <w:rPr>
          <w:rStyle w:val="Funotenzeichen"/>
        </w:rPr>
        <w:footnoteRef/>
      </w:r>
      <w:r w:rsidRPr="00855377">
        <w:rPr>
          <w:lang w:val="en-GB"/>
        </w:rPr>
        <w:t xml:space="preserve"> </w:t>
      </w:r>
      <w:r w:rsidRPr="006A1602">
        <w:rPr>
          <w:sz w:val="18"/>
          <w:szCs w:val="18"/>
          <w:lang w:val="en-GB"/>
        </w:rPr>
        <w:t>application no. 36552/02</w:t>
      </w:r>
    </w:p>
  </w:footnote>
  <w:footnote w:id="21">
    <w:p w14:paraId="53015C91" w14:textId="77777777" w:rsidR="00D17E2F" w:rsidRPr="00855377" w:rsidRDefault="00D17E2F">
      <w:pPr>
        <w:pStyle w:val="Funotentext"/>
        <w:rPr>
          <w:lang w:val="en-GB"/>
        </w:rPr>
      </w:pPr>
      <w:r>
        <w:rPr>
          <w:rStyle w:val="Funotenzeichen"/>
        </w:rPr>
        <w:footnoteRef/>
      </w:r>
      <w:r w:rsidRPr="00855377">
        <w:rPr>
          <w:lang w:val="en-GB"/>
        </w:rPr>
        <w:t xml:space="preserve"> </w:t>
      </w:r>
      <w:r w:rsidRPr="00264AAB">
        <w:rPr>
          <w:sz w:val="18"/>
          <w:szCs w:val="18"/>
          <w:lang w:val="en-GB"/>
        </w:rPr>
        <w:t>application no. 54115/09</w:t>
      </w:r>
    </w:p>
  </w:footnote>
  <w:footnote w:id="22">
    <w:p w14:paraId="7649108C" w14:textId="77777777" w:rsidR="00D17E2F" w:rsidRPr="00220EE9" w:rsidRDefault="00D17E2F">
      <w:pPr>
        <w:pStyle w:val="Funotentext"/>
        <w:rPr>
          <w:lang w:val="en-GB"/>
        </w:rPr>
      </w:pPr>
      <w:r>
        <w:rPr>
          <w:rStyle w:val="Funotenzeichen"/>
        </w:rPr>
        <w:footnoteRef/>
      </w:r>
      <w:r w:rsidRPr="00220EE9">
        <w:rPr>
          <w:lang w:val="en-GB"/>
        </w:rPr>
        <w:t xml:space="preserve"> </w:t>
      </w:r>
      <w:r>
        <w:rPr>
          <w:lang w:val="en-GB"/>
        </w:rPr>
        <w:t>p. 105 of the report</w:t>
      </w:r>
    </w:p>
  </w:footnote>
  <w:footnote w:id="23">
    <w:p w14:paraId="6C0CBDF2" w14:textId="77777777" w:rsidR="00D17E2F" w:rsidRPr="000E0974" w:rsidRDefault="00D17E2F">
      <w:pPr>
        <w:pStyle w:val="Funotentext"/>
        <w:rPr>
          <w:lang w:val="en-GB"/>
        </w:rPr>
      </w:pPr>
      <w:r>
        <w:rPr>
          <w:rStyle w:val="Funotenzeichen"/>
        </w:rPr>
        <w:footnoteRef/>
      </w:r>
      <w:r w:rsidRPr="000E0974">
        <w:rPr>
          <w:lang w:val="en-GB"/>
        </w:rPr>
        <w:t xml:space="preserve"> </w:t>
      </w:r>
      <w:r>
        <w:rPr>
          <w:lang w:val="en-GB"/>
        </w:rPr>
        <w:t>according to the report, the low number is explained by the fact that many cases are adjudicated by non-professional judges Magistrate Courts; the report also states that the number of non-professional judges is 16.296 (p.109 of the report)</w:t>
      </w:r>
    </w:p>
  </w:footnote>
  <w:footnote w:id="24">
    <w:p w14:paraId="6EB038A1" w14:textId="03D077FE" w:rsidR="00D85F30" w:rsidRPr="00D85F30" w:rsidRDefault="00D85F30">
      <w:pPr>
        <w:pStyle w:val="Funotentext"/>
        <w:rPr>
          <w:lang w:val="en-GB"/>
        </w:rPr>
      </w:pPr>
      <w:r>
        <w:rPr>
          <w:rStyle w:val="Funotenzeichen"/>
        </w:rPr>
        <w:footnoteRef/>
      </w:r>
      <w:r w:rsidRPr="00D85F30">
        <w:rPr>
          <w:lang w:val="en-GB"/>
        </w:rPr>
        <w:t xml:space="preserve"> p</w:t>
      </w:r>
      <w:r>
        <w:rPr>
          <w:lang w:val="en-GB"/>
        </w:rPr>
        <w:t>. 105 of the report</w:t>
      </w:r>
    </w:p>
  </w:footnote>
  <w:footnote w:id="25">
    <w:p w14:paraId="3FDFED1E" w14:textId="77777777" w:rsidR="00D17E2F" w:rsidRPr="00F62CF2" w:rsidRDefault="00D17E2F">
      <w:pPr>
        <w:pStyle w:val="Funotentext"/>
        <w:rPr>
          <w:lang w:val="en-GB"/>
        </w:rPr>
      </w:pPr>
      <w:r>
        <w:rPr>
          <w:rStyle w:val="Funotenzeichen"/>
        </w:rPr>
        <w:footnoteRef/>
      </w:r>
      <w:r w:rsidRPr="00F62CF2">
        <w:rPr>
          <w:lang w:val="en-GB"/>
        </w:rPr>
        <w:t xml:space="preserve"> </w:t>
      </w:r>
      <w:r>
        <w:rPr>
          <w:lang w:val="en-GB"/>
        </w:rPr>
        <w:t>p. 103 of the report</w:t>
      </w:r>
    </w:p>
  </w:footnote>
  <w:footnote w:id="26">
    <w:p w14:paraId="0C9869A6" w14:textId="77777777" w:rsidR="00D17E2F" w:rsidRPr="00823DBA" w:rsidRDefault="00D17E2F">
      <w:pPr>
        <w:pStyle w:val="Funotentext"/>
        <w:rPr>
          <w:lang w:val="en-GB"/>
        </w:rPr>
      </w:pPr>
      <w:r>
        <w:rPr>
          <w:rStyle w:val="Funotenzeichen"/>
        </w:rPr>
        <w:footnoteRef/>
      </w:r>
      <w:r w:rsidRPr="00823DBA">
        <w:rPr>
          <w:lang w:val="en-GB"/>
        </w:rPr>
        <w:t xml:space="preserve"> https://stjohnslegalenglish.com/2017/10/01/legal-writing-connecting-irac-syllogisms-and-analogies-for-llm-students/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57208DB"/>
    <w:multiLevelType w:val="hybridMultilevel"/>
    <w:tmpl w:val="1242F5DC"/>
    <w:lvl w:ilvl="0" w:tplc="AAAAAC1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0607A8"/>
    <w:multiLevelType w:val="hybridMultilevel"/>
    <w:tmpl w:val="3AE60D1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61472B"/>
    <w:multiLevelType w:val="hybridMultilevel"/>
    <w:tmpl w:val="178E1D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F67719"/>
    <w:multiLevelType w:val="hybridMultilevel"/>
    <w:tmpl w:val="A6D85E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640892"/>
    <w:multiLevelType w:val="hybridMultilevel"/>
    <w:tmpl w:val="6652EA1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1C5C21"/>
    <w:multiLevelType w:val="multilevel"/>
    <w:tmpl w:val="4858E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0319DA"/>
    <w:multiLevelType w:val="hybridMultilevel"/>
    <w:tmpl w:val="E0F6D9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3D91B46"/>
    <w:multiLevelType w:val="hybridMultilevel"/>
    <w:tmpl w:val="1F5A03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F635EE"/>
    <w:multiLevelType w:val="hybridMultilevel"/>
    <w:tmpl w:val="370C59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635105E"/>
    <w:multiLevelType w:val="hybridMultilevel"/>
    <w:tmpl w:val="283CCC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9A7A2D"/>
    <w:multiLevelType w:val="hybridMultilevel"/>
    <w:tmpl w:val="D3223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01870E3"/>
    <w:multiLevelType w:val="hybridMultilevel"/>
    <w:tmpl w:val="FF0ABE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770297"/>
    <w:multiLevelType w:val="multilevel"/>
    <w:tmpl w:val="4856A38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CC731F9"/>
    <w:multiLevelType w:val="hybridMultilevel"/>
    <w:tmpl w:val="BB927D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8"/>
  </w:num>
  <w:num w:numId="4">
    <w:abstractNumId w:val="7"/>
  </w:num>
  <w:num w:numId="5">
    <w:abstractNumId w:val="1"/>
  </w:num>
  <w:num w:numId="6">
    <w:abstractNumId w:val="0"/>
  </w:num>
  <w:num w:numId="7">
    <w:abstractNumId w:val="11"/>
  </w:num>
  <w:num w:numId="8">
    <w:abstractNumId w:val="14"/>
  </w:num>
  <w:num w:numId="9">
    <w:abstractNumId w:val="10"/>
  </w:num>
  <w:num w:numId="10">
    <w:abstractNumId w:val="3"/>
  </w:num>
  <w:num w:numId="11">
    <w:abstractNumId w:val="5"/>
  </w:num>
  <w:num w:numId="12">
    <w:abstractNumId w:val="12"/>
  </w:num>
  <w:num w:numId="13">
    <w:abstractNumId w:val="6"/>
  </w:num>
  <w:num w:numId="14">
    <w:abstractNumId w:val="2"/>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lger Hembach">
    <w15:presenceInfo w15:providerId="Windows Live" w15:userId="71afcbea9b425f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9C45A3-C797-4333-A63C-8604267667E5}"/>
    <w:docVar w:name="dgnword-eventsink" w:val="384836096"/>
  </w:docVars>
  <w:rsids>
    <w:rsidRoot w:val="00E07B10"/>
    <w:rsid w:val="0000143A"/>
    <w:rsid w:val="00005B9E"/>
    <w:rsid w:val="00006BB2"/>
    <w:rsid w:val="00011284"/>
    <w:rsid w:val="00013835"/>
    <w:rsid w:val="00017727"/>
    <w:rsid w:val="00021626"/>
    <w:rsid w:val="000276B9"/>
    <w:rsid w:val="000303F2"/>
    <w:rsid w:val="000347D0"/>
    <w:rsid w:val="00035BA5"/>
    <w:rsid w:val="00046C5A"/>
    <w:rsid w:val="0005264E"/>
    <w:rsid w:val="00052E57"/>
    <w:rsid w:val="00055636"/>
    <w:rsid w:val="0006135B"/>
    <w:rsid w:val="000621AA"/>
    <w:rsid w:val="0006552E"/>
    <w:rsid w:val="00067EED"/>
    <w:rsid w:val="000709CB"/>
    <w:rsid w:val="0007653B"/>
    <w:rsid w:val="00081F35"/>
    <w:rsid w:val="00083F5E"/>
    <w:rsid w:val="000928EB"/>
    <w:rsid w:val="000976E7"/>
    <w:rsid w:val="000A0A4D"/>
    <w:rsid w:val="000A6DE7"/>
    <w:rsid w:val="000A72BB"/>
    <w:rsid w:val="000B035A"/>
    <w:rsid w:val="000B293C"/>
    <w:rsid w:val="000B7C5E"/>
    <w:rsid w:val="000D7B47"/>
    <w:rsid w:val="000E0974"/>
    <w:rsid w:val="000E34E1"/>
    <w:rsid w:val="000F12D3"/>
    <w:rsid w:val="000F369E"/>
    <w:rsid w:val="000F4718"/>
    <w:rsid w:val="000F6833"/>
    <w:rsid w:val="00103B01"/>
    <w:rsid w:val="00103F08"/>
    <w:rsid w:val="00105D3F"/>
    <w:rsid w:val="00106109"/>
    <w:rsid w:val="0010788B"/>
    <w:rsid w:val="00110095"/>
    <w:rsid w:val="00111C2E"/>
    <w:rsid w:val="00124E27"/>
    <w:rsid w:val="00130F3C"/>
    <w:rsid w:val="001357CC"/>
    <w:rsid w:val="00136260"/>
    <w:rsid w:val="001363F9"/>
    <w:rsid w:val="001408A4"/>
    <w:rsid w:val="00147373"/>
    <w:rsid w:val="00147C8A"/>
    <w:rsid w:val="0015092E"/>
    <w:rsid w:val="0015354F"/>
    <w:rsid w:val="001702D5"/>
    <w:rsid w:val="0017253A"/>
    <w:rsid w:val="0017778F"/>
    <w:rsid w:val="00182DB5"/>
    <w:rsid w:val="00184522"/>
    <w:rsid w:val="00184807"/>
    <w:rsid w:val="00186F51"/>
    <w:rsid w:val="001A3920"/>
    <w:rsid w:val="001A6781"/>
    <w:rsid w:val="001C5127"/>
    <w:rsid w:val="001C7332"/>
    <w:rsid w:val="001D42B8"/>
    <w:rsid w:val="001D7F9A"/>
    <w:rsid w:val="001E0CA0"/>
    <w:rsid w:val="001E1599"/>
    <w:rsid w:val="001E5D47"/>
    <w:rsid w:val="001F1069"/>
    <w:rsid w:val="00201EDF"/>
    <w:rsid w:val="0020532C"/>
    <w:rsid w:val="00205399"/>
    <w:rsid w:val="00207994"/>
    <w:rsid w:val="00217EFF"/>
    <w:rsid w:val="00220545"/>
    <w:rsid w:val="00220EE9"/>
    <w:rsid w:val="002211E9"/>
    <w:rsid w:val="002367A7"/>
    <w:rsid w:val="00237539"/>
    <w:rsid w:val="0024247A"/>
    <w:rsid w:val="002428DE"/>
    <w:rsid w:val="0024421B"/>
    <w:rsid w:val="00250AEE"/>
    <w:rsid w:val="00264620"/>
    <w:rsid w:val="00264AAB"/>
    <w:rsid w:val="0026716F"/>
    <w:rsid w:val="0027599A"/>
    <w:rsid w:val="002807C0"/>
    <w:rsid w:val="00283D3B"/>
    <w:rsid w:val="00287D9F"/>
    <w:rsid w:val="002959C6"/>
    <w:rsid w:val="002A6790"/>
    <w:rsid w:val="002B1557"/>
    <w:rsid w:val="002C4DC4"/>
    <w:rsid w:val="002C6E52"/>
    <w:rsid w:val="002D623C"/>
    <w:rsid w:val="002D6738"/>
    <w:rsid w:val="002E7120"/>
    <w:rsid w:val="002F131B"/>
    <w:rsid w:val="002F31AE"/>
    <w:rsid w:val="00300E45"/>
    <w:rsid w:val="003041ED"/>
    <w:rsid w:val="00314CB4"/>
    <w:rsid w:val="00335553"/>
    <w:rsid w:val="003365A4"/>
    <w:rsid w:val="003438A0"/>
    <w:rsid w:val="00346C80"/>
    <w:rsid w:val="00356C07"/>
    <w:rsid w:val="00361F7D"/>
    <w:rsid w:val="00367CD0"/>
    <w:rsid w:val="00380240"/>
    <w:rsid w:val="00380B67"/>
    <w:rsid w:val="00385E10"/>
    <w:rsid w:val="003967F9"/>
    <w:rsid w:val="003A3893"/>
    <w:rsid w:val="003A778B"/>
    <w:rsid w:val="003B0BCE"/>
    <w:rsid w:val="003C329C"/>
    <w:rsid w:val="003C4924"/>
    <w:rsid w:val="003C5E03"/>
    <w:rsid w:val="003C77AF"/>
    <w:rsid w:val="003D5CDD"/>
    <w:rsid w:val="003D7265"/>
    <w:rsid w:val="003F05DC"/>
    <w:rsid w:val="003F29E8"/>
    <w:rsid w:val="003F4010"/>
    <w:rsid w:val="00414FF3"/>
    <w:rsid w:val="0042242A"/>
    <w:rsid w:val="00422F44"/>
    <w:rsid w:val="004233A7"/>
    <w:rsid w:val="00423E78"/>
    <w:rsid w:val="00425AB1"/>
    <w:rsid w:val="00444208"/>
    <w:rsid w:val="0045631D"/>
    <w:rsid w:val="004626E3"/>
    <w:rsid w:val="00464F8E"/>
    <w:rsid w:val="004768EB"/>
    <w:rsid w:val="00477A1E"/>
    <w:rsid w:val="0049543F"/>
    <w:rsid w:val="004A06A9"/>
    <w:rsid w:val="004B2A8D"/>
    <w:rsid w:val="004B464E"/>
    <w:rsid w:val="004B67E1"/>
    <w:rsid w:val="004B754F"/>
    <w:rsid w:val="004D2708"/>
    <w:rsid w:val="004E0D26"/>
    <w:rsid w:val="004E2ECA"/>
    <w:rsid w:val="004E352D"/>
    <w:rsid w:val="004E7C8A"/>
    <w:rsid w:val="004F0524"/>
    <w:rsid w:val="004F0721"/>
    <w:rsid w:val="004F1381"/>
    <w:rsid w:val="004F27C9"/>
    <w:rsid w:val="004F5076"/>
    <w:rsid w:val="005042AB"/>
    <w:rsid w:val="005129A5"/>
    <w:rsid w:val="005151F8"/>
    <w:rsid w:val="005171E3"/>
    <w:rsid w:val="00521E29"/>
    <w:rsid w:val="0052266E"/>
    <w:rsid w:val="0052437D"/>
    <w:rsid w:val="00526441"/>
    <w:rsid w:val="00553B93"/>
    <w:rsid w:val="00556740"/>
    <w:rsid w:val="005635FA"/>
    <w:rsid w:val="00566904"/>
    <w:rsid w:val="005B0076"/>
    <w:rsid w:val="005B17A0"/>
    <w:rsid w:val="005B2604"/>
    <w:rsid w:val="005B3EC5"/>
    <w:rsid w:val="005B70DE"/>
    <w:rsid w:val="005B7A4A"/>
    <w:rsid w:val="005C0FE9"/>
    <w:rsid w:val="005C3A94"/>
    <w:rsid w:val="005C4511"/>
    <w:rsid w:val="005C64D7"/>
    <w:rsid w:val="005D6184"/>
    <w:rsid w:val="005D6D5D"/>
    <w:rsid w:val="005E65F2"/>
    <w:rsid w:val="005F673D"/>
    <w:rsid w:val="006239ED"/>
    <w:rsid w:val="00625288"/>
    <w:rsid w:val="0062584F"/>
    <w:rsid w:val="006260DE"/>
    <w:rsid w:val="00626559"/>
    <w:rsid w:val="006374D5"/>
    <w:rsid w:val="006416F6"/>
    <w:rsid w:val="006472D0"/>
    <w:rsid w:val="00655BCA"/>
    <w:rsid w:val="00661430"/>
    <w:rsid w:val="00675DB7"/>
    <w:rsid w:val="00683DA5"/>
    <w:rsid w:val="006840FC"/>
    <w:rsid w:val="00684939"/>
    <w:rsid w:val="0068652F"/>
    <w:rsid w:val="006907D7"/>
    <w:rsid w:val="00693BAA"/>
    <w:rsid w:val="006A1602"/>
    <w:rsid w:val="006A3D33"/>
    <w:rsid w:val="006A50AE"/>
    <w:rsid w:val="006A5524"/>
    <w:rsid w:val="006A5A98"/>
    <w:rsid w:val="006B6FC0"/>
    <w:rsid w:val="006C5D20"/>
    <w:rsid w:val="006C627F"/>
    <w:rsid w:val="006D13FC"/>
    <w:rsid w:val="006D1AC0"/>
    <w:rsid w:val="006D499D"/>
    <w:rsid w:val="006E2C1C"/>
    <w:rsid w:val="006E4A25"/>
    <w:rsid w:val="006E6721"/>
    <w:rsid w:val="00705BB8"/>
    <w:rsid w:val="00705C99"/>
    <w:rsid w:val="007160A4"/>
    <w:rsid w:val="007231A1"/>
    <w:rsid w:val="007233CC"/>
    <w:rsid w:val="0073304B"/>
    <w:rsid w:val="00733751"/>
    <w:rsid w:val="00743BCD"/>
    <w:rsid w:val="007523DC"/>
    <w:rsid w:val="007679C9"/>
    <w:rsid w:val="0077407B"/>
    <w:rsid w:val="007764B0"/>
    <w:rsid w:val="00785CE7"/>
    <w:rsid w:val="007934EC"/>
    <w:rsid w:val="00794A8F"/>
    <w:rsid w:val="007A5092"/>
    <w:rsid w:val="007B15D0"/>
    <w:rsid w:val="007D2353"/>
    <w:rsid w:val="007D3115"/>
    <w:rsid w:val="007D799B"/>
    <w:rsid w:val="007E1490"/>
    <w:rsid w:val="007E3C84"/>
    <w:rsid w:val="007E4F8B"/>
    <w:rsid w:val="007E58F9"/>
    <w:rsid w:val="007E6D19"/>
    <w:rsid w:val="007F7EA7"/>
    <w:rsid w:val="00803BAC"/>
    <w:rsid w:val="00816A27"/>
    <w:rsid w:val="00817458"/>
    <w:rsid w:val="0081791E"/>
    <w:rsid w:val="008226FA"/>
    <w:rsid w:val="00823DBA"/>
    <w:rsid w:val="00830189"/>
    <w:rsid w:val="00834A37"/>
    <w:rsid w:val="0083500E"/>
    <w:rsid w:val="008413A3"/>
    <w:rsid w:val="00855377"/>
    <w:rsid w:val="0086076E"/>
    <w:rsid w:val="00863FFA"/>
    <w:rsid w:val="00874774"/>
    <w:rsid w:val="00892A3C"/>
    <w:rsid w:val="0089504A"/>
    <w:rsid w:val="00896A4F"/>
    <w:rsid w:val="008A0BA3"/>
    <w:rsid w:val="008A26E9"/>
    <w:rsid w:val="008A510F"/>
    <w:rsid w:val="008A69EA"/>
    <w:rsid w:val="008A7CA0"/>
    <w:rsid w:val="008B167D"/>
    <w:rsid w:val="008B1F97"/>
    <w:rsid w:val="008B41CF"/>
    <w:rsid w:val="008B77A5"/>
    <w:rsid w:val="008C0B3A"/>
    <w:rsid w:val="008E2DED"/>
    <w:rsid w:val="008F1992"/>
    <w:rsid w:val="008F2283"/>
    <w:rsid w:val="008F783B"/>
    <w:rsid w:val="00906B13"/>
    <w:rsid w:val="00912581"/>
    <w:rsid w:val="00913FFE"/>
    <w:rsid w:val="009143EC"/>
    <w:rsid w:val="00914762"/>
    <w:rsid w:val="00924A5E"/>
    <w:rsid w:val="009360AA"/>
    <w:rsid w:val="00962FCF"/>
    <w:rsid w:val="00964257"/>
    <w:rsid w:val="00967DD1"/>
    <w:rsid w:val="00975979"/>
    <w:rsid w:val="00994C51"/>
    <w:rsid w:val="009A3716"/>
    <w:rsid w:val="009D1A2E"/>
    <w:rsid w:val="009D1D6A"/>
    <w:rsid w:val="009D5C45"/>
    <w:rsid w:val="009D7863"/>
    <w:rsid w:val="009F03D7"/>
    <w:rsid w:val="00A03DC9"/>
    <w:rsid w:val="00A1067B"/>
    <w:rsid w:val="00A106E9"/>
    <w:rsid w:val="00A11E89"/>
    <w:rsid w:val="00A13DA2"/>
    <w:rsid w:val="00A150F7"/>
    <w:rsid w:val="00A2112B"/>
    <w:rsid w:val="00A40DD5"/>
    <w:rsid w:val="00A52138"/>
    <w:rsid w:val="00A53589"/>
    <w:rsid w:val="00A55524"/>
    <w:rsid w:val="00A563F8"/>
    <w:rsid w:val="00A60F2E"/>
    <w:rsid w:val="00A636F4"/>
    <w:rsid w:val="00A660B7"/>
    <w:rsid w:val="00A72D73"/>
    <w:rsid w:val="00A81ECC"/>
    <w:rsid w:val="00A82BC6"/>
    <w:rsid w:val="00A91C82"/>
    <w:rsid w:val="00A92709"/>
    <w:rsid w:val="00A94C18"/>
    <w:rsid w:val="00A9527D"/>
    <w:rsid w:val="00A9626E"/>
    <w:rsid w:val="00AA2C45"/>
    <w:rsid w:val="00AB1460"/>
    <w:rsid w:val="00AB2B13"/>
    <w:rsid w:val="00AB3E95"/>
    <w:rsid w:val="00AB4221"/>
    <w:rsid w:val="00AD7B40"/>
    <w:rsid w:val="00AE01BA"/>
    <w:rsid w:val="00AE0CF0"/>
    <w:rsid w:val="00AE185D"/>
    <w:rsid w:val="00AE2F8B"/>
    <w:rsid w:val="00AE741F"/>
    <w:rsid w:val="00AF155E"/>
    <w:rsid w:val="00AF466B"/>
    <w:rsid w:val="00AF5ED3"/>
    <w:rsid w:val="00AF7A1A"/>
    <w:rsid w:val="00B07C2F"/>
    <w:rsid w:val="00B07C58"/>
    <w:rsid w:val="00B11BFE"/>
    <w:rsid w:val="00B12D46"/>
    <w:rsid w:val="00B21B9B"/>
    <w:rsid w:val="00B33C31"/>
    <w:rsid w:val="00B37CA3"/>
    <w:rsid w:val="00B46DD0"/>
    <w:rsid w:val="00B51A77"/>
    <w:rsid w:val="00B62720"/>
    <w:rsid w:val="00B633C4"/>
    <w:rsid w:val="00B63AA4"/>
    <w:rsid w:val="00B755A5"/>
    <w:rsid w:val="00B809F0"/>
    <w:rsid w:val="00B85578"/>
    <w:rsid w:val="00B944B9"/>
    <w:rsid w:val="00B96923"/>
    <w:rsid w:val="00B96B4E"/>
    <w:rsid w:val="00BA128F"/>
    <w:rsid w:val="00BA2EC1"/>
    <w:rsid w:val="00BB18C7"/>
    <w:rsid w:val="00BB2828"/>
    <w:rsid w:val="00BB54C4"/>
    <w:rsid w:val="00BC162D"/>
    <w:rsid w:val="00BC1965"/>
    <w:rsid w:val="00BC65E4"/>
    <w:rsid w:val="00BD4E19"/>
    <w:rsid w:val="00BD739F"/>
    <w:rsid w:val="00BE3B48"/>
    <w:rsid w:val="00BF19C4"/>
    <w:rsid w:val="00C03050"/>
    <w:rsid w:val="00C0442B"/>
    <w:rsid w:val="00C0605F"/>
    <w:rsid w:val="00C07CCE"/>
    <w:rsid w:val="00C15392"/>
    <w:rsid w:val="00C2393C"/>
    <w:rsid w:val="00C25F26"/>
    <w:rsid w:val="00C272AE"/>
    <w:rsid w:val="00C27F90"/>
    <w:rsid w:val="00C3522F"/>
    <w:rsid w:val="00C36C37"/>
    <w:rsid w:val="00C450EB"/>
    <w:rsid w:val="00C47431"/>
    <w:rsid w:val="00C541EF"/>
    <w:rsid w:val="00C55927"/>
    <w:rsid w:val="00C62C11"/>
    <w:rsid w:val="00C71B5B"/>
    <w:rsid w:val="00C81505"/>
    <w:rsid w:val="00C877AB"/>
    <w:rsid w:val="00C905BB"/>
    <w:rsid w:val="00C90C5F"/>
    <w:rsid w:val="00C92C17"/>
    <w:rsid w:val="00C94E45"/>
    <w:rsid w:val="00CA4A61"/>
    <w:rsid w:val="00CA69D0"/>
    <w:rsid w:val="00CB7715"/>
    <w:rsid w:val="00CC0BAF"/>
    <w:rsid w:val="00CC6089"/>
    <w:rsid w:val="00CC7C5A"/>
    <w:rsid w:val="00CD3545"/>
    <w:rsid w:val="00CD714C"/>
    <w:rsid w:val="00CE03F9"/>
    <w:rsid w:val="00CE06B9"/>
    <w:rsid w:val="00CE602E"/>
    <w:rsid w:val="00CE6512"/>
    <w:rsid w:val="00CF3216"/>
    <w:rsid w:val="00CF6F56"/>
    <w:rsid w:val="00D029EA"/>
    <w:rsid w:val="00D02AF7"/>
    <w:rsid w:val="00D157A3"/>
    <w:rsid w:val="00D17E2F"/>
    <w:rsid w:val="00D42E9E"/>
    <w:rsid w:val="00D4344D"/>
    <w:rsid w:val="00D45707"/>
    <w:rsid w:val="00D45B89"/>
    <w:rsid w:val="00D52C0C"/>
    <w:rsid w:val="00D633FC"/>
    <w:rsid w:val="00D634F0"/>
    <w:rsid w:val="00D67B4A"/>
    <w:rsid w:val="00D72FE1"/>
    <w:rsid w:val="00D85F30"/>
    <w:rsid w:val="00D94D1E"/>
    <w:rsid w:val="00DA0C3F"/>
    <w:rsid w:val="00DA64AE"/>
    <w:rsid w:val="00DB0514"/>
    <w:rsid w:val="00DB1AAD"/>
    <w:rsid w:val="00DB3A2A"/>
    <w:rsid w:val="00DB4909"/>
    <w:rsid w:val="00DC0BA4"/>
    <w:rsid w:val="00DC2210"/>
    <w:rsid w:val="00DD3438"/>
    <w:rsid w:val="00DD5D53"/>
    <w:rsid w:val="00DD63FF"/>
    <w:rsid w:val="00DD6A9C"/>
    <w:rsid w:val="00DE26CF"/>
    <w:rsid w:val="00DE2D4C"/>
    <w:rsid w:val="00DE2EC4"/>
    <w:rsid w:val="00DF4DF4"/>
    <w:rsid w:val="00E07B10"/>
    <w:rsid w:val="00E13768"/>
    <w:rsid w:val="00E13D0B"/>
    <w:rsid w:val="00E2420B"/>
    <w:rsid w:val="00E261DB"/>
    <w:rsid w:val="00E34318"/>
    <w:rsid w:val="00E347AA"/>
    <w:rsid w:val="00E4604A"/>
    <w:rsid w:val="00E462D8"/>
    <w:rsid w:val="00E65068"/>
    <w:rsid w:val="00E67FBF"/>
    <w:rsid w:val="00E709D3"/>
    <w:rsid w:val="00E713BF"/>
    <w:rsid w:val="00E7186F"/>
    <w:rsid w:val="00E7649B"/>
    <w:rsid w:val="00E8028B"/>
    <w:rsid w:val="00E81BE6"/>
    <w:rsid w:val="00E9222E"/>
    <w:rsid w:val="00EA03A1"/>
    <w:rsid w:val="00EA3B15"/>
    <w:rsid w:val="00EA540B"/>
    <w:rsid w:val="00EA69AC"/>
    <w:rsid w:val="00EB2712"/>
    <w:rsid w:val="00EB5304"/>
    <w:rsid w:val="00EB6EFD"/>
    <w:rsid w:val="00EC6174"/>
    <w:rsid w:val="00EC6AE6"/>
    <w:rsid w:val="00ED017B"/>
    <w:rsid w:val="00EF25B9"/>
    <w:rsid w:val="00EF6989"/>
    <w:rsid w:val="00F11860"/>
    <w:rsid w:val="00F12BFB"/>
    <w:rsid w:val="00F1597C"/>
    <w:rsid w:val="00F24791"/>
    <w:rsid w:val="00F2533B"/>
    <w:rsid w:val="00F31AF8"/>
    <w:rsid w:val="00F3234E"/>
    <w:rsid w:val="00F327F3"/>
    <w:rsid w:val="00F34112"/>
    <w:rsid w:val="00F37352"/>
    <w:rsid w:val="00F62707"/>
    <w:rsid w:val="00F62CF2"/>
    <w:rsid w:val="00F632B8"/>
    <w:rsid w:val="00F66F2C"/>
    <w:rsid w:val="00F74152"/>
    <w:rsid w:val="00F766EA"/>
    <w:rsid w:val="00F84501"/>
    <w:rsid w:val="00F854DD"/>
    <w:rsid w:val="00F86B43"/>
    <w:rsid w:val="00F92465"/>
    <w:rsid w:val="00F94CA5"/>
    <w:rsid w:val="00FA220E"/>
    <w:rsid w:val="00FB526C"/>
    <w:rsid w:val="00FC14A4"/>
    <w:rsid w:val="00FC5410"/>
    <w:rsid w:val="00FD3FF1"/>
    <w:rsid w:val="00FF1B7D"/>
    <w:rsid w:val="00FF1BA6"/>
    <w:rsid w:val="00FF5A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EC7B"/>
  <w15:docId w15:val="{654A115D-A57D-4C09-824D-BA6AB58A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A2EC1"/>
  </w:style>
  <w:style w:type="paragraph" w:styleId="berschrift1">
    <w:name w:val="heading 1"/>
    <w:basedOn w:val="Standard"/>
    <w:next w:val="Standard"/>
    <w:link w:val="berschrift1Zchn"/>
    <w:uiPriority w:val="9"/>
    <w:qFormat/>
    <w:rsid w:val="006A50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6A50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5C0F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5C0FE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17253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7253A"/>
    <w:rPr>
      <w:sz w:val="20"/>
      <w:szCs w:val="20"/>
    </w:rPr>
  </w:style>
  <w:style w:type="character" w:styleId="Funotenzeichen">
    <w:name w:val="footnote reference"/>
    <w:basedOn w:val="Absatz-Standardschriftart"/>
    <w:uiPriority w:val="99"/>
    <w:semiHidden/>
    <w:unhideWhenUsed/>
    <w:rsid w:val="0017253A"/>
    <w:rPr>
      <w:vertAlign w:val="superscript"/>
    </w:rPr>
  </w:style>
  <w:style w:type="paragraph" w:styleId="Listenabsatz">
    <w:name w:val="List Paragraph"/>
    <w:basedOn w:val="Standard"/>
    <w:uiPriority w:val="34"/>
    <w:qFormat/>
    <w:rsid w:val="00011284"/>
    <w:pPr>
      <w:ind w:left="720"/>
      <w:contextualSpacing/>
    </w:pPr>
  </w:style>
  <w:style w:type="paragraph" w:styleId="Kopfzeile">
    <w:name w:val="header"/>
    <w:basedOn w:val="Standard"/>
    <w:link w:val="KopfzeileZchn"/>
    <w:uiPriority w:val="99"/>
    <w:unhideWhenUsed/>
    <w:rsid w:val="00A636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636F4"/>
  </w:style>
  <w:style w:type="paragraph" w:styleId="Fuzeile">
    <w:name w:val="footer"/>
    <w:basedOn w:val="Standard"/>
    <w:link w:val="FuzeileZchn"/>
    <w:uiPriority w:val="99"/>
    <w:unhideWhenUsed/>
    <w:rsid w:val="00A636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636F4"/>
  </w:style>
  <w:style w:type="character" w:styleId="Hyperlink">
    <w:name w:val="Hyperlink"/>
    <w:basedOn w:val="Absatz-Standardschriftart"/>
    <w:uiPriority w:val="99"/>
    <w:unhideWhenUsed/>
    <w:rsid w:val="00D67B4A"/>
    <w:rPr>
      <w:color w:val="0563C1" w:themeColor="hyperlink"/>
      <w:u w:val="single"/>
    </w:rPr>
  </w:style>
  <w:style w:type="character" w:customStyle="1" w:styleId="NichtaufgelsteErwhnung1">
    <w:name w:val="Nicht aufgelöste Erwähnung1"/>
    <w:basedOn w:val="Absatz-Standardschriftart"/>
    <w:uiPriority w:val="99"/>
    <w:semiHidden/>
    <w:unhideWhenUsed/>
    <w:rsid w:val="00D67B4A"/>
    <w:rPr>
      <w:color w:val="605E5C"/>
      <w:shd w:val="clear" w:color="auto" w:fill="E1DFDD"/>
    </w:rPr>
  </w:style>
  <w:style w:type="character" w:customStyle="1" w:styleId="berschrift1Zchn">
    <w:name w:val="Überschrift 1 Zchn"/>
    <w:basedOn w:val="Absatz-Standardschriftart"/>
    <w:link w:val="berschrift1"/>
    <w:uiPriority w:val="9"/>
    <w:rsid w:val="006A50AE"/>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6A50AE"/>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5C0FE9"/>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rsid w:val="005C0FE9"/>
    <w:rPr>
      <w:rFonts w:asciiTheme="majorHAnsi" w:eastAsiaTheme="majorEastAsia" w:hAnsiTheme="majorHAnsi" w:cstheme="majorBidi"/>
      <w:i/>
      <w:iCs/>
      <w:color w:val="2F5496" w:themeColor="accent1" w:themeShade="BF"/>
    </w:rPr>
  </w:style>
  <w:style w:type="paragraph" w:styleId="Inhaltsverzeichnisberschrift">
    <w:name w:val="TOC Heading"/>
    <w:basedOn w:val="berschrift1"/>
    <w:next w:val="Standard"/>
    <w:uiPriority w:val="39"/>
    <w:unhideWhenUsed/>
    <w:qFormat/>
    <w:rsid w:val="00103B01"/>
    <w:pPr>
      <w:outlineLvl w:val="9"/>
    </w:pPr>
    <w:rPr>
      <w:lang w:eastAsia="de-DE"/>
    </w:rPr>
  </w:style>
  <w:style w:type="paragraph" w:styleId="Verzeichnis1">
    <w:name w:val="toc 1"/>
    <w:basedOn w:val="Standard"/>
    <w:next w:val="Standard"/>
    <w:autoRedefine/>
    <w:uiPriority w:val="39"/>
    <w:unhideWhenUsed/>
    <w:rsid w:val="00103B01"/>
    <w:pPr>
      <w:spacing w:after="100"/>
    </w:pPr>
  </w:style>
  <w:style w:type="paragraph" w:styleId="Verzeichnis2">
    <w:name w:val="toc 2"/>
    <w:basedOn w:val="Standard"/>
    <w:next w:val="Standard"/>
    <w:autoRedefine/>
    <w:uiPriority w:val="39"/>
    <w:unhideWhenUsed/>
    <w:rsid w:val="00103B01"/>
    <w:pPr>
      <w:spacing w:after="100"/>
      <w:ind w:left="220"/>
    </w:pPr>
  </w:style>
  <w:style w:type="paragraph" w:styleId="Verzeichnis3">
    <w:name w:val="toc 3"/>
    <w:basedOn w:val="Standard"/>
    <w:next w:val="Standard"/>
    <w:autoRedefine/>
    <w:uiPriority w:val="39"/>
    <w:unhideWhenUsed/>
    <w:rsid w:val="00103B01"/>
    <w:pPr>
      <w:spacing w:after="100"/>
      <w:ind w:left="440"/>
    </w:pPr>
  </w:style>
  <w:style w:type="paragraph" w:styleId="KeinLeerraum">
    <w:name w:val="No Spacing"/>
    <w:link w:val="KeinLeerraumZchn"/>
    <w:uiPriority w:val="1"/>
    <w:qFormat/>
    <w:rsid w:val="00B46DD0"/>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B46DD0"/>
    <w:rPr>
      <w:rFonts w:eastAsiaTheme="minorEastAsia"/>
      <w:lang w:eastAsia="de-DE"/>
    </w:rPr>
  </w:style>
  <w:style w:type="paragraph" w:styleId="Sprechblasentext">
    <w:name w:val="Balloon Text"/>
    <w:basedOn w:val="Standard"/>
    <w:link w:val="SprechblasentextZchn"/>
    <w:uiPriority w:val="99"/>
    <w:semiHidden/>
    <w:unhideWhenUsed/>
    <w:rsid w:val="00CB771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B7715"/>
    <w:rPr>
      <w:rFonts w:ascii="Tahoma" w:hAnsi="Tahoma" w:cs="Tahoma"/>
      <w:sz w:val="16"/>
      <w:szCs w:val="16"/>
    </w:rPr>
  </w:style>
  <w:style w:type="character" w:styleId="Kommentarzeichen">
    <w:name w:val="annotation reference"/>
    <w:basedOn w:val="Absatz-Standardschriftart"/>
    <w:uiPriority w:val="99"/>
    <w:semiHidden/>
    <w:unhideWhenUsed/>
    <w:rsid w:val="00DF4DF4"/>
    <w:rPr>
      <w:sz w:val="16"/>
      <w:szCs w:val="16"/>
    </w:rPr>
  </w:style>
  <w:style w:type="paragraph" w:styleId="Kommentartext">
    <w:name w:val="annotation text"/>
    <w:basedOn w:val="Standard"/>
    <w:link w:val="KommentartextZchn"/>
    <w:uiPriority w:val="99"/>
    <w:semiHidden/>
    <w:unhideWhenUsed/>
    <w:rsid w:val="00DF4DF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F4DF4"/>
    <w:rPr>
      <w:sz w:val="20"/>
      <w:szCs w:val="20"/>
    </w:rPr>
  </w:style>
  <w:style w:type="paragraph" w:styleId="Kommentarthema">
    <w:name w:val="annotation subject"/>
    <w:basedOn w:val="Kommentartext"/>
    <w:next w:val="Kommentartext"/>
    <w:link w:val="KommentarthemaZchn"/>
    <w:uiPriority w:val="99"/>
    <w:semiHidden/>
    <w:unhideWhenUsed/>
    <w:rsid w:val="00DF4DF4"/>
    <w:rPr>
      <w:b/>
      <w:bCs/>
    </w:rPr>
  </w:style>
  <w:style w:type="character" w:customStyle="1" w:styleId="KommentarthemaZchn">
    <w:name w:val="Kommentarthema Zchn"/>
    <w:basedOn w:val="KommentartextZchn"/>
    <w:link w:val="Kommentarthema"/>
    <w:uiPriority w:val="99"/>
    <w:semiHidden/>
    <w:rsid w:val="00DF4D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947639">
      <w:bodyDiv w:val="1"/>
      <w:marLeft w:val="0"/>
      <w:marRight w:val="0"/>
      <w:marTop w:val="0"/>
      <w:marBottom w:val="0"/>
      <w:divBdr>
        <w:top w:val="none" w:sz="0" w:space="0" w:color="auto"/>
        <w:left w:val="none" w:sz="0" w:space="0" w:color="auto"/>
        <w:bottom w:val="none" w:sz="0" w:space="0" w:color="auto"/>
        <w:right w:val="none" w:sz="0" w:space="0" w:color="auto"/>
      </w:divBdr>
    </w:div>
    <w:div w:id="327221801">
      <w:bodyDiv w:val="1"/>
      <w:marLeft w:val="0"/>
      <w:marRight w:val="0"/>
      <w:marTop w:val="0"/>
      <w:marBottom w:val="0"/>
      <w:divBdr>
        <w:top w:val="none" w:sz="0" w:space="0" w:color="auto"/>
        <w:left w:val="none" w:sz="0" w:space="0" w:color="auto"/>
        <w:bottom w:val="none" w:sz="0" w:space="0" w:color="auto"/>
        <w:right w:val="none" w:sz="0" w:space="0" w:color="auto"/>
      </w:divBdr>
    </w:div>
    <w:div w:id="465437814">
      <w:bodyDiv w:val="1"/>
      <w:marLeft w:val="0"/>
      <w:marRight w:val="0"/>
      <w:marTop w:val="0"/>
      <w:marBottom w:val="0"/>
      <w:divBdr>
        <w:top w:val="none" w:sz="0" w:space="0" w:color="auto"/>
        <w:left w:val="none" w:sz="0" w:space="0" w:color="auto"/>
        <w:bottom w:val="none" w:sz="0" w:space="0" w:color="auto"/>
        <w:right w:val="none" w:sz="0" w:space="0" w:color="auto"/>
      </w:divBdr>
    </w:div>
    <w:div w:id="1720283919">
      <w:bodyDiv w:val="1"/>
      <w:marLeft w:val="0"/>
      <w:marRight w:val="0"/>
      <w:marTop w:val="0"/>
      <w:marBottom w:val="0"/>
      <w:divBdr>
        <w:top w:val="none" w:sz="0" w:space="0" w:color="auto"/>
        <w:left w:val="none" w:sz="0" w:space="0" w:color="auto"/>
        <w:bottom w:val="none" w:sz="0" w:space="0" w:color="auto"/>
        <w:right w:val="none" w:sz="0" w:space="0" w:color="auto"/>
      </w:divBdr>
    </w:div>
    <w:div w:id="183803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hudoc.echr.coe.int/eng"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file:///C:\var\folders\xz\bzgbjtfd24jbsy46mt6rwjrm0000gn\T\com.microsoft.Word\WebArchiveCopyPasteTempFiles\page278image2731003488"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2019-02-05T00:00:00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CD663A-D9DA-43AA-ABCB-E82784B8F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20232</Words>
  <Characters>127468</Characters>
  <Application>Microsoft Office Word</Application>
  <DocSecurity>0</DocSecurity>
  <Lines>1062</Lines>
  <Paragraphs>294</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Judgement-drafting and Training on Legal Writing in the Republic of Moldova</vt:lpstr>
      <vt:lpstr>Judgement-drafting and Training on Legal Writing in the Republic of Moldova</vt:lpstr>
    </vt:vector>
  </TitlesOfParts>
  <Company/>
  <LinksUpToDate>false</LinksUpToDate>
  <CharactersWithSpaces>147406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Judgement-drafting and Training on Legal Writing in the Republic of Moldova</dc:title>
  <dc:subject/>
  <dc:creator>Holger Hembach</dc:creator>
  <cp:keywords/>
  <dc:description/>
  <cp:lastModifiedBy>Holger Hembach</cp:lastModifiedBy>
  <cp:revision>2</cp:revision>
  <dcterms:created xsi:type="dcterms:W3CDTF">2019-03-18T16:14:00Z</dcterms:created>
  <dcterms:modified xsi:type="dcterms:W3CDTF">2019-03-18T16:14:00Z</dcterms:modified>
</cp:coreProperties>
</file>