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62673" w14:textId="77777777" w:rsidR="00F32DD6" w:rsidRPr="00F32DD6" w:rsidRDefault="00F32DD6" w:rsidP="00F32DD6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F32DD6">
        <w:rPr>
          <w:rFonts w:cstheme="minorHAnsi"/>
          <w:b/>
          <w:sz w:val="24"/>
          <w:szCs w:val="24"/>
        </w:rPr>
        <w:t xml:space="preserve">BUDGET GUIDELINES   </w:t>
      </w:r>
      <w:r w:rsidRPr="00F32DD6">
        <w:rPr>
          <w:rFonts w:cstheme="minorHAnsi"/>
          <w:b/>
          <w:sz w:val="24"/>
          <w:szCs w:val="24"/>
        </w:rPr>
        <w:tab/>
      </w:r>
    </w:p>
    <w:p w14:paraId="41CDFC58" w14:textId="77777777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sz w:val="24"/>
          <w:szCs w:val="24"/>
        </w:rPr>
        <w:t>In addition to the budget information required on the SF-424A, applicants must provide the following three elements as part of the budget submission:</w:t>
      </w:r>
      <w:r w:rsidRPr="00F32DD6">
        <w:rPr>
          <w:rFonts w:cstheme="minorHAnsi"/>
          <w:sz w:val="24"/>
          <w:szCs w:val="24"/>
        </w:rPr>
        <w:tab/>
      </w:r>
    </w:p>
    <w:p w14:paraId="16568B65" w14:textId="77777777" w:rsidR="00F32DD6" w:rsidRPr="00F32DD6" w:rsidRDefault="00F32DD6" w:rsidP="00F32DD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32DD6">
        <w:rPr>
          <w:rFonts w:cstheme="minorHAnsi"/>
          <w:b/>
          <w:sz w:val="24"/>
          <w:szCs w:val="24"/>
        </w:rPr>
        <w:t>Summary Budget</w:t>
      </w:r>
      <w:r>
        <w:rPr>
          <w:rFonts w:cstheme="minorHAnsi"/>
          <w:sz w:val="24"/>
          <w:szCs w:val="24"/>
        </w:rPr>
        <w:t xml:space="preserve"> </w:t>
      </w:r>
      <w:r w:rsidRPr="00C00618">
        <w:rPr>
          <w:rFonts w:cstheme="minorHAnsi"/>
          <w:color w:val="4472C4" w:themeColor="accent5"/>
          <w:sz w:val="24"/>
          <w:szCs w:val="24"/>
        </w:rPr>
        <w:t>using the OMB-approved cost categories (see SF-425A)</w:t>
      </w:r>
    </w:p>
    <w:p w14:paraId="112E69DA" w14:textId="77777777" w:rsidR="00F32DD6" w:rsidRPr="00F32DD6" w:rsidRDefault="00F32DD6" w:rsidP="00F32DD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32DD6">
        <w:rPr>
          <w:rFonts w:cstheme="minorHAnsi"/>
          <w:b/>
          <w:sz w:val="24"/>
          <w:szCs w:val="24"/>
        </w:rPr>
        <w:t>Detailed Line Item Budget</w:t>
      </w:r>
      <w:r w:rsidRPr="00F32DD6">
        <w:rPr>
          <w:rFonts w:cstheme="minorHAnsi"/>
          <w:sz w:val="24"/>
          <w:szCs w:val="24"/>
        </w:rPr>
        <w:t xml:space="preserve"> utilizing the attached budget template; you may</w:t>
      </w:r>
      <w:r>
        <w:rPr>
          <w:rFonts w:cstheme="minorHAnsi"/>
          <w:sz w:val="24"/>
          <w:szCs w:val="24"/>
        </w:rPr>
        <w:t xml:space="preserve"> insert as many lines as needed</w:t>
      </w:r>
    </w:p>
    <w:p w14:paraId="3C9F8099" w14:textId="77777777" w:rsidR="00F32DD6" w:rsidRPr="00F32DD6" w:rsidRDefault="00F32DD6" w:rsidP="00F32DD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32DD6">
        <w:rPr>
          <w:rFonts w:cstheme="minorHAnsi"/>
          <w:b/>
          <w:sz w:val="24"/>
          <w:szCs w:val="24"/>
        </w:rPr>
        <w:t>Budget Narrative</w:t>
      </w:r>
      <w:r w:rsidRPr="00F32DD6">
        <w:rPr>
          <w:rFonts w:cstheme="minorHAnsi"/>
          <w:sz w:val="24"/>
          <w:szCs w:val="24"/>
        </w:rPr>
        <w:t xml:space="preserve"> should provide explanation and justification of costs in the same order as the</w:t>
      </w:r>
      <w:r>
        <w:rPr>
          <w:rFonts w:cstheme="minorHAnsi"/>
          <w:sz w:val="24"/>
          <w:szCs w:val="24"/>
        </w:rPr>
        <w:t>y are listed on the spreadsheet</w:t>
      </w:r>
    </w:p>
    <w:p w14:paraId="4E155475" w14:textId="77777777" w:rsidR="00F32DD6" w:rsidRPr="00F32DD6" w:rsidRDefault="00F32DD6" w:rsidP="00F32DD6">
      <w:pPr>
        <w:rPr>
          <w:rFonts w:cstheme="minorHAnsi"/>
          <w:b/>
          <w:sz w:val="24"/>
          <w:szCs w:val="24"/>
        </w:rPr>
      </w:pPr>
      <w:r w:rsidRPr="00F32DD6">
        <w:rPr>
          <w:rFonts w:cstheme="minorHAnsi"/>
          <w:b/>
          <w:sz w:val="24"/>
          <w:szCs w:val="24"/>
        </w:rPr>
        <w:t xml:space="preserve">Detailed Line Item Budget  </w:t>
      </w:r>
      <w:r w:rsidRPr="00F32DD6">
        <w:rPr>
          <w:rFonts w:cstheme="minorHAnsi"/>
          <w:b/>
          <w:sz w:val="24"/>
          <w:szCs w:val="24"/>
        </w:rPr>
        <w:tab/>
      </w:r>
    </w:p>
    <w:p w14:paraId="2355F568" w14:textId="77777777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sz w:val="24"/>
          <w:szCs w:val="24"/>
        </w:rPr>
        <w:t xml:space="preserve">Applicants must provide a detailed line-item budget (in Microsoft Excel or identical spreadsheet format) outlining specific cost requirements within each of the summary budget categories. </w:t>
      </w:r>
      <w:r w:rsidRPr="00F32DD6">
        <w:rPr>
          <w:rFonts w:cstheme="minorHAnsi"/>
          <w:sz w:val="24"/>
          <w:szCs w:val="24"/>
        </w:rPr>
        <w:tab/>
      </w:r>
    </w:p>
    <w:p w14:paraId="33B455A6" w14:textId="77777777" w:rsidR="00F32DD6" w:rsidRPr="00F32DD6" w:rsidRDefault="00F32DD6" w:rsidP="00F32DD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12-</w:t>
      </w:r>
      <w:r w:rsidRPr="00F32DD6">
        <w:rPr>
          <w:rFonts w:cstheme="minorHAnsi"/>
          <w:sz w:val="24"/>
          <w:szCs w:val="24"/>
        </w:rPr>
        <w:t xml:space="preserve">font as a minimum; must fit on </w:t>
      </w:r>
      <w:r w:rsidRPr="00C00618">
        <w:rPr>
          <w:rFonts w:cstheme="minorHAnsi"/>
          <w:b/>
          <w:sz w:val="24"/>
          <w:szCs w:val="24"/>
        </w:rPr>
        <w:t>8x11 letter-sized paper</w:t>
      </w:r>
      <w:r>
        <w:rPr>
          <w:rFonts w:cstheme="minorHAnsi"/>
          <w:sz w:val="24"/>
          <w:szCs w:val="24"/>
        </w:rPr>
        <w:t xml:space="preserve">. </w:t>
      </w:r>
      <w:r w:rsidRPr="00F32DD6">
        <w:rPr>
          <w:rFonts w:cstheme="minorHAnsi"/>
          <w:sz w:val="24"/>
          <w:szCs w:val="24"/>
        </w:rPr>
        <w:t xml:space="preserve">Do NOT use legal size  </w:t>
      </w:r>
    </w:p>
    <w:p w14:paraId="284683FE" w14:textId="77777777" w:rsidR="00F32DD6" w:rsidRPr="00F32DD6" w:rsidRDefault="00F32DD6" w:rsidP="00F32DD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32DD6">
        <w:rPr>
          <w:rFonts w:cstheme="minorHAnsi"/>
          <w:sz w:val="24"/>
          <w:szCs w:val="24"/>
        </w:rPr>
        <w:t>Cost-sharing should be included in a separate Cost-Share colum</w:t>
      </w:r>
      <w:r>
        <w:rPr>
          <w:rFonts w:cstheme="minorHAnsi"/>
          <w:sz w:val="24"/>
          <w:szCs w:val="24"/>
        </w:rPr>
        <w:t xml:space="preserve">n, follow the budget template. </w:t>
      </w:r>
      <w:r w:rsidRPr="00F32DD6">
        <w:rPr>
          <w:rFonts w:cstheme="minorHAnsi"/>
          <w:sz w:val="24"/>
          <w:szCs w:val="24"/>
        </w:rPr>
        <w:t>Cost-share also must be itemized, explained and justified in the budget narrative</w:t>
      </w:r>
    </w:p>
    <w:p w14:paraId="34427413" w14:textId="77777777" w:rsidR="00F32DD6" w:rsidRPr="00C00618" w:rsidRDefault="00F32DD6" w:rsidP="00F32DD6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F32DD6">
        <w:rPr>
          <w:rFonts w:cstheme="minorHAnsi"/>
          <w:sz w:val="24"/>
          <w:szCs w:val="24"/>
        </w:rPr>
        <w:t>The budget should be for the ENTIRE project perio</w:t>
      </w:r>
      <w:r>
        <w:rPr>
          <w:rFonts w:cstheme="minorHAnsi"/>
          <w:sz w:val="24"/>
          <w:szCs w:val="24"/>
        </w:rPr>
        <w:t xml:space="preserve">d, state the number of MONTHS. </w:t>
      </w:r>
      <w:r w:rsidRPr="00C00618">
        <w:rPr>
          <w:rFonts w:cstheme="minorHAnsi"/>
          <w:b/>
          <w:sz w:val="24"/>
          <w:szCs w:val="24"/>
        </w:rPr>
        <w:t xml:space="preserve">Do not put start and end dates.  </w:t>
      </w:r>
    </w:p>
    <w:p w14:paraId="746BDDB5" w14:textId="77777777" w:rsidR="00F32DD6" w:rsidRPr="00F32DD6" w:rsidRDefault="00F32DD6" w:rsidP="00F32DD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32DD6">
        <w:rPr>
          <w:rFonts w:cstheme="minorHAnsi"/>
          <w:sz w:val="24"/>
          <w:szCs w:val="24"/>
        </w:rPr>
        <w:t>All budget line items must be described in the budget narrative in the same order as they are listed in the budget spreadsheet.</w:t>
      </w:r>
    </w:p>
    <w:p w14:paraId="69255CAA" w14:textId="77777777" w:rsidR="00F32DD6" w:rsidRPr="00F32DD6" w:rsidRDefault="00F32DD6" w:rsidP="00F32DD6">
      <w:pPr>
        <w:rPr>
          <w:rFonts w:cstheme="minorHAnsi"/>
          <w:b/>
          <w:sz w:val="24"/>
          <w:szCs w:val="24"/>
          <w:u w:val="single"/>
        </w:rPr>
      </w:pPr>
      <w:r w:rsidRPr="00F32DD6">
        <w:rPr>
          <w:rFonts w:cstheme="minorHAnsi"/>
          <w:b/>
          <w:sz w:val="24"/>
          <w:szCs w:val="24"/>
          <w:u w:val="single"/>
        </w:rPr>
        <w:t>COST CATEGORIES</w:t>
      </w:r>
      <w:r w:rsidRPr="00F32DD6">
        <w:rPr>
          <w:rFonts w:cstheme="minorHAnsi"/>
          <w:sz w:val="24"/>
          <w:szCs w:val="24"/>
        </w:rPr>
        <w:tab/>
      </w:r>
    </w:p>
    <w:p w14:paraId="5960E5F5" w14:textId="25065AF3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b/>
          <w:sz w:val="24"/>
          <w:szCs w:val="24"/>
        </w:rPr>
        <w:t>Personnel</w:t>
      </w:r>
      <w:r>
        <w:rPr>
          <w:rFonts w:cstheme="minorHAnsi"/>
          <w:sz w:val="24"/>
          <w:szCs w:val="24"/>
        </w:rPr>
        <w:t xml:space="preserve"> –</w:t>
      </w:r>
      <w:r w:rsidRPr="00F32DD6">
        <w:rPr>
          <w:rFonts w:cstheme="minorHAnsi"/>
          <w:sz w:val="24"/>
          <w:szCs w:val="24"/>
        </w:rPr>
        <w:t xml:space="preserve"> identify staffing by each position separately, such as title under THIS </w:t>
      </w:r>
      <w:proofErr w:type="gramStart"/>
      <w:r w:rsidRPr="00F32DD6">
        <w:rPr>
          <w:rFonts w:cstheme="minorHAnsi"/>
          <w:sz w:val="24"/>
          <w:szCs w:val="24"/>
        </w:rPr>
        <w:t>award and name of the employee (for k</w:t>
      </w:r>
      <w:r>
        <w:rPr>
          <w:rFonts w:cstheme="minorHAnsi"/>
          <w:sz w:val="24"/>
          <w:szCs w:val="24"/>
        </w:rPr>
        <w:t>ey personnel only)</w:t>
      </w:r>
      <w:proofErr w:type="gramEnd"/>
      <w:r>
        <w:rPr>
          <w:rFonts w:cstheme="minorHAnsi"/>
          <w:sz w:val="24"/>
          <w:szCs w:val="24"/>
        </w:rPr>
        <w:t xml:space="preserve"> and provide </w:t>
      </w:r>
      <w:r w:rsidRPr="00F32DD6">
        <w:rPr>
          <w:rFonts w:cstheme="minorHAnsi"/>
          <w:sz w:val="24"/>
          <w:szCs w:val="24"/>
        </w:rPr>
        <w:t>clear and concise description of the duties under THIS project in the budget narrative.    List annual salary for e</w:t>
      </w:r>
      <w:r w:rsidR="00BB0BCF">
        <w:rPr>
          <w:rFonts w:cstheme="minorHAnsi"/>
          <w:sz w:val="24"/>
          <w:szCs w:val="24"/>
        </w:rPr>
        <w:t xml:space="preserve">ach position, number of months </w:t>
      </w:r>
      <w:r w:rsidRPr="00F32DD6">
        <w:rPr>
          <w:rFonts w:cstheme="minorHAnsi"/>
          <w:sz w:val="24"/>
          <w:szCs w:val="24"/>
        </w:rPr>
        <w:t>and percentage of time (LOE) devoted to project (e.g., Administrative Director/</w:t>
      </w:r>
      <w:proofErr w:type="gramStart"/>
      <w:r w:rsidRPr="00F32DD6">
        <w:rPr>
          <w:rFonts w:cstheme="minorHAnsi"/>
          <w:sz w:val="24"/>
          <w:szCs w:val="24"/>
        </w:rPr>
        <w:t>Name :</w:t>
      </w:r>
      <w:proofErr w:type="gramEnd"/>
      <w:r w:rsidRPr="00F32DD6">
        <w:rPr>
          <w:rFonts w:cstheme="minorHAnsi"/>
          <w:sz w:val="24"/>
          <w:szCs w:val="24"/>
        </w:rPr>
        <w:t xml:space="preserve">  $30,000/year x 25% x 8.5 months; </w:t>
      </w:r>
      <w:r w:rsidRPr="00C00618">
        <w:rPr>
          <w:rFonts w:cstheme="minorHAnsi"/>
          <w:sz w:val="24"/>
          <w:szCs w:val="24"/>
          <w:u w:val="single"/>
        </w:rPr>
        <w:t>calculation</w:t>
      </w:r>
      <w:r w:rsidRPr="00F32DD6">
        <w:rPr>
          <w:rFonts w:cstheme="minorHAnsi"/>
          <w:sz w:val="24"/>
          <w:szCs w:val="24"/>
        </w:rPr>
        <w:t>:  $30,000/12 = $2,500 x 25% x 8.5 months = $5,312).  General oversight, such as exec</w:t>
      </w:r>
      <w:r w:rsidR="00BB0BCF">
        <w:rPr>
          <w:rFonts w:cstheme="minorHAnsi"/>
          <w:sz w:val="24"/>
          <w:szCs w:val="24"/>
        </w:rPr>
        <w:t>utive director, president, etc.</w:t>
      </w:r>
      <w:r w:rsidRPr="00F32DD6">
        <w:rPr>
          <w:rFonts w:cstheme="minorHAnsi"/>
          <w:sz w:val="24"/>
          <w:szCs w:val="24"/>
        </w:rPr>
        <w:t xml:space="preserve"> should not be listed under Personnel; instead their salaries should be charged as indirect costs. </w:t>
      </w:r>
      <w:r w:rsidRPr="00F32DD6">
        <w:rPr>
          <w:rFonts w:cstheme="minorHAnsi"/>
          <w:sz w:val="24"/>
          <w:szCs w:val="24"/>
        </w:rPr>
        <w:tab/>
      </w:r>
    </w:p>
    <w:p w14:paraId="7562E009" w14:textId="77777777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b/>
          <w:sz w:val="24"/>
          <w:szCs w:val="24"/>
        </w:rPr>
        <w:t>Fringe Benefits</w:t>
      </w:r>
      <w:r>
        <w:rPr>
          <w:rFonts w:cstheme="minorHAnsi"/>
          <w:sz w:val="24"/>
          <w:szCs w:val="24"/>
        </w:rPr>
        <w:t xml:space="preserve"> – </w:t>
      </w:r>
      <w:r w:rsidRPr="00F32DD6">
        <w:rPr>
          <w:rFonts w:cstheme="minorHAnsi"/>
          <w:sz w:val="24"/>
          <w:szCs w:val="24"/>
        </w:rPr>
        <w:t>State benefit costs SEPARATELY from salary costs and explain how benefits are computed for each category of employee - specify type and rate.  Housing,  allowances and relocation costs are NOT fringe benefits, those should be charged as Other Direct Costs</w:t>
      </w:r>
      <w:r>
        <w:rPr>
          <w:rFonts w:cstheme="minorHAnsi"/>
          <w:sz w:val="24"/>
          <w:szCs w:val="24"/>
        </w:rPr>
        <w:t xml:space="preserve"> (ODC), please see 2 CFR 200).</w:t>
      </w:r>
      <w:r>
        <w:rPr>
          <w:rFonts w:cstheme="minorHAnsi"/>
          <w:sz w:val="24"/>
          <w:szCs w:val="24"/>
        </w:rPr>
        <w:tab/>
      </w:r>
    </w:p>
    <w:p w14:paraId="6D39B905" w14:textId="27BC46CA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b/>
          <w:sz w:val="24"/>
          <w:szCs w:val="24"/>
        </w:rPr>
        <w:t xml:space="preserve">Travel </w:t>
      </w:r>
      <w:r>
        <w:rPr>
          <w:rFonts w:cstheme="minorHAnsi"/>
          <w:sz w:val="24"/>
          <w:szCs w:val="24"/>
        </w:rPr>
        <w:t>–</w:t>
      </w:r>
      <w:r w:rsidRPr="00F32DD6">
        <w:rPr>
          <w:rFonts w:cstheme="minorHAnsi"/>
          <w:sz w:val="24"/>
          <w:szCs w:val="24"/>
        </w:rPr>
        <w:t xml:space="preserve"> STAFF travel only, including international and in-host </w:t>
      </w:r>
      <w:r w:rsidR="00BB0BCF">
        <w:rPr>
          <w:rFonts w:cstheme="minorHAnsi"/>
          <w:sz w:val="24"/>
          <w:szCs w:val="24"/>
        </w:rPr>
        <w:t>country travel or U.S. travel (</w:t>
      </w:r>
      <w:r w:rsidRPr="00F32DD6">
        <w:rPr>
          <w:rFonts w:cstheme="minorHAnsi"/>
          <w:sz w:val="24"/>
          <w:szCs w:val="24"/>
        </w:rPr>
        <w:t xml:space="preserve">if applicable).  Separate airfare, or ground transportation, from per diem.  Indicate origin and destination, follow the template.  Per </w:t>
      </w:r>
      <w:proofErr w:type="gramStart"/>
      <w:r w:rsidRPr="00F32DD6">
        <w:rPr>
          <w:rFonts w:cstheme="minorHAnsi"/>
          <w:sz w:val="24"/>
          <w:szCs w:val="24"/>
        </w:rPr>
        <w:t>diem</w:t>
      </w:r>
      <w:proofErr w:type="gramEnd"/>
      <w:r w:rsidRPr="00F32DD6">
        <w:rPr>
          <w:rFonts w:cstheme="minorHAnsi"/>
          <w:sz w:val="24"/>
          <w:szCs w:val="24"/>
        </w:rPr>
        <w:t xml:space="preserve"> must be </w:t>
      </w:r>
      <w:r w:rsidRPr="00C00618">
        <w:rPr>
          <w:rFonts w:cstheme="minorHAnsi"/>
          <w:b/>
          <w:sz w:val="24"/>
          <w:szCs w:val="24"/>
        </w:rPr>
        <w:t>listed separately</w:t>
      </w:r>
      <w:r w:rsidRPr="00F32DD6">
        <w:rPr>
          <w:rFonts w:cstheme="minorHAnsi"/>
          <w:sz w:val="24"/>
          <w:szCs w:val="24"/>
        </w:rPr>
        <w:t xml:space="preserve">:  includes lodging, meals and incidentals.  Indicate the origin and destination (country/city), same for per diem.   </w:t>
      </w:r>
      <w:r w:rsidRPr="00F32DD6">
        <w:rPr>
          <w:rFonts w:cstheme="minorHAnsi"/>
          <w:sz w:val="24"/>
          <w:szCs w:val="24"/>
        </w:rPr>
        <w:tab/>
      </w:r>
    </w:p>
    <w:p w14:paraId="5A7BE97A" w14:textId="77777777" w:rsidR="00F32DD6" w:rsidRPr="00F32DD6" w:rsidRDefault="002E0DBE" w:rsidP="00F32DD6">
      <w:pPr>
        <w:rPr>
          <w:rFonts w:cstheme="minorHAnsi"/>
          <w:sz w:val="24"/>
          <w:szCs w:val="24"/>
        </w:rPr>
      </w:pPr>
      <w:hyperlink r:id="rId9" w:history="1">
        <w:r w:rsidR="00F32DD6" w:rsidRPr="0019133E">
          <w:rPr>
            <w:rStyle w:val="Hyperlink"/>
            <w:rFonts w:cstheme="minorHAnsi"/>
            <w:sz w:val="24"/>
            <w:szCs w:val="24"/>
          </w:rPr>
          <w:t>http://www.gsa.gov/portal/category/100000</w:t>
        </w:r>
      </w:hyperlink>
      <w:r w:rsidR="00F32DD6">
        <w:rPr>
          <w:rFonts w:cstheme="minorHAnsi"/>
          <w:sz w:val="24"/>
          <w:szCs w:val="24"/>
        </w:rPr>
        <w:t xml:space="preserve"> </w:t>
      </w:r>
      <w:r w:rsidR="00F32DD6">
        <w:rPr>
          <w:rFonts w:cstheme="minorHAnsi"/>
          <w:sz w:val="24"/>
          <w:szCs w:val="24"/>
        </w:rPr>
        <w:tab/>
      </w:r>
    </w:p>
    <w:p w14:paraId="5EB8E67A" w14:textId="141D9ACC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sz w:val="24"/>
          <w:szCs w:val="24"/>
        </w:rPr>
        <w:t>Explain differences in airfares among trave</w:t>
      </w:r>
      <w:r w:rsidR="00BB0BCF">
        <w:rPr>
          <w:rFonts w:cstheme="minorHAnsi"/>
          <w:sz w:val="24"/>
          <w:szCs w:val="24"/>
        </w:rPr>
        <w:t xml:space="preserve">lers on the same routes, e.g., </w:t>
      </w:r>
      <w:r w:rsidRPr="00F32DD6">
        <w:rPr>
          <w:rFonts w:cstheme="minorHAnsi"/>
          <w:sz w:val="24"/>
          <w:szCs w:val="24"/>
        </w:rPr>
        <w:t>project staff member traveling for three weeks whose fare is higher than that of a staff member traveling for four months.  All travel must be in compliance with the Fly America Act.  Economy class only.  NO exceptions</w:t>
      </w:r>
      <w:r w:rsidRPr="00F32DD6">
        <w:rPr>
          <w:rFonts w:cstheme="minorHAnsi"/>
          <w:sz w:val="24"/>
          <w:szCs w:val="24"/>
        </w:rPr>
        <w:tab/>
      </w:r>
    </w:p>
    <w:p w14:paraId="766ECB81" w14:textId="77777777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b/>
          <w:sz w:val="24"/>
          <w:szCs w:val="24"/>
        </w:rPr>
        <w:t>Supplies</w:t>
      </w:r>
      <w:r>
        <w:rPr>
          <w:rFonts w:cstheme="minorHAnsi"/>
          <w:sz w:val="24"/>
          <w:szCs w:val="24"/>
        </w:rPr>
        <w:t xml:space="preserve"> – </w:t>
      </w:r>
      <w:r w:rsidRPr="00F32DD6">
        <w:rPr>
          <w:rFonts w:cstheme="minorHAnsi"/>
          <w:sz w:val="24"/>
          <w:szCs w:val="24"/>
        </w:rPr>
        <w:t xml:space="preserve">Program supplies only.  Itemize, using </w:t>
      </w:r>
      <w:r w:rsidRPr="00C00618">
        <w:rPr>
          <w:rFonts w:cstheme="minorHAnsi"/>
          <w:b/>
          <w:sz w:val="24"/>
          <w:szCs w:val="24"/>
        </w:rPr>
        <w:t>unit</w:t>
      </w:r>
      <w:r w:rsidRPr="00F32DD6">
        <w:rPr>
          <w:rFonts w:cstheme="minorHAnsi"/>
          <w:sz w:val="24"/>
          <w:szCs w:val="24"/>
        </w:rPr>
        <w:t xml:space="preserve"> costs to the maximum extent practicable.  Program supplies must be </w:t>
      </w:r>
      <w:r w:rsidRPr="00C00618">
        <w:rPr>
          <w:rFonts w:cstheme="minorHAnsi"/>
          <w:b/>
          <w:sz w:val="24"/>
          <w:szCs w:val="24"/>
        </w:rPr>
        <w:t>allocable and necessary</w:t>
      </w:r>
      <w:r w:rsidRPr="00F32DD6">
        <w:rPr>
          <w:rFonts w:cstheme="minorHAnsi"/>
          <w:sz w:val="24"/>
          <w:szCs w:val="24"/>
        </w:rPr>
        <w:t xml:space="preserve"> to successfully carry out the project. </w:t>
      </w:r>
      <w:r w:rsidRPr="00F32DD6">
        <w:rPr>
          <w:rFonts w:cstheme="minorHAnsi"/>
          <w:sz w:val="24"/>
          <w:szCs w:val="24"/>
        </w:rPr>
        <w:tab/>
      </w:r>
    </w:p>
    <w:p w14:paraId="1382175E" w14:textId="4C61C73D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b/>
          <w:sz w:val="24"/>
          <w:szCs w:val="24"/>
        </w:rPr>
        <w:t>Equipment</w:t>
      </w:r>
      <w:r w:rsidRPr="00F32DD6">
        <w:rPr>
          <w:rFonts w:cstheme="minorHAnsi"/>
          <w:sz w:val="24"/>
          <w:szCs w:val="24"/>
        </w:rPr>
        <w:t xml:space="preserve"> – Provide justification for any equipment purchase defined as tangible property (including i</w:t>
      </w:r>
      <w:r w:rsidR="00BB0BCF">
        <w:rPr>
          <w:rFonts w:cstheme="minorHAnsi"/>
          <w:sz w:val="24"/>
          <w:szCs w:val="24"/>
        </w:rPr>
        <w:t xml:space="preserve">nformation technology systems) </w:t>
      </w:r>
      <w:r w:rsidRPr="00F32DD6">
        <w:rPr>
          <w:rFonts w:cstheme="minorHAnsi"/>
          <w:sz w:val="24"/>
          <w:szCs w:val="24"/>
        </w:rPr>
        <w:t xml:space="preserve">and having a useful life of more than one year and an acquisition cost of $5000 or more per </w:t>
      </w:r>
      <w:r w:rsidRPr="00C00618">
        <w:rPr>
          <w:rFonts w:cstheme="minorHAnsi"/>
          <w:b/>
          <w:sz w:val="24"/>
          <w:szCs w:val="24"/>
        </w:rPr>
        <w:t>unit</w:t>
      </w:r>
      <w:r w:rsidRPr="00F32DD6">
        <w:rPr>
          <w:rFonts w:cstheme="minorHAnsi"/>
          <w:sz w:val="24"/>
          <w:szCs w:val="24"/>
        </w:rPr>
        <w:t xml:space="preserve"> cost.</w:t>
      </w:r>
      <w:r w:rsidRPr="00F32DD6">
        <w:rPr>
          <w:rFonts w:cstheme="minorHAnsi"/>
          <w:sz w:val="24"/>
          <w:szCs w:val="24"/>
        </w:rPr>
        <w:tab/>
      </w:r>
    </w:p>
    <w:p w14:paraId="00C71C3D" w14:textId="361CBDA7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b/>
          <w:sz w:val="24"/>
          <w:szCs w:val="24"/>
          <w:u w:val="single"/>
        </w:rPr>
        <w:t>Contractual</w:t>
      </w:r>
      <w:r>
        <w:rPr>
          <w:rFonts w:cstheme="minorHAnsi"/>
          <w:sz w:val="24"/>
          <w:szCs w:val="24"/>
        </w:rPr>
        <w:t xml:space="preserve">: </w:t>
      </w:r>
      <w:r w:rsidRPr="00F32DD6">
        <w:rPr>
          <w:rFonts w:cstheme="minorHAnsi"/>
          <w:sz w:val="24"/>
          <w:szCs w:val="24"/>
        </w:rPr>
        <w:t>List sub-award and individual consultant/or other outside expert costs in this cost category.  1) Sub-Recipients -- Sub-Recipient is a legal entity carrying out a portion of the award.  Provide legal name and a lump sum of the sub-award.  Additional detailed budget required.  For each sub-award provide a detailed line item breakdown (using the same budget template); explain and justify each cost.  Provide the sam</w:t>
      </w:r>
      <w:r w:rsidR="00BB0BCF">
        <w:rPr>
          <w:rFonts w:cstheme="minorHAnsi"/>
          <w:sz w:val="24"/>
          <w:szCs w:val="24"/>
        </w:rPr>
        <w:t xml:space="preserve">e level of detail </w:t>
      </w:r>
      <w:r w:rsidRPr="00F32DD6">
        <w:rPr>
          <w:rFonts w:cstheme="minorHAnsi"/>
          <w:sz w:val="24"/>
          <w:szCs w:val="24"/>
        </w:rPr>
        <w:t>as required of the direct applicant. 2)  Individual experts (consultants, evaluators, etc</w:t>
      </w:r>
      <w:proofErr w:type="gramStart"/>
      <w:r w:rsidRPr="00F32DD6">
        <w:rPr>
          <w:rFonts w:cstheme="minorHAnsi"/>
          <w:sz w:val="24"/>
          <w:szCs w:val="24"/>
        </w:rPr>
        <w:t>. )</w:t>
      </w:r>
      <w:proofErr w:type="gramEnd"/>
      <w:r w:rsidRPr="00F32DD6">
        <w:rPr>
          <w:rFonts w:cstheme="minorHAnsi"/>
          <w:sz w:val="24"/>
          <w:szCs w:val="24"/>
        </w:rPr>
        <w:t xml:space="preserve"> -- explain the duties,  provide daily fee, explain and justify.  Consultant travel and per diem must be listed separately (insert more lines if needed).  </w:t>
      </w:r>
      <w:r w:rsidRPr="00F32DD6">
        <w:rPr>
          <w:rFonts w:cstheme="minorHAnsi"/>
          <w:sz w:val="24"/>
          <w:szCs w:val="24"/>
        </w:rPr>
        <w:tab/>
      </w:r>
    </w:p>
    <w:p w14:paraId="7192EE47" w14:textId="515E91E0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sz w:val="24"/>
          <w:szCs w:val="24"/>
        </w:rPr>
        <w:t>Individual outside expert daily fees must be sepa</w:t>
      </w:r>
      <w:r w:rsidR="00BB0BCF">
        <w:rPr>
          <w:rFonts w:cstheme="minorHAnsi"/>
          <w:sz w:val="24"/>
          <w:szCs w:val="24"/>
        </w:rPr>
        <w:t>rated from other costs, such as</w:t>
      </w:r>
      <w:r w:rsidRPr="00F32DD6">
        <w:rPr>
          <w:rFonts w:cstheme="minorHAnsi"/>
          <w:sz w:val="24"/>
          <w:szCs w:val="24"/>
        </w:rPr>
        <w:t xml:space="preserve"> travel and per diem costs, if applicable.   Airfare must be separated from per diem (see</w:t>
      </w:r>
      <w:r>
        <w:rPr>
          <w:rFonts w:cstheme="minorHAnsi"/>
          <w:sz w:val="24"/>
          <w:szCs w:val="24"/>
        </w:rPr>
        <w:t xml:space="preserve"> the travel guidance above).  </w:t>
      </w:r>
      <w:r>
        <w:rPr>
          <w:rFonts w:cstheme="minorHAnsi"/>
          <w:sz w:val="24"/>
          <w:szCs w:val="24"/>
        </w:rPr>
        <w:tab/>
      </w:r>
    </w:p>
    <w:p w14:paraId="2CCC1ABF" w14:textId="77777777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b/>
          <w:sz w:val="24"/>
          <w:szCs w:val="24"/>
          <w:u w:val="single"/>
        </w:rPr>
        <w:t>Other Direct Costs</w:t>
      </w:r>
      <w:r>
        <w:rPr>
          <w:rFonts w:cstheme="minorHAnsi"/>
          <w:sz w:val="24"/>
          <w:szCs w:val="24"/>
        </w:rPr>
        <w:t xml:space="preserve"> –</w:t>
      </w:r>
      <w:r w:rsidRPr="00F32DD6">
        <w:rPr>
          <w:rFonts w:cstheme="minorHAnsi"/>
          <w:sz w:val="24"/>
          <w:szCs w:val="24"/>
        </w:rPr>
        <w:t xml:space="preserve"> Costs that do not fall under any of the previous cost categories, such as printing/copying/postage/telephone/venue or vehicle rental/visa or bank fees, etc. or other conference or workshop costs,  such as venue rental, etc.  Costs may vary depending on the scope of the project.  Provide a justification for each cost to the maxi</w:t>
      </w:r>
      <w:r>
        <w:rPr>
          <w:rFonts w:cstheme="minorHAnsi"/>
          <w:sz w:val="24"/>
          <w:szCs w:val="24"/>
        </w:rPr>
        <w:t xml:space="preserve">mum extent practicable. </w:t>
      </w:r>
      <w:r>
        <w:rPr>
          <w:rFonts w:cstheme="minorHAnsi"/>
          <w:sz w:val="24"/>
          <w:szCs w:val="24"/>
        </w:rPr>
        <w:tab/>
      </w:r>
    </w:p>
    <w:p w14:paraId="2D2AE7A1" w14:textId="77777777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b/>
          <w:sz w:val="24"/>
          <w:szCs w:val="24"/>
          <w:u w:val="single"/>
        </w:rPr>
        <w:t>Indirect Charges</w:t>
      </w:r>
      <w:r>
        <w:rPr>
          <w:rFonts w:cstheme="minorHAnsi"/>
          <w:sz w:val="24"/>
          <w:szCs w:val="24"/>
        </w:rPr>
        <w:t xml:space="preserve"> </w:t>
      </w:r>
      <w:r w:rsidRPr="00F32DD6">
        <w:rPr>
          <w:rFonts w:cstheme="minorHAnsi"/>
          <w:sz w:val="24"/>
          <w:szCs w:val="24"/>
        </w:rPr>
        <w:t xml:space="preserve"> </w:t>
      </w:r>
      <w:r w:rsidRPr="00F32DD6">
        <w:rPr>
          <w:rFonts w:cstheme="minorHAnsi"/>
          <w:sz w:val="24"/>
          <w:szCs w:val="24"/>
        </w:rPr>
        <w:tab/>
      </w:r>
    </w:p>
    <w:p w14:paraId="6204E7F3" w14:textId="4A668E8D" w:rsidR="00F32DD6" w:rsidRPr="00F32DD6" w:rsidRDefault="00F32DD6" w:rsidP="00F32DD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32DD6">
        <w:rPr>
          <w:rFonts w:cstheme="minorHAnsi"/>
          <w:sz w:val="24"/>
          <w:szCs w:val="24"/>
        </w:rPr>
        <w:t xml:space="preserve">If </w:t>
      </w:r>
      <w:r w:rsidR="00BB0BCF">
        <w:rPr>
          <w:rFonts w:cstheme="minorHAnsi"/>
          <w:sz w:val="24"/>
          <w:szCs w:val="24"/>
        </w:rPr>
        <w:t>your organization has a current</w:t>
      </w:r>
      <w:r w:rsidRPr="00F32DD6">
        <w:rPr>
          <w:rFonts w:cstheme="minorHAnsi"/>
          <w:sz w:val="24"/>
          <w:szCs w:val="24"/>
        </w:rPr>
        <w:t xml:space="preserve"> indirect cost-rate agreement (NICRA) with the U.S. Government, a copy must be included with the application.  </w:t>
      </w:r>
    </w:p>
    <w:p w14:paraId="714334A9" w14:textId="77777777" w:rsidR="00F32DD6" w:rsidRPr="00F32DD6" w:rsidRDefault="00F32DD6" w:rsidP="00F32DD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32DD6">
        <w:rPr>
          <w:rFonts w:cstheme="minorHAnsi"/>
          <w:sz w:val="24"/>
          <w:szCs w:val="24"/>
        </w:rPr>
        <w:t xml:space="preserve">If your organization does not have a NICRA, you may apply a de </w:t>
      </w:r>
      <w:proofErr w:type="spellStart"/>
      <w:r w:rsidRPr="00F32DD6">
        <w:rPr>
          <w:rFonts w:cstheme="minorHAnsi"/>
          <w:sz w:val="24"/>
          <w:szCs w:val="24"/>
        </w:rPr>
        <w:t>minimis</w:t>
      </w:r>
      <w:proofErr w:type="spellEnd"/>
      <w:r w:rsidRPr="00F32DD6">
        <w:rPr>
          <w:rFonts w:cstheme="minorHAnsi"/>
          <w:sz w:val="24"/>
          <w:szCs w:val="24"/>
        </w:rPr>
        <w:t xml:space="preserve"> rate of up to 10% of </w:t>
      </w:r>
      <w:r w:rsidRPr="00C00618">
        <w:rPr>
          <w:rFonts w:cstheme="minorHAnsi"/>
          <w:b/>
          <w:sz w:val="24"/>
          <w:szCs w:val="24"/>
        </w:rPr>
        <w:t xml:space="preserve">Modified Total Direct Costs (MTDC) </w:t>
      </w:r>
      <w:r w:rsidRPr="00C00618">
        <w:rPr>
          <w:rFonts w:cstheme="minorHAnsi"/>
          <w:sz w:val="24"/>
          <w:szCs w:val="24"/>
        </w:rPr>
        <w:t>as defined in 2 CFR 200</w:t>
      </w:r>
      <w:r w:rsidRPr="00F32DD6">
        <w:rPr>
          <w:rFonts w:cstheme="minorHAnsi"/>
          <w:sz w:val="24"/>
          <w:szCs w:val="24"/>
        </w:rPr>
        <w:t>.  Provide an explanation in the budget narrative</w:t>
      </w:r>
    </w:p>
    <w:p w14:paraId="3A481A00" w14:textId="77777777" w:rsidR="00F32DD6" w:rsidRPr="00F32DD6" w:rsidRDefault="00F32DD6" w:rsidP="00F32DD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32DD6">
        <w:rPr>
          <w:rFonts w:cstheme="minorHAnsi"/>
          <w:sz w:val="24"/>
          <w:szCs w:val="24"/>
        </w:rPr>
        <w:t xml:space="preserve">Indicate how the de </w:t>
      </w:r>
      <w:proofErr w:type="spellStart"/>
      <w:r w:rsidRPr="00F32DD6">
        <w:rPr>
          <w:rFonts w:cstheme="minorHAnsi"/>
          <w:sz w:val="24"/>
          <w:szCs w:val="24"/>
        </w:rPr>
        <w:t>minimis</w:t>
      </w:r>
      <w:proofErr w:type="spellEnd"/>
      <w:r w:rsidRPr="00F32DD6">
        <w:rPr>
          <w:rFonts w:cstheme="minorHAnsi"/>
          <w:sz w:val="24"/>
          <w:szCs w:val="24"/>
        </w:rPr>
        <w:t xml:space="preserve"> rate is applied, e.g., to direct administrative expenses, such as utilities and </w:t>
      </w:r>
      <w:proofErr w:type="spellStart"/>
      <w:r w:rsidRPr="00F32DD6">
        <w:rPr>
          <w:rFonts w:cstheme="minorHAnsi"/>
          <w:sz w:val="24"/>
          <w:szCs w:val="24"/>
        </w:rPr>
        <w:t>maintenace</w:t>
      </w:r>
      <w:proofErr w:type="spellEnd"/>
      <w:r w:rsidRPr="00F32DD6">
        <w:rPr>
          <w:rFonts w:cstheme="minorHAnsi"/>
          <w:sz w:val="24"/>
          <w:szCs w:val="24"/>
        </w:rPr>
        <w:t>, to wages and some of the administrative salaries only, etc.</w:t>
      </w:r>
    </w:p>
    <w:p w14:paraId="7B1A4D56" w14:textId="77777777" w:rsidR="00F32DD6" w:rsidRPr="00F32DD6" w:rsidRDefault="00F32DD6" w:rsidP="00F32DD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32DD6">
        <w:rPr>
          <w:rFonts w:cstheme="minorHAnsi"/>
          <w:sz w:val="24"/>
          <w:szCs w:val="24"/>
        </w:rPr>
        <w:t xml:space="preserve">If sub-recipients are claiming indirect costs and they do not have an established NICRA , they may also apply the de </w:t>
      </w:r>
      <w:proofErr w:type="spellStart"/>
      <w:r w:rsidRPr="00F32DD6">
        <w:rPr>
          <w:rFonts w:cstheme="minorHAnsi"/>
          <w:sz w:val="24"/>
          <w:szCs w:val="24"/>
        </w:rPr>
        <w:t>minimis</w:t>
      </w:r>
      <w:proofErr w:type="spellEnd"/>
      <w:r w:rsidRPr="00F32DD6">
        <w:rPr>
          <w:rFonts w:cstheme="minorHAnsi"/>
          <w:sz w:val="24"/>
          <w:szCs w:val="24"/>
        </w:rPr>
        <w:t xml:space="preserve"> 10% rate, this is at the discretion of the primary </w:t>
      </w:r>
      <w:r w:rsidRPr="00F32DD6">
        <w:rPr>
          <w:rFonts w:cstheme="minorHAnsi"/>
          <w:sz w:val="24"/>
          <w:szCs w:val="24"/>
        </w:rPr>
        <w:lastRenderedPageBreak/>
        <w:t xml:space="preserve">recipient; requires prior approval from the Grants Officer.  Must be explained in the budget narrative.  </w:t>
      </w:r>
    </w:p>
    <w:p w14:paraId="3B15C631" w14:textId="77777777" w:rsidR="00F32DD6" w:rsidRPr="00F32DD6" w:rsidRDefault="00F32DD6" w:rsidP="00F32DD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32DD6">
        <w:rPr>
          <w:rFonts w:cstheme="minorHAnsi"/>
          <w:sz w:val="24"/>
          <w:szCs w:val="24"/>
        </w:rPr>
        <w:t xml:space="preserve">NO other methodologies for calculating indirect cost rates may be applied. </w:t>
      </w:r>
    </w:p>
    <w:p w14:paraId="4D6119A5" w14:textId="77777777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b/>
          <w:sz w:val="24"/>
          <w:szCs w:val="24"/>
          <w:u w:val="single"/>
        </w:rPr>
        <w:t>COST-SHARING:</w:t>
      </w:r>
      <w:r w:rsidRPr="00F32DD6">
        <w:rPr>
          <w:rFonts w:cstheme="minorHAnsi"/>
          <w:sz w:val="24"/>
          <w:szCs w:val="24"/>
        </w:rPr>
        <w:t xml:space="preserve">  Portion of program costs not borne by USG </w:t>
      </w:r>
      <w:r w:rsidRPr="00F32DD6">
        <w:rPr>
          <w:rFonts w:cstheme="minorHAnsi"/>
          <w:sz w:val="24"/>
          <w:szCs w:val="24"/>
        </w:rPr>
        <w:tab/>
      </w:r>
    </w:p>
    <w:p w14:paraId="2121B299" w14:textId="77777777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sz w:val="24"/>
          <w:szCs w:val="24"/>
        </w:rPr>
        <w:t>If cost- share is voluntarily offered, it should be listed as a separate column in the budget.  Cost- share can be either cash or in-kind; assign a US dollar value to each in-kind contribution and provide an explanation in the budget narrative.  Cost-share follows the same principles as federal share and must be justified and documented.   If the proposed project is a component of a larger program, identify other funding sources and indicate the specific funding amount to be provided by those sources, specify the sources.   These costs may be counted towards cost-share.</w:t>
      </w:r>
      <w:r w:rsidRPr="00F32DD6">
        <w:rPr>
          <w:rFonts w:cstheme="minorHAnsi"/>
          <w:sz w:val="24"/>
          <w:szCs w:val="24"/>
        </w:rPr>
        <w:tab/>
      </w:r>
    </w:p>
    <w:p w14:paraId="24CD6163" w14:textId="77777777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sz w:val="24"/>
          <w:szCs w:val="24"/>
        </w:rPr>
        <w:t xml:space="preserve">Applicants should consider all types of cost-sharing.  Examples include the use of office space owned by other entities; donated or borrowed supplies and equipment; (non-federal) sponsored travel costs; waived indirect costs; and program activities, translations, or consultations.  The values of offered cost share should be reported in accordance with 2 CFR 200.  </w:t>
      </w:r>
      <w:r w:rsidRPr="00C00618">
        <w:rPr>
          <w:rFonts w:cstheme="minorHAnsi"/>
          <w:b/>
          <w:sz w:val="24"/>
          <w:szCs w:val="24"/>
        </w:rPr>
        <w:t xml:space="preserve">Other USG funding may NOT be used as cost-share.    </w:t>
      </w:r>
      <w:r w:rsidRPr="00C00618">
        <w:rPr>
          <w:rFonts w:cstheme="minorHAnsi"/>
          <w:b/>
          <w:sz w:val="24"/>
          <w:szCs w:val="24"/>
        </w:rPr>
        <w:tab/>
      </w:r>
    </w:p>
    <w:p w14:paraId="761DE994" w14:textId="77777777" w:rsidR="00F32DD6" w:rsidRPr="00F32DD6" w:rsidRDefault="00F32DD6" w:rsidP="00F32DD6">
      <w:pPr>
        <w:rPr>
          <w:rFonts w:cstheme="minorHAnsi"/>
          <w:sz w:val="24"/>
          <w:szCs w:val="24"/>
        </w:rPr>
      </w:pPr>
      <w:r w:rsidRPr="00F32DD6">
        <w:rPr>
          <w:rFonts w:cstheme="minorHAnsi"/>
          <w:sz w:val="24"/>
          <w:szCs w:val="24"/>
        </w:rPr>
        <w:t>Federal assistance award Recipient must maintain written records to support all allowable costs, including cost-share.  Such records are subject to audit.  The basis for determining the value of cash and in-kind contributions must be i</w:t>
      </w:r>
      <w:r>
        <w:rPr>
          <w:rFonts w:cstheme="minorHAnsi"/>
          <w:sz w:val="24"/>
          <w:szCs w:val="24"/>
        </w:rPr>
        <w:t xml:space="preserve">n accordance with 2 CFR 200.  </w:t>
      </w:r>
      <w:r>
        <w:rPr>
          <w:rFonts w:cstheme="minorHAnsi"/>
          <w:sz w:val="24"/>
          <w:szCs w:val="24"/>
        </w:rPr>
        <w:tab/>
      </w:r>
    </w:p>
    <w:p w14:paraId="7496D211" w14:textId="77777777" w:rsidR="00F32DD6" w:rsidRPr="00C00618" w:rsidRDefault="00F32DD6" w:rsidP="00F32DD6">
      <w:pPr>
        <w:rPr>
          <w:rFonts w:cstheme="minorHAnsi"/>
          <w:b/>
          <w:sz w:val="24"/>
          <w:szCs w:val="24"/>
        </w:rPr>
      </w:pPr>
      <w:r w:rsidRPr="00C00618">
        <w:rPr>
          <w:rFonts w:cstheme="minorHAnsi"/>
          <w:b/>
          <w:sz w:val="24"/>
          <w:szCs w:val="24"/>
        </w:rPr>
        <w:t>Applicants must be familiar with 2 CFR 200 "UNIFOR</w:t>
      </w:r>
      <w:r w:rsidR="00C00618" w:rsidRPr="00C00618">
        <w:rPr>
          <w:rFonts w:cstheme="minorHAnsi"/>
          <w:b/>
          <w:sz w:val="24"/>
          <w:szCs w:val="24"/>
        </w:rPr>
        <w:t xml:space="preserve">M ADMINISTRATIVE REQUIREMENTS, </w:t>
      </w:r>
      <w:r w:rsidRPr="00C00618">
        <w:rPr>
          <w:rFonts w:cstheme="minorHAnsi"/>
          <w:b/>
          <w:sz w:val="24"/>
          <w:szCs w:val="24"/>
        </w:rPr>
        <w:t>COST PRINCIPLES, AND AUDIT REQUIREMENTS FOR FEDERAL AWARDS</w:t>
      </w:r>
      <w:proofErr w:type="gramStart"/>
      <w:r w:rsidRPr="00C00618">
        <w:rPr>
          <w:rFonts w:cstheme="minorHAnsi"/>
          <w:b/>
          <w:sz w:val="24"/>
          <w:szCs w:val="24"/>
        </w:rPr>
        <w:t>" .</w:t>
      </w:r>
      <w:proofErr w:type="gramEnd"/>
      <w:r w:rsidRPr="00C00618">
        <w:rPr>
          <w:rFonts w:cstheme="minorHAnsi"/>
          <w:b/>
          <w:sz w:val="24"/>
          <w:szCs w:val="24"/>
        </w:rPr>
        <w:t xml:space="preserve"> </w:t>
      </w:r>
      <w:r w:rsidRPr="00C00618">
        <w:rPr>
          <w:rFonts w:cstheme="minorHAnsi"/>
          <w:b/>
          <w:sz w:val="24"/>
          <w:szCs w:val="24"/>
        </w:rPr>
        <w:tab/>
      </w:r>
    </w:p>
    <w:sectPr w:rsidR="00F32DD6" w:rsidRPr="00C00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55601"/>
    <w:multiLevelType w:val="hybridMultilevel"/>
    <w:tmpl w:val="710A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B4BCD"/>
    <w:multiLevelType w:val="hybridMultilevel"/>
    <w:tmpl w:val="5C34C196"/>
    <w:lvl w:ilvl="0" w:tplc="04090001">
      <w:start w:val="1"/>
      <w:numFmt w:val="bullet"/>
      <w:lvlText w:val=""/>
      <w:lvlJc w:val="left"/>
      <w:pPr>
        <w:ind w:left="780" w:hanging="7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F60E65"/>
    <w:multiLevelType w:val="hybridMultilevel"/>
    <w:tmpl w:val="B57A9CC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D7CF6"/>
    <w:multiLevelType w:val="hybridMultilevel"/>
    <w:tmpl w:val="D7520D56"/>
    <w:lvl w:ilvl="0" w:tplc="EEF6F348">
      <w:numFmt w:val="bullet"/>
      <w:lvlText w:val="·"/>
      <w:lvlJc w:val="left"/>
      <w:pPr>
        <w:ind w:left="780" w:hanging="78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DA5953"/>
    <w:multiLevelType w:val="hybridMultilevel"/>
    <w:tmpl w:val="2CAC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27472"/>
    <w:multiLevelType w:val="hybridMultilevel"/>
    <w:tmpl w:val="0508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56E6"/>
    <w:multiLevelType w:val="hybridMultilevel"/>
    <w:tmpl w:val="A6023E3C"/>
    <w:lvl w:ilvl="0" w:tplc="6F5A6464">
      <w:numFmt w:val="bullet"/>
      <w:lvlText w:val="·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D6"/>
    <w:rsid w:val="002E0DBE"/>
    <w:rsid w:val="003C3410"/>
    <w:rsid w:val="00506B3B"/>
    <w:rsid w:val="00A00061"/>
    <w:rsid w:val="00BB0BCF"/>
    <w:rsid w:val="00C00618"/>
    <w:rsid w:val="00F3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50817"/>
  <w15:chartTrackingRefBased/>
  <w15:docId w15:val="{81EBF52F-45BC-4D1A-8CB1-A7991ECA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D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D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gsa.gov/portal/category/1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CDC8B7F44104BA46FCD846EE78A19" ma:contentTypeVersion="16" ma:contentTypeDescription="Create a new document." ma:contentTypeScope="" ma:versionID="6c7a1342cb2cc453cbfe32fe04d61460">
  <xsd:schema xmlns:xsd="http://www.w3.org/2001/XMLSchema" xmlns:xs="http://www.w3.org/2001/XMLSchema" xmlns:p="http://schemas.microsoft.com/office/2006/metadata/properties" xmlns:ns2="99089d17-facd-4071-886a-d2cc8f506f65" xmlns:ns3="6d50a3f1-5437-41cc-a7fb-dd09429d9cbc" xmlns:ns4="0ce56ea7-c226-4919-8947-6a4cf58b6549" targetNamespace="http://schemas.microsoft.com/office/2006/metadata/properties" ma:root="true" ma:fieldsID="35c2f917ab63d6c0968c60cfcff14f58" ns2:_="" ns3:_="" ns4:_="">
    <xsd:import namespace="99089d17-facd-4071-886a-d2cc8f506f65"/>
    <xsd:import namespace="6d50a3f1-5437-41cc-a7fb-dd09429d9cbc"/>
    <xsd:import namespace="0ce56ea7-c226-4919-8947-6a4cf58b65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9d17-facd-4071-886a-d2cc8f506f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0a3f1-5437-41cc-a7fb-dd09429d9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56ea7-c226-4919-8947-6a4cf58b6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C98CD-8C88-435E-A465-1594CBCC7D51}">
  <ds:schemaRefs>
    <ds:schemaRef ds:uri="0ce56ea7-c226-4919-8947-6a4cf58b6549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99089d17-facd-4071-886a-d2cc8f506f6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d50a3f1-5437-41cc-a7fb-dd09429d9cb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F37ABE-3988-4824-A66A-83FCE3CE7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F4311-ABBF-4E6E-A455-CE2D28A72DB7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0B5BA0F4-A08C-41C4-8ABC-F58F1DEAE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9d17-facd-4071-886a-d2cc8f506f65"/>
    <ds:schemaRef ds:uri="6d50a3f1-5437-41cc-a7fb-dd09429d9cbc"/>
    <ds:schemaRef ds:uri="0ce56ea7-c226-4919-8947-6a4cf58b6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Louie, Michelle</dc:creator>
  <cp:keywords/>
  <dc:description/>
  <cp:lastModifiedBy>Parkinson, Ivan</cp:lastModifiedBy>
  <cp:revision>2</cp:revision>
  <dcterms:created xsi:type="dcterms:W3CDTF">2019-04-08T14:16:00Z</dcterms:created>
  <dcterms:modified xsi:type="dcterms:W3CDTF">2019-04-08T14:16:00Z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0x010100BE2CDC8B7F44104BA46FCD846EE78A19</vt:lpwstr>
  </property>
</Properties>
</file>